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Earth Nears the Brink of Total Uninhabitability: A New Planetary Boundary Is Officially Crossed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Galaxy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2025 Sunday 12:30 PM EST</w:t>
      </w:r>
    </w:p>
    <w:p>
      <w:pPr>
        <w:keepNext w:val="0"/>
        <w:spacing w:after="0" w:line="240" w:lineRule="atLeast"/>
        <w:ind w:right="0"/>
        <w:jc w:val="both"/>
      </w:pPr>
      <w:bookmarkStart w:id="0" w:name="Bookmark_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The Daily Galaxy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26th, 2025 (</w:t>
      </w:r>
      <w:hyperlink r:id="rId8" w:history="1">
        <w:r>
          <w:rPr>
            <w:rFonts w:ascii="arial" w:eastAsia="arial" w:hAnsi="arial" w:cs="arial"/>
            <w:b w:val="0"/>
            <w:i/>
            <w:strike w:val="0"/>
            <w:noProof w:val="0"/>
            <w:color w:val="0077CC"/>
            <w:position w:val="0"/>
            <w:sz w:val="20"/>
            <w:u w:val="single"/>
            <w:vertAlign w:val="baseline"/>
          </w:rPr>
          <w:t>The Daily Galaxy</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scientists first introduced the idea of planetary boundaries in 2009, it seemed like a theoretical red line—an abstract warning for future generations. Today, it's reality. With the recent breach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limits, Earth has now crossed seven of the nine planetary boundaries that define a safe operating space for humanity, a threshold many experts warn could push marine life—and life on land—into unknown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confirmation came in September from the </w:t>
      </w:r>
      <w:hyperlink r:id="rId10" w:history="1">
        <w:r>
          <w:rPr>
            <w:rFonts w:ascii="arial" w:eastAsia="arial" w:hAnsi="arial" w:cs="arial"/>
            <w:b w:val="0"/>
            <w:i/>
            <w:strike w:val="0"/>
            <w:noProof w:val="0"/>
            <w:color w:val="0077CC"/>
            <w:position w:val="0"/>
            <w:sz w:val="20"/>
            <w:u w:val="single"/>
            <w:vertAlign w:val="baseline"/>
          </w:rPr>
          <w:t xml:space="preserve">Potsdam Institute for Climate Impact Research (PIK), a leading climate research center in Germany. Their report declared </w:t>
        </w:r>
      </w:hyperlink>
      <w:hyperlink r:id="rId11" w:history="1">
        <w:r>
          <w:rPr>
            <w:rFonts w:ascii="arial" w:eastAsia="arial" w:hAnsi="arial" w:cs="arial"/>
            <w:b/>
            <w:i/>
            <w:strike w:val="0"/>
            <w:noProof w:val="0"/>
            <w:color w:val="0077CC"/>
            <w:position w:val="0"/>
            <w:sz w:val="20"/>
            <w:u w:val="single"/>
            <w:vertAlign w:val="baseline"/>
          </w:rPr>
          <w:t>ocean</w:t>
        </w:r>
      </w:hyperlink>
      <w:hyperlink r:id="rId12" w:history="1">
        <w:r>
          <w:rPr>
            <w:rFonts w:ascii="arial" w:eastAsia="arial" w:hAnsi="arial" w:cs="arial"/>
            <w:b w:val="0"/>
            <w:i/>
            <w:strike w:val="0"/>
            <w:noProof w:val="0"/>
            <w:color w:val="0077CC"/>
            <w:position w:val="0"/>
            <w:sz w:val="20"/>
            <w:u w:val="single"/>
            <w:vertAlign w:val="baseline"/>
          </w:rPr>
          <w:t xml:space="preserve"> </w:t>
        </w:r>
      </w:hyperlink>
      <w:hyperlink r:id="rId13" w:history="1">
        <w:r>
          <w:rPr>
            <w:rFonts w:ascii="arial" w:eastAsia="arial" w:hAnsi="arial" w:cs="arial"/>
            <w:b/>
            <w:i/>
            <w:strike w:val="0"/>
            <w:noProof w:val="0"/>
            <w:color w:val="0077CC"/>
            <w:position w:val="0"/>
            <w:sz w:val="20"/>
            <w:u w:val="single"/>
            <w:vertAlign w:val="baseline"/>
          </w:rPr>
          <w:t>acidification</w:t>
        </w:r>
      </w:hyperlink>
      <w:hyperlink r:id="rId14" w:history="1">
        <w:r>
          <w:rPr>
            <w:rFonts w:ascii="arial" w:eastAsia="arial" w:hAnsi="arial" w:cs="arial"/>
            <w:b w:val="0"/>
            <w:i/>
            <w:strike w:val="0"/>
            <w:noProof w:val="0"/>
            <w:color w:val="0077CC"/>
            <w:position w:val="0"/>
            <w:sz w:val="20"/>
            <w:u w:val="single"/>
            <w:vertAlign w:val="baseline"/>
          </w:rPr>
          <w:t xml:space="preserve"> has moved beyond safe planetary limits, driven largely by decades of rising carbon dioxide (CO₂) emissions from fossil fuels. The process is deceptively simple: atmospheric CO₂ dissolves in seawater, forming carbonic acid, which then reduces the </w:t>
        </w:r>
      </w:hyperlink>
      <w:hyperlink r:id="rId15" w:history="1">
        <w:r>
          <w:rPr>
            <w:rFonts w:ascii="arial" w:eastAsia="arial" w:hAnsi="arial" w:cs="arial"/>
            <w:b/>
            <w:i/>
            <w:strike w:val="0"/>
            <w:noProof w:val="0"/>
            <w:color w:val="0077CC"/>
            <w:position w:val="0"/>
            <w:sz w:val="20"/>
            <w:u w:val="single"/>
            <w:vertAlign w:val="baseline"/>
          </w:rPr>
          <w:t>ocean</w:t>
        </w:r>
      </w:hyperlink>
      <w:hyperlink r:id="rId16" w:history="1">
        <w:r>
          <w:rPr>
            <w:rFonts w:ascii="arial" w:eastAsia="arial" w:hAnsi="arial" w:cs="arial"/>
            <w:b w:val="0"/>
            <w:i/>
            <w:strike w:val="0"/>
            <w:noProof w:val="0"/>
            <w:color w:val="0077CC"/>
            <w:position w:val="0"/>
            <w:sz w:val="20"/>
            <w:u w:val="single"/>
            <w:vertAlign w:val="baseline"/>
          </w:rPr>
          <w:t xml:space="preserve">'s </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pH.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Industrial Revolution, the surface pH of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has dropped by 0.1 units—a 30#8212;40% increase in acidity. While that may sound minor, the chemical implications are immense. This change directly affects organisms with calcium carbonate shells and skeletons, like corals, oysters, and plankton, disrupting food webs that stretch from microscopic zooplankton to whales—and, ultimately, humans.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Planetary Boundaries Science Lab at PIK finds that seven of nine critical Earth system boundaries have been breached, leaving only ozone depletion and aerosol loading within safe limits. Credit: PIK,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makes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especially dangerous is that it unfolds quietly. Unlike melting glaciers or rising seas,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's chemistry changes out of sight. Yet the biological toll is mounting. In high-latitude waters, sea snails called pteropods are already showing shell damage. These creatures, often called #8216;potato chips of the sea,#8217; are a crucial food source for fish and birds. Without them, much of the marine food web begins to unravel.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Boundary Breached</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's formal entry into the danger zone marks a shift that climate scientists have long anticipated. First outlined in a </w:t>
      </w:r>
      <w:hyperlink r:id="rId18" w:history="1">
        <w:r>
          <w:rPr>
            <w:rFonts w:ascii="arial" w:eastAsia="arial" w:hAnsi="arial" w:cs="arial"/>
            <w:b w:val="0"/>
            <w:i/>
            <w:strike w:val="0"/>
            <w:noProof w:val="0"/>
            <w:color w:val="0077CC"/>
            <w:position w:val="0"/>
            <w:sz w:val="20"/>
            <w:u w:val="single"/>
            <w:vertAlign w:val="baseline"/>
          </w:rPr>
          <w:t xml:space="preserve">2009 paper in Nature, the </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 xml:space="preserve">planetary boundaries framework defines nine essential Earth system processes—including climate regulation, </w:t>
        </w:r>
      </w:hyperlink>
      <w:hyperlink r:id="rId20" w:history="1">
        <w:r>
          <w:rPr>
            <w:rFonts w:ascii="arial" w:eastAsia="arial" w:hAnsi="arial" w:cs="arial"/>
            <w:b/>
            <w:i/>
            <w:strike w:val="0"/>
            <w:noProof w:val="0"/>
            <w:color w:val="0077CC"/>
            <w:position w:val="0"/>
            <w:sz w:val="20"/>
            <w:u w:val="single"/>
            <w:vertAlign w:val="baseline"/>
          </w:rPr>
          <w:t>biodiversity</w:t>
        </w:r>
      </w:hyperlink>
      <w:hyperlink r:id="rId21" w:history="1">
        <w:r>
          <w:rPr>
            <w:rFonts w:ascii="arial" w:eastAsia="arial" w:hAnsi="arial" w:cs="arial"/>
            <w:b w:val="0"/>
            <w:i/>
            <w:strike w:val="0"/>
            <w:noProof w:val="0"/>
            <w:color w:val="0077CC"/>
            <w:position w:val="0"/>
            <w:sz w:val="20"/>
            <w:u w:val="single"/>
            <w:vertAlign w:val="baseline"/>
          </w:rPr>
          <w:t xml:space="preserve">, and </w:t>
        </w:r>
      </w:hyperlink>
      <w:hyperlink r:id="rId22" w:history="1">
        <w:r>
          <w:rPr>
            <w:rFonts w:ascii="arial" w:eastAsia="arial" w:hAnsi="arial" w:cs="arial"/>
            <w:b/>
            <w:i/>
            <w:strike w:val="0"/>
            <w:noProof w:val="0"/>
            <w:color w:val="0077CC"/>
            <w:position w:val="0"/>
            <w:sz w:val="20"/>
            <w:u w:val="single"/>
            <w:vertAlign w:val="baseline"/>
          </w:rPr>
          <w:t>ocean</w:t>
        </w:r>
      </w:hyperlink>
      <w:hyperlink r:id="rId23" w:history="1">
        <w:r>
          <w:rPr>
            <w:rFonts w:ascii="arial" w:eastAsia="arial" w:hAnsi="arial" w:cs="arial"/>
            <w:b w:val="0"/>
            <w:i/>
            <w:strike w:val="0"/>
            <w:noProof w:val="0"/>
            <w:color w:val="0077CC"/>
            <w:position w:val="0"/>
            <w:sz w:val="20"/>
            <w:u w:val="single"/>
            <w:vertAlign w:val="baseline"/>
          </w:rPr>
          <w:t xml:space="preserve"> chemistry. Crossing these thresholds raises the risk of destabilizing Earth's systems beyond repair.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24" w:history="1">
        <w:r>
          <w:rPr>
            <w:rFonts w:ascii="arial" w:eastAsia="arial" w:hAnsi="arial" w:cs="arial"/>
            <w:b w:val="0"/>
            <w:i/>
            <w:strike w:val="0"/>
            <w:noProof w:val="0"/>
            <w:color w:val="0077CC"/>
            <w:position w:val="0"/>
            <w:sz w:val="20"/>
            <w:u w:val="single"/>
            <w:vertAlign w:val="baseline"/>
          </w:rPr>
          <w:t xml:space="preserve">Planetary Health Check 2025 published by PIK, only two boundaries—aerosol loading and the ozone layer—remain within the safe zone. All others, including biosphere integrity, land-use change, and biogeochemical flows, are now compromised. This year's breach of the </w:t>
        </w:r>
      </w:hyperlink>
      <w:hyperlink r:id="rId25" w:history="1">
        <w:r>
          <w:rPr>
            <w:rFonts w:ascii="arial" w:eastAsia="arial" w:hAnsi="arial" w:cs="arial"/>
            <w:b/>
            <w:i/>
            <w:strike w:val="0"/>
            <w:noProof w:val="0"/>
            <w:color w:val="0077CC"/>
            <w:position w:val="0"/>
            <w:sz w:val="20"/>
            <w:u w:val="single"/>
            <w:vertAlign w:val="baseline"/>
          </w:rPr>
          <w:t>ocean</w:t>
        </w:r>
      </w:hyperlink>
      <w:hyperlink r:id="rId26" w:history="1">
        <w:r>
          <w:rPr>
            <w:rFonts w:ascii="arial" w:eastAsia="arial" w:hAnsi="arial" w:cs="arial"/>
            <w:b w:val="0"/>
            <w:i/>
            <w:strike w:val="0"/>
            <w:noProof w:val="0"/>
            <w:color w:val="0077CC"/>
            <w:position w:val="0"/>
            <w:sz w:val="20"/>
            <w:u w:val="single"/>
            <w:vertAlign w:val="baseline"/>
          </w:rPr>
          <w:t xml:space="preserve"> </w:t>
        </w:r>
      </w:hyperlink>
      <w:hyperlink r:id="rId27" w:history="1">
        <w:r>
          <w:rPr>
            <w:rFonts w:ascii="arial" w:eastAsia="arial" w:hAnsi="arial" w:cs="arial"/>
            <w:b/>
            <w:i/>
            <w:strike w:val="0"/>
            <w:noProof w:val="0"/>
            <w:color w:val="0077CC"/>
            <w:position w:val="0"/>
            <w:sz w:val="20"/>
            <w:u w:val="single"/>
            <w:vertAlign w:val="baseline"/>
          </w:rPr>
          <w:t>acidification</w:t>
        </w:r>
      </w:hyperlink>
      <w:hyperlink r:id="rId28" w:history="1">
        <w:r>
          <w:rPr>
            <w:rFonts w:ascii="arial" w:eastAsia="arial" w:hAnsi="arial" w:cs="arial"/>
            <w:b w:val="0"/>
            <w:i/>
            <w:strike w:val="0"/>
            <w:noProof w:val="0"/>
            <w:color w:val="0077CC"/>
            <w:position w:val="0"/>
            <w:sz w:val="20"/>
            <w:u w:val="single"/>
            <w:vertAlign w:val="baseline"/>
          </w:rPr>
          <w:t xml:space="preserve"> boundary puts further pressure on the </w:t>
        </w:r>
      </w:hyperlink>
      <w:hyperlink r:id="rId29" w:history="1">
        <w:r>
          <w:rPr>
            <w:rFonts w:ascii="arial" w:eastAsia="arial" w:hAnsi="arial" w:cs="arial"/>
            <w:b/>
            <w:i/>
            <w:strike w:val="0"/>
            <w:noProof w:val="0"/>
            <w:color w:val="0077CC"/>
            <w:position w:val="0"/>
            <w:sz w:val="20"/>
            <w:u w:val="single"/>
            <w:vertAlign w:val="baseline"/>
          </w:rPr>
          <w:t>ocean</w:t>
        </w:r>
      </w:hyperlink>
      <w:hyperlink r:id="rId30" w:history="1">
        <w:r>
          <w:rPr>
            <w:rFonts w:ascii="arial" w:eastAsia="arial" w:hAnsi="arial" w:cs="arial"/>
            <w:b w:val="0"/>
            <w:i/>
            <w:strike w:val="0"/>
            <w:noProof w:val="0"/>
            <w:color w:val="0077CC"/>
            <w:position w:val="0"/>
            <w:sz w:val="20"/>
            <w:u w:val="single"/>
            <w:vertAlign w:val="baseline"/>
          </w:rPr>
          <w:t>'s role as a carbon sink, one of the last natural mechanisms holding climate change in check.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Increased acidity also decreases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's ability to absorb CO₂, potentially accelerating warming in the atmosphere. Cold-water ecosystems, particularly in the Arctic and Southern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are among the first to feel the impact due to their naturally low buffering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Webs Are Already Shifting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Beneath the waves,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's chemical changes are anything but theoretical. According to ongoing </w:t>
      </w:r>
      <w:hyperlink r:id="rId31" w:history="1">
        <w:r>
          <w:rPr>
            <w:rFonts w:ascii="arial" w:eastAsia="arial" w:hAnsi="arial" w:cs="arial"/>
            <w:b w:val="0"/>
            <w:i/>
            <w:strike w:val="0"/>
            <w:noProof w:val="0"/>
            <w:color w:val="0077CC"/>
            <w:position w:val="0"/>
            <w:sz w:val="20"/>
            <w:u w:val="single"/>
            <w:vertAlign w:val="baseline"/>
          </w:rPr>
          <w:t>NOAA research, acidifying waters are affecting organisms' ability to grow shells, reproduce, and survive. Shellfish hatcheries along the Pacific Northwest have recorded mass die-offs linked directly to low-pH waters, prompting multimillion-dollar losses in local economies.</w:t>
        </w:r>
      </w:hyperlink>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Credit; NOAA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disruptions ripple across ecosystems. A 2023 heatwave in the Mediterranean Sea led to an explosion of invasive species like Atlantic blue crabs and bearded fireworms, which thrive in warmer, more acidic conditions. Their presence has decimated local fisheries, underscoring how even subtle chemical changes can cascade into economic and ecological crises.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tropical coral reefs—already reeling from marine heatwaves—face a one-two punch from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dissolution, threatening habitat for one-quarter of all marine species. In places like the Great Barrier Reef and the Caribbean, live coral cover has declined by more than 50% over the past few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Satellite Data Confirms a Global Shift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scale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change is now visible from space. The European Commission's </w:t>
      </w:r>
      <w:hyperlink r:id="rId32" w:history="1">
        <w:r>
          <w:rPr>
            <w:rFonts w:ascii="arial" w:eastAsia="arial" w:hAnsi="arial" w:cs="arial"/>
            <w:b w:val="0"/>
            <w:i/>
            <w:strike w:val="0"/>
            <w:noProof w:val="0"/>
            <w:color w:val="0077CC"/>
            <w:position w:val="0"/>
            <w:sz w:val="20"/>
            <w:u w:val="single"/>
            <w:vertAlign w:val="baseline"/>
          </w:rPr>
          <w:t xml:space="preserve">2025 </w:t>
        </w:r>
      </w:hyperlink>
      <w:hyperlink r:id="rId33" w:history="1">
        <w:r>
          <w:rPr>
            <w:rFonts w:ascii="arial" w:eastAsia="arial" w:hAnsi="arial" w:cs="arial"/>
            <w:b/>
            <w:i/>
            <w:strike w:val="0"/>
            <w:noProof w:val="0"/>
            <w:color w:val="0077CC"/>
            <w:position w:val="0"/>
            <w:sz w:val="20"/>
            <w:u w:val="single"/>
            <w:vertAlign w:val="baseline"/>
          </w:rPr>
          <w:t>Ocean</w:t>
        </w:r>
      </w:hyperlink>
      <w:hyperlink r:id="rId34" w:history="1">
        <w:r>
          <w:rPr>
            <w:rFonts w:ascii="arial" w:eastAsia="arial" w:hAnsi="arial" w:cs="arial"/>
            <w:b w:val="0"/>
            <w:i/>
            <w:strike w:val="0"/>
            <w:noProof w:val="0"/>
            <w:color w:val="0077CC"/>
            <w:position w:val="0"/>
            <w:sz w:val="20"/>
            <w:u w:val="single"/>
            <w:vertAlign w:val="baseline"/>
          </w:rPr>
          <w:t xml:space="preserve"> State Report, compiled by the EU's Copernicus Earth observation system, confirmed that </w:t>
        </w:r>
      </w:hyperlink>
      <w:hyperlink r:id="rId35" w:history="1">
        <w:r>
          <w:rPr>
            <w:rFonts w:ascii="arial" w:eastAsia="arial" w:hAnsi="arial" w:cs="arial"/>
            <w:b/>
            <w:i/>
            <w:strike w:val="0"/>
            <w:noProof w:val="0"/>
            <w:color w:val="0077CC"/>
            <w:position w:val="0"/>
            <w:sz w:val="20"/>
            <w:u w:val="single"/>
            <w:vertAlign w:val="baseline"/>
          </w:rPr>
          <w:t>ocean</w:t>
        </w:r>
      </w:hyperlink>
      <w:hyperlink r:id="rId36" w:history="1">
        <w:r>
          <w:rPr>
            <w:rFonts w:ascii="arial" w:eastAsia="arial" w:hAnsi="arial" w:cs="arial"/>
            <w:b w:val="0"/>
            <w:i/>
            <w:strike w:val="0"/>
            <w:noProof w:val="0"/>
            <w:color w:val="0077CC"/>
            <w:position w:val="0"/>
            <w:sz w:val="20"/>
            <w:u w:val="single"/>
            <w:vertAlign w:val="baseline"/>
          </w:rPr>
          <w:t xml:space="preserve"> warming, </w:t>
        </w:r>
      </w:hyperlink>
      <w:hyperlink r:id="rId37" w:history="1">
        <w:r>
          <w:rPr>
            <w:rFonts w:ascii="arial" w:eastAsia="arial" w:hAnsi="arial" w:cs="arial"/>
            <w:b/>
            <w:i/>
            <w:strike w:val="0"/>
            <w:noProof w:val="0"/>
            <w:color w:val="0077CC"/>
            <w:position w:val="0"/>
            <w:sz w:val="20"/>
            <w:u w:val="single"/>
            <w:vertAlign w:val="baseline"/>
          </w:rPr>
          <w:t>acidification</w:t>
        </w:r>
      </w:hyperlink>
      <w:hyperlink r:id="rId38" w:history="1">
        <w:r>
          <w:rPr>
            <w:rFonts w:ascii="arial" w:eastAsia="arial" w:hAnsi="arial" w:cs="arial"/>
            <w:b w:val="0"/>
            <w:i/>
            <w:strike w:val="0"/>
            <w:noProof w:val="0"/>
            <w:color w:val="0077CC"/>
            <w:position w:val="0"/>
            <w:sz w:val="20"/>
            <w:u w:val="single"/>
            <w:vertAlign w:val="baseline"/>
          </w:rPr>
          <w:t xml:space="preserve">, and plastic pollution are advancing across all major </w:t>
        </w:r>
      </w:hyperlink>
      <w:hyperlink r:id="rId39" w:history="1">
        <w:r>
          <w:rPr>
            <w:rFonts w:ascii="arial" w:eastAsia="arial" w:hAnsi="arial" w:cs="arial"/>
            <w:b/>
            <w:i/>
            <w:strike w:val="0"/>
            <w:noProof w:val="0"/>
            <w:color w:val="0077CC"/>
            <w:position w:val="0"/>
            <w:sz w:val="20"/>
            <w:u w:val="single"/>
            <w:vertAlign w:val="baseline"/>
          </w:rPr>
          <w:t>ocean</w:t>
        </w:r>
      </w:hyperlink>
      <w:hyperlink r:id="rId40" w:history="1">
        <w:r>
          <w:rPr>
            <w:rFonts w:ascii="arial" w:eastAsia="arial" w:hAnsi="arial" w:cs="arial"/>
            <w:b w:val="0"/>
            <w:i/>
            <w:strike w:val="0"/>
            <w:noProof w:val="0"/>
            <w:color w:val="0077CC"/>
            <w:position w:val="0"/>
            <w:sz w:val="20"/>
            <w:u w:val="single"/>
            <w:vertAlign w:val="baseline"/>
          </w:rPr>
          <w:t xml:space="preserve"> basins.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sea surface temperatures reached a record 21C in spring 2024, according to the report, intensifying pressure on marine ecosystems. Sea levels have risen by 228 millimeters since 1901, and Arctic sea ice hit four consecutive all-time lows between December 2024 and March 2025. Invasive species, once restricted to tropical waters, are now creeping northward—enabled by warmer, more acidic seas.</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 xml:space="preserve">European Digital Twin </w:t>
        </w:r>
      </w:hyperlink>
      <w:hyperlink r:id="rId42" w:history="1">
        <w:r>
          <w:rPr>
            <w:rFonts w:ascii="arial" w:eastAsia="arial" w:hAnsi="arial" w:cs="arial"/>
            <w:b/>
            <w:i/>
            <w:strike w:val="0"/>
            <w:color w:val="0077CC"/>
            <w:sz w:val="20"/>
            <w:u w:val="single"/>
            <w:vertAlign w:val="baseline"/>
          </w:rPr>
          <w:t>Ocean</w:t>
        </w:r>
      </w:hyperlink>
      <w:hyperlink r:id="rId43" w:history="1">
        <w:r>
          <w:rPr>
            <w:rFonts w:ascii="arial" w:eastAsia="arial" w:hAnsi="arial" w:cs="arial"/>
            <w:b w:val="0"/>
            <w:i/>
            <w:strike w:val="0"/>
            <w:color w:val="0077CC"/>
            <w:sz w:val="20"/>
            <w:u w:val="single"/>
            <w:vertAlign w:val="baseline"/>
          </w:rPr>
          <w:t>: A game changer for policymakers, coastal communities &amp; society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#8216;We've moved from observation to simulation,#8217; said Costas Kadis, European Commissioner for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Fisheries. Speaking about the </w:t>
      </w:r>
      <w:hyperlink r:id="rId44" w:history="1">
        <w:r>
          <w:rPr>
            <w:rFonts w:ascii="arial" w:eastAsia="arial" w:hAnsi="arial" w:cs="arial"/>
            <w:b w:val="0"/>
            <w:i/>
            <w:strike w:val="0"/>
            <w:noProof w:val="0"/>
            <w:color w:val="0077CC"/>
            <w:position w:val="0"/>
            <w:sz w:val="20"/>
            <w:u w:val="single"/>
            <w:vertAlign w:val="baseline"/>
          </w:rPr>
          <w:t xml:space="preserve">EU's Digital Twin of the </w:t>
        </w:r>
      </w:hyperlink>
      <w:hyperlink r:id="rId45" w:history="1">
        <w:r>
          <w:rPr>
            <w:rFonts w:ascii="arial" w:eastAsia="arial" w:hAnsi="arial" w:cs="arial"/>
            <w:b/>
            <w:i/>
            <w:strike w:val="0"/>
            <w:noProof w:val="0"/>
            <w:color w:val="0077CC"/>
            <w:position w:val="0"/>
            <w:sz w:val="20"/>
            <w:u w:val="single"/>
            <w:vertAlign w:val="baseline"/>
          </w:rPr>
          <w:t>Ocean</w:t>
        </w:r>
      </w:hyperlink>
      <w:hyperlink r:id="rId46" w:history="1">
        <w:r>
          <w:rPr>
            <w:rFonts w:ascii="arial" w:eastAsia="arial" w:hAnsi="arial" w:cs="arial"/>
            <w:b w:val="0"/>
            <w:i/>
            <w:strike w:val="0"/>
            <w:noProof w:val="0"/>
            <w:color w:val="0077CC"/>
            <w:position w:val="0"/>
            <w:sz w:val="20"/>
            <w:u w:val="single"/>
            <w:vertAlign w:val="baseline"/>
          </w:rPr>
          <w:t>, Kadis emphasized how data is now being used to model heatwave impacts on fish stocks, simulate invasive species spread, and test marine protections before they are implemented.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Longer Silent, No Longer Invisible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may seem vast and immutable, it's changing faster than ever.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is a symptom of a wider unraveling—and a warning. #8216;The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has buffered us from the worst of our emissions for centuries,#8217; said Dr. Sylvia Earle, former NOAA chief scientist. #8216;Now it's reaching a tipping point. We have to decide if we will respect those boundaries—or cross them knowing full well what's at stake.#8217;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w:t>
      </w:r>
      <w:hyperlink r:id="rId47" w:history="1">
        <w:r>
          <w:rPr>
            <w:rFonts w:ascii="arial" w:eastAsia="arial" w:hAnsi="arial" w:cs="arial"/>
            <w:b w:val="0"/>
            <w:i/>
            <w:strike w:val="0"/>
            <w:noProof w:val="0"/>
            <w:color w:val="0077CC"/>
            <w:position w:val="0"/>
            <w:sz w:val="20"/>
            <w:u w:val="single"/>
            <w:vertAlign w:val="baseline"/>
          </w:rPr>
          <w:t xml:space="preserve">European Environment Agency (EEA) analysis, experts described the #8216;deadly trio#8217; of warming, </w:t>
        </w:r>
      </w:hyperlink>
      <w:hyperlink r:id="rId48" w:history="1">
        <w:r>
          <w:rPr>
            <w:rFonts w:ascii="arial" w:eastAsia="arial" w:hAnsi="arial" w:cs="arial"/>
            <w:b/>
            <w:i/>
            <w:strike w:val="0"/>
            <w:noProof w:val="0"/>
            <w:color w:val="0077CC"/>
            <w:position w:val="0"/>
            <w:sz w:val="20"/>
            <w:u w:val="single"/>
            <w:vertAlign w:val="baseline"/>
          </w:rPr>
          <w:t>acidification</w:t>
        </w:r>
      </w:hyperlink>
      <w:hyperlink r:id="rId49" w:history="1">
        <w:r>
          <w:rPr>
            <w:rFonts w:ascii="arial" w:eastAsia="arial" w:hAnsi="arial" w:cs="arial"/>
            <w:b w:val="0"/>
            <w:i/>
            <w:strike w:val="0"/>
            <w:noProof w:val="0"/>
            <w:color w:val="0077CC"/>
            <w:position w:val="0"/>
            <w:sz w:val="20"/>
            <w:u w:val="single"/>
            <w:vertAlign w:val="baseline"/>
          </w:rPr>
          <w:t xml:space="preserve">, and oxygen loss as the most significant threats to marine life. The report noted that if emissions remain on their current trajectory, </w:t>
        </w:r>
      </w:hyperlink>
      <w:hyperlink r:id="rId50" w:history="1">
        <w:r>
          <w:rPr>
            <w:rFonts w:ascii="arial" w:eastAsia="arial" w:hAnsi="arial" w:cs="arial"/>
            <w:b/>
            <w:i/>
            <w:strike w:val="0"/>
            <w:noProof w:val="0"/>
            <w:color w:val="0077CC"/>
            <w:position w:val="0"/>
            <w:sz w:val="20"/>
            <w:u w:val="single"/>
            <w:vertAlign w:val="baseline"/>
          </w:rPr>
          <w:t>ocean</w:t>
        </w:r>
      </w:hyperlink>
      <w:hyperlink r:id="rId51" w:history="1">
        <w:r>
          <w:rPr>
            <w:rFonts w:ascii="arial" w:eastAsia="arial" w:hAnsi="arial" w:cs="arial"/>
            <w:b w:val="0"/>
            <w:i/>
            <w:strike w:val="0"/>
            <w:noProof w:val="0"/>
            <w:color w:val="0077CC"/>
            <w:position w:val="0"/>
            <w:sz w:val="20"/>
            <w:u w:val="single"/>
            <w:vertAlign w:val="baseline"/>
          </w:rPr>
          <w:t xml:space="preserve"> pH could fall another 0.3 units by 2100, making the seas more corrosive than at any point in the past 300 million years.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Enjoyed this article? </w:t>
      </w:r>
      <w:hyperlink r:id="rId52" w:history="1">
        <w:r>
          <w:rPr>
            <w:rFonts w:ascii="arial" w:eastAsia="arial" w:hAnsi="arial" w:cs="arial"/>
            <w:b w:val="0"/>
            <w:i/>
            <w:strike w:val="0"/>
            <w:noProof w:val="0"/>
            <w:color w:val="0077CC"/>
            <w:position w:val="0"/>
            <w:sz w:val="20"/>
            <w:u w:val="single"/>
            <w:vertAlign w:val="baseline"/>
          </w:rPr>
          <w:t>Subscribe to our free newsletter for engaging stories, exclusive content, and the latest news.</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NEGATIVE NEWS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MARINE WILDLIFE (90%); INVASIVE SPECIES (69%); SEA LEVEL CHANGES (77%); HEAT WAVES (89%); LIFE FORMS (90%); SAFETY (76%); ECONOMIC CRISIS (66%);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MARINE BIOLOGY (78%); OZONE DEPLETION (52%); EARTH &amp; ATMOSPHERIC SCIENCE (89%); SEAS (77%); NATURAL SCIENCES (78%); ISLANDS &amp; REEFS (78%); CLIMATE CHANGE (78%); SCIENCE &amp; TECHNOLOGY (90%); MARINE MAMMALS (78%); EXTREME TEMPERATURES (86%); ECOSYSTEMS &amp; HABITATS (86%); GLACIERS &amp; ICEBERGS (77%); ECOLOGY &amp; ENVIRONMENTAL SCIENCE (78%); SALTWATER ECOSYSTEMS (89%); CLIMATOLOGY (78%); CHEMISTRY (78%); SHELLFISH (89%); Science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SOUTHERN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ARCTIC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MEDITERRANEAN SEA (79%); EUROPE (77%); CARIBBEAN ISLANDS (79%); ARCTIC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Earth Nears the Brink of Total Uninhabitability: A New Planetary Boundary Is Officially Crossed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ik-potsdam.de/en/news/latest-news/seven-of-nine-planetary-boundaries-now-breached-2013-ocean-acidification-joins-the-danger-zone" TargetMode="External" /><Relationship Id="rId11" Type="http://schemas.openxmlformats.org/officeDocument/2006/relationships/hyperlink" Target="https://www.pik-potsdam.de/en/news/latest-news/seven-of-nine-planetary-boundaries-now-breached-2013-ocean-acidification-joins-the-danger-zone" TargetMode="External" /><Relationship Id="rId12" Type="http://schemas.openxmlformats.org/officeDocument/2006/relationships/hyperlink" Target="https://www.pik-potsdam.de/en/news/latest-news/seven-of-nine-planetary-boundaries-now-breached-2013-ocean-acidification-joins-the-danger-zone" TargetMode="External" /><Relationship Id="rId13" Type="http://schemas.openxmlformats.org/officeDocument/2006/relationships/hyperlink" Target="https://www.pik-potsdam.de/en/news/latest-news/seven-of-nine-planetary-boundaries-now-breached-2013-ocean-acidification-joins-the-danger-zone" TargetMode="External" /><Relationship Id="rId14" Type="http://schemas.openxmlformats.org/officeDocument/2006/relationships/hyperlink" Target="https://www.pik-potsdam.de/en/news/latest-news/seven-of-nine-planetary-boundaries-now-breached-2013-ocean-acidification-joins-the-danger-zone" TargetMode="External" /><Relationship Id="rId15" Type="http://schemas.openxmlformats.org/officeDocument/2006/relationships/hyperlink" Target="https://www.pik-potsdam.de/en/news/latest-news/seven-of-nine-planetary-boundaries-now-breached-2013-ocean-acidification-joins-the-danger-zone" TargetMode="External" /><Relationship Id="rId16" Type="http://schemas.openxmlformats.org/officeDocument/2006/relationships/hyperlink" Target="https://www.pik-potsdam.de/en/news/latest-news/seven-of-nine-planetary-boundaries-now-breached-2013-ocean-acidification-joins-the-danger-zone" TargetMode="External" /><Relationship Id="rId17" Type="http://schemas.openxmlformats.org/officeDocument/2006/relationships/hyperlink" Target="https://en.wikipedia.org/wiki/PH" TargetMode="External" /><Relationship Id="rId18" Type="http://schemas.openxmlformats.org/officeDocument/2006/relationships/hyperlink" Target="https://www.nature.com/articles/461472a" TargetMode="External" /><Relationship Id="rId19" Type="http://schemas.openxmlformats.org/officeDocument/2006/relationships/hyperlink" Target="https://en.wikipedia.org/wiki/Planetary_boundaries" TargetMode="External" /><Relationship Id="rId2" Type="http://schemas.openxmlformats.org/officeDocument/2006/relationships/webSettings" Target="webSettings.xml" /><Relationship Id="rId20" Type="http://schemas.openxmlformats.org/officeDocument/2006/relationships/hyperlink" Target="https://en.wikipedia.org/wiki/Planetary_boundaries" TargetMode="External" /><Relationship Id="rId21" Type="http://schemas.openxmlformats.org/officeDocument/2006/relationships/hyperlink" Target="https://en.wikipedia.org/wiki/Planetary_boundaries" TargetMode="External" /><Relationship Id="rId22" Type="http://schemas.openxmlformats.org/officeDocument/2006/relationships/hyperlink" Target="https://en.wikipedia.org/wiki/Planetary_boundaries" TargetMode="External" /><Relationship Id="rId23" Type="http://schemas.openxmlformats.org/officeDocument/2006/relationships/hyperlink" Target="https://en.wikipedia.org/wiki/Planetary_boundaries" TargetMode="External" /><Relationship Id="rId24" Type="http://schemas.openxmlformats.org/officeDocument/2006/relationships/hyperlink" Target="https://www.planetaryhealthcheck.org/" TargetMode="External" /><Relationship Id="rId25" Type="http://schemas.openxmlformats.org/officeDocument/2006/relationships/hyperlink" Target="https://www.planetaryhealthcheck.org/" TargetMode="External" /><Relationship Id="rId26" Type="http://schemas.openxmlformats.org/officeDocument/2006/relationships/hyperlink" Target="https://www.planetaryhealthcheck.org/" TargetMode="External" /><Relationship Id="rId27" Type="http://schemas.openxmlformats.org/officeDocument/2006/relationships/hyperlink" Target="https://www.planetaryhealthcheck.org/" TargetMode="External" /><Relationship Id="rId28" Type="http://schemas.openxmlformats.org/officeDocument/2006/relationships/hyperlink" Target="https://www.planetaryhealthcheck.org/" TargetMode="External" /><Relationship Id="rId29" Type="http://schemas.openxmlformats.org/officeDocument/2006/relationships/hyperlink" Target="https://www.planetaryhealthcheck.org/" TargetMode="External" /><Relationship Id="rId3" Type="http://schemas.openxmlformats.org/officeDocument/2006/relationships/fontTable" Target="fontTable.xml" /><Relationship Id="rId30" Type="http://schemas.openxmlformats.org/officeDocument/2006/relationships/hyperlink" Target="https://www.planetaryhealthcheck.org/" TargetMode="External" /><Relationship Id="rId31" Type="http://schemas.openxmlformats.org/officeDocument/2006/relationships/hyperlink" Target="https://www.pmel.noaa.gov/co2/story/Ocean+Acidification" TargetMode="External" /><Relationship Id="rId32" Type="http://schemas.openxmlformats.org/officeDocument/2006/relationships/hyperlink" Target="https://ec.europa.eu/commission/presscorner/detail/en/ip_25_2250" TargetMode="External" /><Relationship Id="rId33" Type="http://schemas.openxmlformats.org/officeDocument/2006/relationships/hyperlink" Target="https://ec.europa.eu/commission/presscorner/detail/en/ip_25_2250" TargetMode="External" /><Relationship Id="rId34" Type="http://schemas.openxmlformats.org/officeDocument/2006/relationships/hyperlink" Target="https://ec.europa.eu/commission/presscorner/detail/en/ip_25_2250" TargetMode="External" /><Relationship Id="rId35" Type="http://schemas.openxmlformats.org/officeDocument/2006/relationships/hyperlink" Target="https://ec.europa.eu/commission/presscorner/detail/en/ip_25_2250" TargetMode="External" /><Relationship Id="rId36" Type="http://schemas.openxmlformats.org/officeDocument/2006/relationships/hyperlink" Target="https://ec.europa.eu/commission/presscorner/detail/en/ip_25_2250" TargetMode="External" /><Relationship Id="rId37" Type="http://schemas.openxmlformats.org/officeDocument/2006/relationships/hyperlink" Target="https://ec.europa.eu/commission/presscorner/detail/en/ip_25_2250" TargetMode="External" /><Relationship Id="rId38" Type="http://schemas.openxmlformats.org/officeDocument/2006/relationships/hyperlink" Target="https://ec.europa.eu/commission/presscorner/detail/en/ip_25_2250" TargetMode="External" /><Relationship Id="rId39" Type="http://schemas.openxmlformats.org/officeDocument/2006/relationships/hyperlink" Target="https://ec.europa.eu/commission/presscorner/detail/en/ip_25_2250" TargetMode="External" /><Relationship Id="rId4" Type="http://schemas.openxmlformats.org/officeDocument/2006/relationships/header" Target="header1.xml" /><Relationship Id="rId40" Type="http://schemas.openxmlformats.org/officeDocument/2006/relationships/hyperlink" Target="https://ec.europa.eu/commission/presscorner/detail/en/ip_25_2250" TargetMode="External" /><Relationship Id="rId41" Type="http://schemas.openxmlformats.org/officeDocument/2006/relationships/hyperlink" Target="https://www.youtube-nocookie.com/embed/0oEga1D1uVs?feature=oembed" TargetMode="External" /><Relationship Id="rId42" Type="http://schemas.openxmlformats.org/officeDocument/2006/relationships/hyperlink" Target="https://www.youtube-nocookie.com/embed/0oEga1D1uVs?feature=oembed" TargetMode="External" /><Relationship Id="rId43" Type="http://schemas.openxmlformats.org/officeDocument/2006/relationships/hyperlink" Target="https://www.youtube-nocookie.com/embed/0oEga1D1uVs?feature=oembed" TargetMode="External" /><Relationship Id="rId44" Type="http://schemas.openxmlformats.org/officeDocument/2006/relationships/hyperlink" Target="https://maritime-forum.ec.europa.eu/ocean-digital-twin_en" TargetMode="External" /><Relationship Id="rId45" Type="http://schemas.openxmlformats.org/officeDocument/2006/relationships/hyperlink" Target="https://maritime-forum.ec.europa.eu/ocean-digital-twin_en" TargetMode="External" /><Relationship Id="rId46" Type="http://schemas.openxmlformats.org/officeDocument/2006/relationships/hyperlink" Target="https://maritime-forum.ec.europa.eu/ocean-digital-twin_en" TargetMode="External" /><Relationship Id="rId47" Type="http://schemas.openxmlformats.org/officeDocument/2006/relationships/hyperlink" Target="https://www.eea.europa.eu/en/analysis/publications/how-climate-change-impacts-marine-life" TargetMode="External" /><Relationship Id="rId48" Type="http://schemas.openxmlformats.org/officeDocument/2006/relationships/hyperlink" Target="https://www.eea.europa.eu/en/analysis/publications/how-climate-change-impacts-marine-life" TargetMode="External" /><Relationship Id="rId49" Type="http://schemas.openxmlformats.org/officeDocument/2006/relationships/hyperlink" Target="https://www.eea.europa.eu/en/analysis/publications/how-climate-change-impacts-marine-life" TargetMode="External" /><Relationship Id="rId5" Type="http://schemas.openxmlformats.org/officeDocument/2006/relationships/footer" Target="footer1.xml" /><Relationship Id="rId50" Type="http://schemas.openxmlformats.org/officeDocument/2006/relationships/hyperlink" Target="https://www.eea.europa.eu/en/analysis/publications/how-climate-change-impacts-marine-life" TargetMode="External" /><Relationship Id="rId51" Type="http://schemas.openxmlformats.org/officeDocument/2006/relationships/hyperlink" Target="https://www.eea.europa.eu/en/analysis/publications/how-climate-change-impacts-marine-life" TargetMode="External" /><Relationship Id="rId52" Type="http://schemas.openxmlformats.org/officeDocument/2006/relationships/hyperlink" Target="https://dailygalaxy.com/newsletter/"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2.xml" /><Relationship Id="rId7" Type="http://schemas.openxmlformats.org/officeDocument/2006/relationships/hyperlink" Target="https://advance.lexis.com/api/document?collection=news&amp;id=urn:contentItem:6H2F-XGH3-RTMM-C2V0-00000-00&amp;context=1519360" TargetMode="External" /><Relationship Id="rId8" Type="http://schemas.openxmlformats.org/officeDocument/2006/relationships/hyperlink" Target="http://www.dailygalaxy.com/?utm_source=%5B%5BDELIVERY_RECIPIENT_CODE%5D%5D&amp;utm_medium=partner&amp;utm_campaign=newstex" TargetMode="External" /><Relationship Id="rId9" Type="http://schemas.openxmlformats.org/officeDocument/2006/relationships/hyperlink" Target="https://newstex.com/?utm_source=%5B%5BDELIVERY_RECIPIENT_CODE%5D%5D&amp;utm_medium=partner&amp;utm_campaign=The+Daily+Galaxy&amp;utm_id=106174&amp;utm_content=DGLX-106174-01K8GNQG59TT3E7WF7AD413D5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 Nears the Brink of Total Uninhabitability: A New Planetary Boundary Is Officially Crossed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