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4.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Re-annotation improved large-scale assembly of the reef-building coral Acropora intermedia</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Scientific Data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2025</w:t>
      </w:r>
    </w:p>
    <w:p>
      <w:pPr>
        <w:keepNext w:val="0"/>
        <w:spacing w:after="0" w:line="240" w:lineRule="atLeast"/>
        <w:ind w:right="0"/>
        <w:jc w:val="both"/>
      </w:pPr>
      <w:bookmarkStart w:id="0" w:name="Bookmark_59"/>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Author(s)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Vol. 12; No. 1; ISSN: 2052-4463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3357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Xinyao Chang; </w:t>
      </w:r>
      <w:r>
        <w:rPr>
          <w:rFonts w:ascii="arial" w:eastAsia="arial" w:hAnsi="arial" w:cs="arial"/>
          <w:vertAlign w:val="superscript"/>
        </w:rPr>
        <w:footnoteReference w:customMarkFollows="1" w:id="2"/>
        <w:t xml:space="preserve">1</w:t>
      </w:r>
      <w:r>
        <w:rPr>
          <w:rFonts w:ascii="arial" w:eastAsia="arial" w:hAnsi="arial" w:cs="arial"/>
          <w:vertAlign w:val="superscript"/>
        </w:rPr>
        <w:footnoteReference w:customMarkFollows="1" w:id="3"/>
        <w:t xml:space="preserve">2</w:t>
      </w:r>
      <w:r>
        <w:rPr>
          <w:rFonts w:ascii="arial" w:eastAsia="arial" w:hAnsi="arial" w:cs="arial"/>
          <w:vertAlign w:val="superscript"/>
        </w:rPr>
        <w:footnoteReference w:customMarkFollows="1" w:id="4"/>
        <w:t xml:space="preserve">1</w:t>
      </w:r>
      <w:r>
        <w:rPr>
          <w:rFonts w:ascii="arial" w:eastAsia="arial" w:hAnsi="arial" w:cs="arial"/>
          <w:b w:val="0"/>
          <w:i w:val="0"/>
          <w:strike w:val="0"/>
          <w:noProof w:val="0"/>
          <w:color w:val="000000"/>
          <w:position w:val="0"/>
          <w:sz w:val="20"/>
          <w:u w:val="none"/>
          <w:vertAlign w:val="baseline"/>
        </w:rPr>
        <w:t xml:space="preserve">Wentao Han; </w:t>
      </w:r>
      <w:r>
        <w:rPr>
          <w:rFonts w:ascii="arial" w:eastAsia="arial" w:hAnsi="arial" w:cs="arial"/>
          <w:vertAlign w:val="superscript"/>
        </w:rPr>
        <w:footnoteReference w:customMarkFollows="1" w:id="5"/>
        <w:t xml:space="preserve">1</w:t>
      </w:r>
      <w:r>
        <w:rPr>
          <w:rFonts w:ascii="arial" w:eastAsia="arial" w:hAnsi="arial" w:cs="arial"/>
          <w:vertAlign w:val="superscript"/>
        </w:rPr>
        <w:footnoteReference w:customMarkFollows="1" w:id="6"/>
        <w:t xml:space="preserve">2</w:t>
      </w:r>
      <w:r>
        <w:rPr>
          <w:rFonts w:ascii="arial" w:eastAsia="arial" w:hAnsi="arial" w:cs="arial"/>
          <w:vertAlign w:val="superscript"/>
        </w:rPr>
        <w:footnoteReference w:customMarkFollows="1" w:id="7"/>
        <w:t xml:space="preserve">3</w:t>
      </w:r>
      <w:r>
        <w:rPr>
          <w:rFonts w:ascii="arial" w:eastAsia="arial" w:hAnsi="arial" w:cs="arial"/>
          <w:vertAlign w:val="superscript"/>
        </w:rPr>
        <w:footnoteReference w:customMarkFollows="1" w:id="8"/>
        <w:t xml:space="preserve">1</w:t>
      </w:r>
      <w:r>
        <w:rPr>
          <w:rFonts w:ascii="arial" w:eastAsia="arial" w:hAnsi="arial" w:cs="arial"/>
          <w:b w:val="0"/>
          <w:i w:val="0"/>
          <w:strike w:val="0"/>
          <w:noProof w:val="0"/>
          <w:color w:val="000000"/>
          <w:position w:val="0"/>
          <w:sz w:val="20"/>
          <w:u w:val="none"/>
          <w:vertAlign w:val="baseline"/>
        </w:rPr>
        <w:t xml:space="preserve">Xiaomei Chen; </w:t>
      </w:r>
      <w:r>
        <w:rPr>
          <w:rFonts w:ascii="arial" w:eastAsia="arial" w:hAnsi="arial" w:cs="arial"/>
          <w:vertAlign w:val="superscript"/>
        </w:rPr>
        <w:footnoteReference w:customMarkFollows="1" w:id="9"/>
        <w:t xml:space="preserve">1</w:t>
      </w:r>
      <w:r>
        <w:rPr>
          <w:rFonts w:ascii="arial" w:eastAsia="arial" w:hAnsi="arial" w:cs="arial"/>
          <w:vertAlign w:val="superscript"/>
        </w:rPr>
        <w:footnoteReference w:customMarkFollows="1" w:id="10"/>
        <w:t xml:space="preserve">2</w:t>
      </w:r>
      <w:r>
        <w:rPr>
          <w:rFonts w:ascii="arial" w:eastAsia="arial" w:hAnsi="arial" w:cs="arial"/>
          <w:vertAlign w:val="superscript"/>
        </w:rPr>
        <w:footnoteReference w:customMarkFollows="1" w:id="11"/>
        <w:t xml:space="preserve">3</w:t>
      </w:r>
      <w:r>
        <w:rPr>
          <w:rFonts w:ascii="arial" w:eastAsia="arial" w:hAnsi="arial" w:cs="arial"/>
          <w:b w:val="0"/>
          <w:i w:val="0"/>
          <w:strike w:val="0"/>
          <w:noProof w:val="0"/>
          <w:color w:val="000000"/>
          <w:position w:val="0"/>
          <w:sz w:val="20"/>
          <w:u w:val="none"/>
          <w:vertAlign w:val="baseline"/>
        </w:rPr>
        <w:t xml:space="preserve">Caiyin Tang; </w:t>
      </w:r>
      <w:r>
        <w:rPr>
          <w:rFonts w:ascii="arial" w:eastAsia="arial" w:hAnsi="arial" w:cs="arial"/>
          <w:vertAlign w:val="superscript"/>
        </w:rPr>
        <w:footnoteReference w:customMarkFollows="1" w:id="12"/>
        <w:t xml:space="preserve">1</w:t>
      </w:r>
      <w:r>
        <w:rPr>
          <w:rFonts w:ascii="arial" w:eastAsia="arial" w:hAnsi="arial" w:cs="arial"/>
          <w:vertAlign w:val="superscript"/>
        </w:rPr>
        <w:footnoteReference w:customMarkFollows="1" w:id="13"/>
        <w:t xml:space="preserve">2</w:t>
      </w:r>
      <w:r>
        <w:rPr>
          <w:rFonts w:ascii="arial" w:eastAsia="arial" w:hAnsi="arial" w:cs="arial"/>
          <w:b w:val="0"/>
          <w:i w:val="0"/>
          <w:strike w:val="0"/>
          <w:noProof w:val="0"/>
          <w:color w:val="000000"/>
          <w:position w:val="0"/>
          <w:sz w:val="20"/>
          <w:u w:val="none"/>
          <w:vertAlign w:val="baseline"/>
        </w:rPr>
        <w:t xml:space="preserve">Danyang Wang; </w:t>
      </w:r>
      <w:r>
        <w:rPr>
          <w:rFonts w:ascii="arial" w:eastAsia="arial" w:hAnsi="arial" w:cs="arial"/>
          <w:vertAlign w:val="superscript"/>
        </w:rPr>
        <w:footnoteReference w:customMarkFollows="1" w:id="14"/>
        <w:t xml:space="preserve">2</w:t>
      </w:r>
      <w:r>
        <w:rPr>
          <w:rFonts w:ascii="arial" w:eastAsia="arial" w:hAnsi="arial" w:cs="arial"/>
          <w:b w:val="0"/>
          <w:i w:val="0"/>
          <w:strike w:val="0"/>
          <w:noProof w:val="0"/>
          <w:color w:val="000000"/>
          <w:position w:val="0"/>
          <w:sz w:val="20"/>
          <w:u w:val="none"/>
          <w:vertAlign w:val="baseline"/>
        </w:rPr>
        <w:t xml:space="preserve">Heng Huang; </w:t>
      </w:r>
      <w:r>
        <w:rPr>
          <w:rFonts w:ascii="arial" w:eastAsia="arial" w:hAnsi="arial" w:cs="arial"/>
          <w:vertAlign w:val="superscript"/>
        </w:rPr>
        <w:footnoteReference w:customMarkFollows="1" w:id="15"/>
        <w:t xml:space="preserve">1</w:t>
      </w:r>
      <w:r>
        <w:rPr>
          <w:rFonts w:ascii="arial" w:eastAsia="arial" w:hAnsi="arial" w:cs="arial"/>
          <w:b w:val="0"/>
          <w:i w:val="0"/>
          <w:strike w:val="0"/>
          <w:noProof w:val="0"/>
          <w:color w:val="000000"/>
          <w:position w:val="0"/>
          <w:sz w:val="20"/>
          <w:u w:val="none"/>
          <w:vertAlign w:val="baseline"/>
        </w:rPr>
        <w:t xml:space="preserve">Yuli Li; </w:t>
      </w:r>
      <w:r>
        <w:rPr>
          <w:rFonts w:ascii="arial" w:eastAsia="arial" w:hAnsi="arial" w:cs="arial"/>
          <w:vertAlign w:val="superscript"/>
        </w:rPr>
        <w:footnoteReference w:customMarkFollows="1" w:id="16"/>
        <w:t xml:space="preserve">1</w:t>
      </w:r>
      <w:r>
        <w:rPr>
          <w:rFonts w:ascii="arial" w:eastAsia="arial" w:hAnsi="arial" w:cs="arial"/>
          <w:vertAlign w:val="superscript"/>
        </w:rPr>
        <w:footnoteReference w:customMarkFollows="1" w:id="17"/>
        <w:t xml:space="preserve">2</w:t>
      </w:r>
      <w:r>
        <w:rPr>
          <w:rFonts w:ascii="arial" w:eastAsia="arial" w:hAnsi="arial" w:cs="arial"/>
          <w:b w:val="0"/>
          <w:i w:val="0"/>
          <w:strike w:val="0"/>
          <w:noProof w:val="0"/>
          <w:color w:val="000000"/>
          <w:position w:val="0"/>
          <w:sz w:val="20"/>
          <w:u w:val="none"/>
          <w:vertAlign w:val="baseline"/>
        </w:rPr>
        <w:t xml:space="preserve">Kai Chen; </w:t>
      </w:r>
      <w:r>
        <w:rPr>
          <w:rFonts w:ascii="arial" w:eastAsia="arial" w:hAnsi="arial" w:cs="arial"/>
          <w:vertAlign w:val="superscript"/>
        </w:rPr>
        <w:footnoteReference w:customMarkFollows="1" w:id="18"/>
        <w:t xml:space="preserve">2</w:t>
      </w:r>
      <w:r>
        <w:rPr>
          <w:rFonts w:ascii="arial" w:eastAsia="arial" w:hAnsi="arial" w:cs="arial"/>
          <w:b w:val="0"/>
          <w:i w:val="0"/>
          <w:strike w:val="0"/>
          <w:noProof w:val="0"/>
          <w:color w:val="000000"/>
          <w:position w:val="0"/>
          <w:sz w:val="20"/>
          <w:u w:val="none"/>
          <w:vertAlign w:val="baseline"/>
        </w:rPr>
        <w:t xml:space="preserve">Jingjie Hu; </w:t>
      </w:r>
      <w:r>
        <w:rPr>
          <w:rFonts w:ascii="arial" w:eastAsia="arial" w:hAnsi="arial" w:cs="arial"/>
          <w:vertAlign w:val="superscript"/>
        </w:rPr>
        <w:footnoteReference w:customMarkFollows="1" w:id="19"/>
        <w:t xml:space="preserve">1</w:t>
      </w:r>
      <w:r>
        <w:rPr>
          <w:rFonts w:ascii="arial" w:eastAsia="arial" w:hAnsi="arial" w:cs="arial"/>
          <w:vertAlign w:val="superscript"/>
        </w:rPr>
        <w:footnoteReference w:customMarkFollows="1" w:id="20"/>
        <w:t xml:space="preserve">2</w:t>
      </w:r>
      <w:r>
        <w:rPr>
          <w:rFonts w:ascii="arial" w:eastAsia="arial" w:hAnsi="arial" w:cs="arial"/>
          <w:b w:val="0"/>
          <w:i w:val="0"/>
          <w:strike w:val="0"/>
          <w:noProof w:val="0"/>
          <w:color w:val="000000"/>
          <w:position w:val="0"/>
          <w:sz w:val="20"/>
          <w:u w:val="none"/>
          <w:vertAlign w:val="baseline"/>
        </w:rPr>
        <w:t xml:space="preserve">Zhenmin Bao; </w:t>
      </w:r>
      <w:r>
        <w:rPr>
          <w:rFonts w:ascii="arial" w:eastAsia="arial" w:hAnsi="arial" w:cs="arial"/>
          <w:vertAlign w:val="superscript"/>
        </w:rPr>
        <w:footnoteReference w:customMarkFollows="1" w:id="21"/>
        <w:t xml:space="preserve">1</w:t>
      </w:r>
      <w:r>
        <w:rPr>
          <w:rFonts w:ascii="arial" w:eastAsia="arial" w:hAnsi="arial" w:cs="arial"/>
          <w:vertAlign w:val="superscript"/>
        </w:rPr>
        <w:footnoteReference w:customMarkFollows="1" w:id="22"/>
        <w:t xml:space="preserve">2</w:t>
      </w:r>
      <w:r>
        <w:rPr>
          <w:rFonts w:ascii="arial" w:eastAsia="arial" w:hAnsi="arial" w:cs="arial"/>
          <w:b w:val="0"/>
          <w:i w:val="0"/>
          <w:strike w:val="0"/>
          <w:noProof w:val="0"/>
          <w:color w:val="000000"/>
          <w:position w:val="0"/>
          <w:sz w:val="20"/>
          <w:u w:val="none"/>
          <w:vertAlign w:val="baseline"/>
        </w:rPr>
        <w:t xml:space="preserve">Hong Chen; </w:t>
      </w:r>
      <w:r>
        <w:rPr>
          <w:rFonts w:ascii="arial" w:eastAsia="arial" w:hAnsi="arial" w:cs="arial"/>
          <w:vertAlign w:val="superscript"/>
        </w:rPr>
        <w:footnoteReference w:customMarkFollows="1" w:id="23"/>
        <w:t xml:space="preserve">4</w:t>
      </w:r>
      <w:r>
        <w:rPr>
          <w:rFonts w:ascii="arial" w:eastAsia="arial" w:hAnsi="arial" w:cs="arial"/>
          <w:vertAlign w:val="superscript"/>
        </w:rPr>
        <w:footnoteReference w:id="24"/>
      </w:r>
      <w:r>
        <w:rPr>
          <w:rFonts w:ascii="arial" w:eastAsia="arial" w:hAnsi="arial" w:cs="arial"/>
          <w:b w:val="0"/>
          <w:i w:val="0"/>
          <w:strike w:val="0"/>
          <w:noProof w:val="0"/>
          <w:color w:val="000000"/>
          <w:position w:val="0"/>
          <w:sz w:val="20"/>
          <w:u w:val="none"/>
          <w:vertAlign w:val="baseline"/>
        </w:rPr>
        <w:t xml:space="preserve">Shi Wang; </w:t>
      </w:r>
      <w:r>
        <w:rPr>
          <w:rFonts w:ascii="arial" w:eastAsia="arial" w:hAnsi="arial" w:cs="arial"/>
          <w:vertAlign w:val="superscript"/>
        </w:rPr>
        <w:footnoteReference w:customMarkFollows="1" w:id="25"/>
        <w:t xml:space="preserve">1</w:t>
      </w:r>
      <w:r>
        <w:rPr>
          <w:rFonts w:ascii="arial" w:eastAsia="arial" w:hAnsi="arial" w:cs="arial"/>
          <w:vertAlign w:val="superscript"/>
        </w:rPr>
        <w:footnoteReference w:customMarkFollows="1" w:id="26"/>
        <w:t xml:space="preserve">2</w:t>
      </w:r>
      <w:r>
        <w:rPr>
          <w:rFonts w:ascii="arial" w:eastAsia="arial" w:hAnsi="arial" w:cs="arial"/>
          <w:vertAlign w:val="superscript"/>
        </w:rPr>
        <w:footnoteReference w:customMarkFollows="1" w:id="27"/>
        <w:t xml:space="preserve">3</w:t>
      </w:r>
      <w:r>
        <w:rPr>
          <w:rFonts w:ascii="arial" w:eastAsia="arial" w:hAnsi="arial" w:cs="arial"/>
          <w:vertAlign w:val="superscript"/>
        </w:rPr>
        <w:footnoteReference w:id="28"/>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Abstract</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Acropora</w:t>
      </w:r>
      <w:r>
        <w:rPr>
          <w:rFonts w:ascii="arial" w:eastAsia="arial" w:hAnsi="arial" w:cs="arial"/>
          <w:b w:val="0"/>
          <w:i w:val="0"/>
          <w:strike w:val="0"/>
          <w:noProof w:val="0"/>
          <w:color w:val="000000"/>
          <w:position w:val="0"/>
          <w:sz w:val="20"/>
          <w:u w:val="none"/>
          <w:vertAlign w:val="baseline"/>
        </w:rPr>
        <w:t xml:space="preserve"> corals, primary reef-builders providing habitat for numerous marine species, now face novel survival pressures due to environmental changes. </w:t>
      </w:r>
      <w:r>
        <w:rPr>
          <w:rFonts w:ascii="arial" w:eastAsia="arial" w:hAnsi="arial" w:cs="arial"/>
          <w:b w:val="0"/>
          <w:i/>
          <w:strike w:val="0"/>
          <w:noProof w:val="0"/>
          <w:color w:val="000000"/>
          <w:position w:val="0"/>
          <w:sz w:val="20"/>
          <w:u w:val="none"/>
          <w:vertAlign w:val="baseline"/>
        </w:rPr>
        <w:t>Acropora intermedia</w:t>
      </w:r>
      <w:r>
        <w:rPr>
          <w:rFonts w:ascii="arial" w:eastAsia="arial" w:hAnsi="arial" w:cs="arial"/>
          <w:b w:val="0"/>
          <w:i w:val="0"/>
          <w:strike w:val="0"/>
          <w:noProof w:val="0"/>
          <w:color w:val="000000"/>
          <w:position w:val="0"/>
          <w:sz w:val="20"/>
          <w:u w:val="none"/>
          <w:vertAlign w:val="baseline"/>
        </w:rPr>
        <w:t xml:space="preserve"> (Brook 1891), a significant contributor to the vibrant ecosystems of coral reefs in the Indo-Pacific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also exhibits enhanced resistance to both thermal and acid stress. To advance future studies, we report an improved high-quality genome assembly for </w:t>
      </w:r>
      <w:r>
        <w:rPr>
          <w:rFonts w:ascii="arial" w:eastAsia="arial" w:hAnsi="arial" w:cs="arial"/>
          <w:b w:val="0"/>
          <w:i/>
          <w:strike w:val="0"/>
          <w:noProof w:val="0"/>
          <w:color w:val="000000"/>
          <w:position w:val="0"/>
          <w:sz w:val="20"/>
          <w:u w:val="none"/>
          <w:vertAlign w:val="baseline"/>
        </w:rPr>
        <w:t>A. intermedia</w:t>
      </w:r>
      <w:r>
        <w:rPr>
          <w:rFonts w:ascii="arial" w:eastAsia="arial" w:hAnsi="arial" w:cs="arial"/>
          <w:b w:val="0"/>
          <w:i w:val="0"/>
          <w:strike w:val="0"/>
          <w:noProof w:val="0"/>
          <w:color w:val="000000"/>
          <w:position w:val="0"/>
          <w:sz w:val="20"/>
          <w:u w:val="none"/>
          <w:vertAlign w:val="baseline"/>
        </w:rPr>
        <w:t xml:space="preserve"> obtained through PacBio Hi-Fi long-read sequencing, with a total size of 496.8 Mb. Compared to the previous version, our genome assembly shows substantial improvements in contiguity, with the Contig N50 increasing from 40.3 Kb to 2.9 Mb, and the number of contigs decreasing from 20,998 to 633. Specifically, our genome exhibits no undetectable ambiguous bases (N’s) per 100 Kbp, which is remarkably lower than the previous version (5,276.11 per 100 Kbp). The percentage of assembly completeness evaluation based on Benchmarking Universal Single-Copy Orthologs (BUSCO) has increased from 90.6% to 92.6%. We predict a total of 26,852 protein-coding genes, with a BUSCO completeness of 95.7%, marking a 2.7% increase from the previous assembly. Our re-annotation and improved genome assembly of </w:t>
      </w:r>
      <w:r>
        <w:rPr>
          <w:rFonts w:ascii="arial" w:eastAsia="arial" w:hAnsi="arial" w:cs="arial"/>
          <w:b w:val="0"/>
          <w:i/>
          <w:strike w:val="0"/>
          <w:noProof w:val="0"/>
          <w:color w:val="000000"/>
          <w:position w:val="0"/>
          <w:sz w:val="20"/>
          <w:u w:val="none"/>
          <w:vertAlign w:val="baseline"/>
        </w:rPr>
        <w:t>A. intermedia</w:t>
      </w:r>
      <w:r>
        <w:rPr>
          <w:rFonts w:ascii="arial" w:eastAsia="arial" w:hAnsi="arial" w:cs="arial"/>
          <w:b w:val="0"/>
          <w:i w:val="0"/>
          <w:strike w:val="0"/>
          <w:noProof w:val="0"/>
          <w:color w:val="000000"/>
          <w:position w:val="0"/>
          <w:sz w:val="20"/>
          <w:u w:val="none"/>
          <w:vertAlign w:val="baseline"/>
        </w:rPr>
        <w:t xml:space="preserve"> provide a valuable resource for further studies on coral adaptation mechanisms under climate change, and will facilitate comparative and evolutionary research of </w:t>
      </w:r>
      <w:r>
        <w:rPr>
          <w:rFonts w:ascii="arial" w:eastAsia="arial" w:hAnsi="arial" w:cs="arial"/>
          <w:b w:val="0"/>
          <w:i/>
          <w:strike w:val="0"/>
          <w:noProof w:val="0"/>
          <w:color w:val="000000"/>
          <w:position w:val="0"/>
          <w:sz w:val="20"/>
          <w:u w:val="none"/>
          <w:vertAlign w:val="baseline"/>
        </w:rPr>
        <w:t>Acropora</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Background &amp; Summary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Coral, as one of the oldest inhabitants on Earth, plays a foundational role in the coral reef ecosystems they constitute1. Coral reef ecosystems are of immense ecological and economic importance, contributing to coastal protection, marine water purification, and the regulation of the carbon cycle. However, these ecosystems are exceptionally sensitive and vulnerable, responding acutely to environmental changes2, 3, 4, 5–6. To date, nearly 50% of the coral reefs have been degraded worldwide, with 14% of that degradation occurring within the past decade4. Reef-building corals are ecologically significant due to their fundamental contributions to reef formation, ecosystem regulation, and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support7,8. </w:t>
      </w:r>
      <w:r>
        <w:rPr>
          <w:rFonts w:ascii="arial" w:eastAsia="arial" w:hAnsi="arial" w:cs="arial"/>
          <w:b w:val="0"/>
          <w:i/>
          <w:strike w:val="0"/>
          <w:noProof w:val="0"/>
          <w:color w:val="000000"/>
          <w:position w:val="0"/>
          <w:sz w:val="20"/>
          <w:u w:val="none"/>
          <w:vertAlign w:val="baseline"/>
        </w:rPr>
        <w:t>Acropora</w:t>
      </w:r>
      <w:r>
        <w:rPr>
          <w:rFonts w:ascii="arial" w:eastAsia="arial" w:hAnsi="arial" w:cs="arial"/>
          <w:b w:val="0"/>
          <w:i w:val="0"/>
          <w:strike w:val="0"/>
          <w:noProof w:val="0"/>
          <w:color w:val="000000"/>
          <w:position w:val="0"/>
          <w:sz w:val="20"/>
          <w:u w:val="none"/>
          <w:vertAlign w:val="baseline"/>
        </w:rPr>
        <w:t xml:space="preserve">, a genus of reef-building corals, is widely distributed across the globe, spanning vast oceanic regions from the Red Sea to the Indo-Pacific and even the Caribbean9,10. This genus is known for its great diversity and abundance, serving as the dominant genus of reef-building corals in the Indo-Pacific region11,12. Unfortunately, </w:t>
      </w:r>
      <w:r>
        <w:rPr>
          <w:rFonts w:ascii="arial" w:eastAsia="arial" w:hAnsi="arial" w:cs="arial"/>
          <w:b w:val="0"/>
          <w:i/>
          <w:strike w:val="0"/>
          <w:noProof w:val="0"/>
          <w:color w:val="000000"/>
          <w:position w:val="0"/>
          <w:sz w:val="20"/>
          <w:u w:val="none"/>
          <w:vertAlign w:val="baseline"/>
        </w:rPr>
        <w:t>Acropora</w:t>
      </w:r>
      <w:r>
        <w:rPr>
          <w:rFonts w:ascii="arial" w:eastAsia="arial" w:hAnsi="arial" w:cs="arial"/>
          <w:b w:val="0"/>
          <w:i w:val="0"/>
          <w:strike w:val="0"/>
          <w:noProof w:val="0"/>
          <w:color w:val="000000"/>
          <w:position w:val="0"/>
          <w:sz w:val="20"/>
          <w:u w:val="none"/>
          <w:vertAlign w:val="baseline"/>
        </w:rPr>
        <w:t xml:space="preserve"> species have suffered from severe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events13, 14–15, leading to the loss of large areas of coral reefs. Given these challenges, understanding how </w:t>
      </w:r>
      <w:r>
        <w:rPr>
          <w:rFonts w:ascii="arial" w:eastAsia="arial" w:hAnsi="arial" w:cs="arial"/>
          <w:b w:val="0"/>
          <w:i/>
          <w:strike w:val="0"/>
          <w:noProof w:val="0"/>
          <w:color w:val="000000"/>
          <w:position w:val="0"/>
          <w:sz w:val="20"/>
          <w:u w:val="none"/>
          <w:vertAlign w:val="baseline"/>
        </w:rPr>
        <w:t>Acropora</w:t>
      </w:r>
      <w:r>
        <w:rPr>
          <w:rFonts w:ascii="arial" w:eastAsia="arial" w:hAnsi="arial" w:cs="arial"/>
          <w:b w:val="0"/>
          <w:i w:val="0"/>
          <w:strike w:val="0"/>
          <w:noProof w:val="0"/>
          <w:color w:val="000000"/>
          <w:position w:val="0"/>
          <w:sz w:val="20"/>
          <w:u w:val="none"/>
          <w:vertAlign w:val="baseline"/>
        </w:rPr>
        <w:t xml:space="preserve"> responds to the environment is desired. This exploration may necessitate the application of omics-based approaches to uncover adaptive mechanisms that could inform conservation strategies.</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Acropora digitifera</w:t>
      </w:r>
      <w:r>
        <w:rPr>
          <w:rFonts w:ascii="arial" w:eastAsia="arial" w:hAnsi="arial" w:cs="arial"/>
          <w:b w:val="0"/>
          <w:i w:val="0"/>
          <w:strike w:val="0"/>
          <w:noProof w:val="0"/>
          <w:color w:val="000000"/>
          <w:position w:val="0"/>
          <w:sz w:val="20"/>
          <w:u w:val="none"/>
          <w:vertAlign w:val="baseline"/>
        </w:rPr>
        <w:t xml:space="preserve"> was the first coral species to have its genome sequenced16, followed by the subsequent release of additional </w:t>
      </w:r>
      <w:r>
        <w:rPr>
          <w:rFonts w:ascii="arial" w:eastAsia="arial" w:hAnsi="arial" w:cs="arial"/>
          <w:b w:val="0"/>
          <w:i/>
          <w:strike w:val="0"/>
          <w:noProof w:val="0"/>
          <w:color w:val="000000"/>
          <w:position w:val="0"/>
          <w:sz w:val="20"/>
          <w:u w:val="none"/>
          <w:vertAlign w:val="baseline"/>
        </w:rPr>
        <w:t>Acropora</w:t>
      </w:r>
      <w:r>
        <w:rPr>
          <w:rFonts w:ascii="arial" w:eastAsia="arial" w:hAnsi="arial" w:cs="arial"/>
          <w:b w:val="0"/>
          <w:i w:val="0"/>
          <w:strike w:val="0"/>
          <w:noProof w:val="0"/>
          <w:color w:val="000000"/>
          <w:position w:val="0"/>
          <w:sz w:val="20"/>
          <w:u w:val="none"/>
          <w:vertAlign w:val="baseline"/>
        </w:rPr>
        <w:t xml:space="preserve"> genomes17, 18, 19–20. To date, 26 genomes of </w:t>
      </w:r>
      <w:r>
        <w:rPr>
          <w:rFonts w:ascii="arial" w:eastAsia="arial" w:hAnsi="arial" w:cs="arial"/>
          <w:b w:val="0"/>
          <w:i/>
          <w:strike w:val="0"/>
          <w:noProof w:val="0"/>
          <w:color w:val="000000"/>
          <w:position w:val="0"/>
          <w:sz w:val="20"/>
          <w:u w:val="none"/>
          <w:vertAlign w:val="baseline"/>
        </w:rPr>
        <w:t>Acropora</w:t>
      </w:r>
      <w:r>
        <w:rPr>
          <w:rFonts w:ascii="arial" w:eastAsia="arial" w:hAnsi="arial" w:cs="arial"/>
          <w:b w:val="0"/>
          <w:i w:val="0"/>
          <w:strike w:val="0"/>
          <w:noProof w:val="0"/>
          <w:color w:val="000000"/>
          <w:position w:val="0"/>
          <w:sz w:val="20"/>
          <w:u w:val="none"/>
          <w:vertAlign w:val="baseline"/>
        </w:rPr>
        <w:t xml:space="preserve"> coral are available on NCBI. These resources enable comparative analyses, functional gene studies, and adaptive trait investigations, offering molecular insights into stress resistance and diversification. Omics analyses have identified the genes related to symbiosis, may play pivotal roles in enabling </w:t>
      </w:r>
      <w:r>
        <w:rPr>
          <w:rFonts w:ascii="arial" w:eastAsia="arial" w:hAnsi="arial" w:cs="arial"/>
          <w:b w:val="0"/>
          <w:i/>
          <w:strike w:val="0"/>
          <w:noProof w:val="0"/>
          <w:color w:val="000000"/>
          <w:position w:val="0"/>
          <w:sz w:val="20"/>
          <w:u w:val="none"/>
          <w:vertAlign w:val="baseline"/>
        </w:rPr>
        <w:t>Acropora</w:t>
      </w:r>
      <w:r>
        <w:rPr>
          <w:rFonts w:ascii="arial" w:eastAsia="arial" w:hAnsi="arial" w:cs="arial"/>
          <w:b w:val="0"/>
          <w:i w:val="0"/>
          <w:strike w:val="0"/>
          <w:noProof w:val="0"/>
          <w:color w:val="000000"/>
          <w:position w:val="0"/>
          <w:sz w:val="20"/>
          <w:u w:val="none"/>
          <w:vertAlign w:val="baseline"/>
        </w:rPr>
        <w:t xml:space="preserve"> corals to withstand environmental stressors19. Analysis of three hybrid corals (</w:t>
      </w:r>
      <w:r>
        <w:rPr>
          <w:rFonts w:ascii="arial" w:eastAsia="arial" w:hAnsi="arial" w:cs="arial"/>
          <w:b w:val="0"/>
          <w:i/>
          <w:strike w:val="0"/>
          <w:noProof w:val="0"/>
          <w:color w:val="000000"/>
          <w:position w:val="0"/>
          <w:sz w:val="20"/>
          <w:u w:val="none"/>
          <w:vertAlign w:val="baseline"/>
        </w:rPr>
        <w:t>Acropora cf. gemmifera, Acropora cf. humilis, and Acropora cf. monticulosa</w:t>
      </w:r>
      <w:r>
        <w:rPr>
          <w:rFonts w:ascii="arial" w:eastAsia="arial" w:hAnsi="arial" w:cs="arial"/>
          <w:b w:val="0"/>
          <w:i w:val="0"/>
          <w:strike w:val="0"/>
          <w:noProof w:val="0"/>
          <w:color w:val="000000"/>
          <w:position w:val="0"/>
          <w:sz w:val="20"/>
          <w:u w:val="none"/>
          <w:vertAlign w:val="baseline"/>
        </w:rPr>
        <w:t xml:space="preserve">) within the </w:t>
      </w:r>
      <w:r>
        <w:rPr>
          <w:rFonts w:ascii="arial" w:eastAsia="arial" w:hAnsi="arial" w:cs="arial"/>
          <w:b w:val="0"/>
          <w:i/>
          <w:strike w:val="0"/>
          <w:noProof w:val="0"/>
          <w:color w:val="000000"/>
          <w:position w:val="0"/>
          <w:sz w:val="20"/>
          <w:u w:val="none"/>
          <w:vertAlign w:val="baseline"/>
        </w:rPr>
        <w:t>A. cf. humilis</w:t>
      </w:r>
      <w:r>
        <w:rPr>
          <w:rFonts w:ascii="arial" w:eastAsia="arial" w:hAnsi="arial" w:cs="arial"/>
          <w:b w:val="0"/>
          <w:i w:val="0"/>
          <w:strike w:val="0"/>
          <w:noProof w:val="0"/>
          <w:color w:val="000000"/>
          <w:position w:val="0"/>
          <w:sz w:val="20"/>
          <w:u w:val="none"/>
          <w:vertAlign w:val="baseline"/>
        </w:rPr>
        <w:t xml:space="preserve"> complex, integrating morphological and genomic data, revealed anomalous genomic regions under selection21. These regions include coding sequences potentially involved in thermotolerance or stress response. Consistent with this, hybridization likely facilitated the adaptive radiation of </w:t>
      </w:r>
      <w:r>
        <w:rPr>
          <w:rFonts w:ascii="arial" w:eastAsia="arial" w:hAnsi="arial" w:cs="arial"/>
          <w:b w:val="0"/>
          <w:i/>
          <w:strike w:val="0"/>
          <w:noProof w:val="0"/>
          <w:color w:val="000000"/>
          <w:position w:val="0"/>
          <w:sz w:val="20"/>
          <w:u w:val="none"/>
          <w:vertAlign w:val="baseline"/>
        </w:rPr>
        <w:t>Acropora</w:t>
      </w:r>
      <w:r>
        <w:rPr>
          <w:rFonts w:ascii="arial" w:eastAsia="arial" w:hAnsi="arial" w:cs="arial"/>
          <w:b w:val="0"/>
          <w:i w:val="0"/>
          <w:strike w:val="0"/>
          <w:noProof w:val="0"/>
          <w:color w:val="000000"/>
          <w:position w:val="0"/>
          <w:sz w:val="20"/>
          <w:u w:val="none"/>
          <w:vertAlign w:val="baseline"/>
        </w:rPr>
        <w:t xml:space="preserve"> corals through genomic and mitochondrial data analysis22. Otherwise, In two high-quality, contiguous </w:t>
      </w:r>
      <w:r>
        <w:rPr>
          <w:rFonts w:ascii="arial" w:eastAsia="arial" w:hAnsi="arial" w:cs="arial"/>
          <w:b w:val="0"/>
          <w:i/>
          <w:strike w:val="0"/>
          <w:noProof w:val="0"/>
          <w:color w:val="000000"/>
          <w:position w:val="0"/>
          <w:sz w:val="20"/>
          <w:u w:val="none"/>
          <w:vertAlign w:val="baseline"/>
        </w:rPr>
        <w:t>Acropora</w:t>
      </w:r>
      <w:r>
        <w:rPr>
          <w:rFonts w:ascii="arial" w:eastAsia="arial" w:hAnsi="arial" w:cs="arial"/>
          <w:b w:val="0"/>
          <w:i w:val="0"/>
          <w:strike w:val="0"/>
          <w:noProof w:val="0"/>
          <w:color w:val="000000"/>
          <w:position w:val="0"/>
          <w:sz w:val="20"/>
          <w:u w:val="none"/>
          <w:vertAlign w:val="baseline"/>
        </w:rPr>
        <w:t xml:space="preserve"> genomes, lineage-specific gene family expansion was identified, which may confer a survival advantage23. These advancements without exception highlight the significance of genomic data in the study of </w:t>
      </w:r>
      <w:r>
        <w:rPr>
          <w:rFonts w:ascii="arial" w:eastAsia="arial" w:hAnsi="arial" w:cs="arial"/>
          <w:b w:val="0"/>
          <w:i/>
          <w:strike w:val="0"/>
          <w:noProof w:val="0"/>
          <w:color w:val="000000"/>
          <w:position w:val="0"/>
          <w:sz w:val="20"/>
          <w:u w:val="none"/>
          <w:vertAlign w:val="baseline"/>
        </w:rPr>
        <w:t>Acropora</w:t>
      </w:r>
      <w:r>
        <w:rPr>
          <w:rFonts w:ascii="arial" w:eastAsia="arial" w:hAnsi="arial" w:cs="arial"/>
          <w:b w:val="0"/>
          <w:i w:val="0"/>
          <w:strike w:val="0"/>
          <w:noProof w:val="0"/>
          <w:color w:val="000000"/>
          <w:position w:val="0"/>
          <w:sz w:val="20"/>
          <w:u w:val="none"/>
          <w:vertAlign w:val="baseline"/>
        </w:rPr>
        <w:t xml:space="preserve"> corals.</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A. intermedia</w:t>
      </w:r>
      <w:r>
        <w:rPr>
          <w:rFonts w:ascii="arial" w:eastAsia="arial" w:hAnsi="arial" w:cs="arial"/>
          <w:b w:val="0"/>
          <w:i w:val="0"/>
          <w:strike w:val="0"/>
          <w:noProof w:val="0"/>
          <w:color w:val="000000"/>
          <w:position w:val="0"/>
          <w:sz w:val="20"/>
          <w:u w:val="none"/>
          <w:vertAlign w:val="baseline"/>
        </w:rPr>
        <w:t xml:space="preserve"> is particularly widespread and has demonstrated obvious heat resistance during the extensive coral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event that occurred in China’s Greater Bay Area in 202024,25. Therefore, this species is an excellent model for studying coral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and hybridization with congeneric species26. Investigating hybridization events among </w:t>
      </w:r>
      <w:r>
        <w:rPr>
          <w:rFonts w:ascii="arial" w:eastAsia="arial" w:hAnsi="arial" w:cs="arial"/>
          <w:b w:val="0"/>
          <w:i/>
          <w:strike w:val="0"/>
          <w:noProof w:val="0"/>
          <w:color w:val="000000"/>
          <w:position w:val="0"/>
          <w:sz w:val="20"/>
          <w:u w:val="none"/>
          <w:vertAlign w:val="baseline"/>
        </w:rPr>
        <w:t>Acropora</w:t>
      </w:r>
      <w:r>
        <w:rPr>
          <w:rFonts w:ascii="arial" w:eastAsia="arial" w:hAnsi="arial" w:cs="arial"/>
          <w:b w:val="0"/>
          <w:i w:val="0"/>
          <w:strike w:val="0"/>
          <w:noProof w:val="0"/>
          <w:color w:val="000000"/>
          <w:position w:val="0"/>
          <w:sz w:val="20"/>
          <w:u w:val="none"/>
          <w:vertAlign w:val="baseline"/>
        </w:rPr>
        <w:t xml:space="preserve"> corals can provide valuable insights into reticulate evolution. The first </w:t>
      </w:r>
      <w:r>
        <w:rPr>
          <w:rFonts w:ascii="arial" w:eastAsia="arial" w:hAnsi="arial" w:cs="arial"/>
          <w:b w:val="0"/>
          <w:i/>
          <w:strike w:val="0"/>
          <w:noProof w:val="0"/>
          <w:color w:val="000000"/>
          <w:position w:val="0"/>
          <w:sz w:val="20"/>
          <w:u w:val="none"/>
          <w:vertAlign w:val="baseline"/>
        </w:rPr>
        <w:t>A. intermedia</w:t>
      </w:r>
      <w:r>
        <w:rPr>
          <w:rFonts w:ascii="arial" w:eastAsia="arial" w:hAnsi="arial" w:cs="arial"/>
          <w:b w:val="0"/>
          <w:i w:val="0"/>
          <w:strike w:val="0"/>
          <w:noProof w:val="0"/>
          <w:color w:val="000000"/>
          <w:position w:val="0"/>
          <w:sz w:val="20"/>
          <w:u w:val="none"/>
          <w:vertAlign w:val="baseline"/>
        </w:rPr>
        <w:t xml:space="preserve"> genome assembled using short-read methodologies with the overall quality and annotation requiring improvement19. However, the genome assembled from Next-Generation Sequencing (Illumina HiSeq. 2500) reads may exhibit deficiencies in resolving complex repetitive regions, accurately detecting structural variations, performing synteny analyses, and studying gene families. Particularly for </w:t>
      </w:r>
      <w:r>
        <w:rPr>
          <w:rFonts w:ascii="arial" w:eastAsia="arial" w:hAnsi="arial" w:cs="arial"/>
          <w:b w:val="0"/>
          <w:i/>
          <w:strike w:val="0"/>
          <w:noProof w:val="0"/>
          <w:color w:val="000000"/>
          <w:position w:val="0"/>
          <w:sz w:val="20"/>
          <w:u w:val="none"/>
          <w:vertAlign w:val="baseline"/>
        </w:rPr>
        <w:t>A. intermedia</w:t>
      </w:r>
      <w:r>
        <w:rPr>
          <w:rFonts w:ascii="arial" w:eastAsia="arial" w:hAnsi="arial" w:cs="arial"/>
          <w:b w:val="0"/>
          <w:i w:val="0"/>
          <w:strike w:val="0"/>
          <w:noProof w:val="0"/>
          <w:color w:val="000000"/>
          <w:position w:val="0"/>
          <w:sz w:val="20"/>
          <w:u w:val="none"/>
          <w:vertAlign w:val="baseline"/>
        </w:rPr>
        <w:t xml:space="preserve">, research on thermal tolerance mechanisms and hybridization dynamics critically depends on high-quality genomic resources. To solve these problems and expand the genomic resources available for corals in the South China Sea and, particularly for </w:t>
      </w:r>
      <w:r>
        <w:rPr>
          <w:rFonts w:ascii="arial" w:eastAsia="arial" w:hAnsi="arial" w:cs="arial"/>
          <w:b w:val="0"/>
          <w:i/>
          <w:strike w:val="0"/>
          <w:noProof w:val="0"/>
          <w:color w:val="000000"/>
          <w:position w:val="0"/>
          <w:sz w:val="20"/>
          <w:u w:val="none"/>
          <w:vertAlign w:val="baseline"/>
        </w:rPr>
        <w:t>Acropora</w:t>
      </w:r>
      <w:r>
        <w:rPr>
          <w:rFonts w:ascii="arial" w:eastAsia="arial" w:hAnsi="arial" w:cs="arial"/>
          <w:b w:val="0"/>
          <w:i w:val="0"/>
          <w:strike w:val="0"/>
          <w:noProof w:val="0"/>
          <w:color w:val="000000"/>
          <w:position w:val="0"/>
          <w:sz w:val="20"/>
          <w:u w:val="none"/>
          <w:vertAlign w:val="baseline"/>
        </w:rPr>
        <w:t xml:space="preserve">, we reassembled and re-annotated a new version of the </w:t>
      </w:r>
      <w:r>
        <w:rPr>
          <w:rFonts w:ascii="arial" w:eastAsia="arial" w:hAnsi="arial" w:cs="arial"/>
          <w:b w:val="0"/>
          <w:i/>
          <w:strike w:val="0"/>
          <w:noProof w:val="0"/>
          <w:color w:val="000000"/>
          <w:position w:val="0"/>
          <w:sz w:val="20"/>
          <w:u w:val="none"/>
          <w:vertAlign w:val="baseline"/>
        </w:rPr>
        <w:t>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intermedia</w:t>
      </w:r>
      <w:r>
        <w:rPr>
          <w:rFonts w:ascii="arial" w:eastAsia="arial" w:hAnsi="arial" w:cs="arial"/>
          <w:b w:val="0"/>
          <w:i w:val="0"/>
          <w:strike w:val="0"/>
          <w:noProof w:val="0"/>
          <w:color w:val="000000"/>
          <w:position w:val="0"/>
          <w:sz w:val="20"/>
          <w:u w:val="none"/>
          <w:vertAlign w:val="baseline"/>
        </w:rPr>
        <w:t xml:space="preserve"> genome based on long-read PacBio HiFi sequencing, which spans 496.8 Mb with a Contig N50 of 2.9 Mb. BUSCO analysis indicated a completeness of 92.6% (C: 92.6%, S: 91.2%, D: 1.4%, F: 3.4%, M: 4.0%, n: 954). Our assembly exhibits a significant improvement in quality compared to the previous version (Contig N50: 40.3 Kb, BUSCO completeness: 90.6%). The completeness of gene models, assessed via BUSCO, has reached 95.7% (C: 95.7%, S: 93.7%, D: 2.0%, F: 1.9%, M: 2.4%, n: 954), reflecting a 2.7% increase. This enhanced </w:t>
      </w:r>
      <w:r>
        <w:rPr>
          <w:rFonts w:ascii="arial" w:eastAsia="arial" w:hAnsi="arial" w:cs="arial"/>
          <w:b w:val="0"/>
          <w:i/>
          <w:strike w:val="0"/>
          <w:noProof w:val="0"/>
          <w:color w:val="000000"/>
          <w:position w:val="0"/>
          <w:sz w:val="20"/>
          <w:u w:val="none"/>
          <w:vertAlign w:val="baseline"/>
        </w:rPr>
        <w:t>A. intermedia</w:t>
      </w:r>
      <w:r>
        <w:rPr>
          <w:rFonts w:ascii="arial" w:eastAsia="arial" w:hAnsi="arial" w:cs="arial"/>
          <w:b w:val="0"/>
          <w:i w:val="0"/>
          <w:strike w:val="0"/>
          <w:noProof w:val="0"/>
          <w:color w:val="000000"/>
          <w:position w:val="0"/>
          <w:sz w:val="20"/>
          <w:u w:val="none"/>
          <w:vertAlign w:val="baseline"/>
        </w:rPr>
        <w:t xml:space="preserve"> genome offers greater contiguity and completeness, improving data quality and enabling important analysis like structural variations, evolutionary dynamics, and horizontal gene transfer.</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Methods</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Sample collection and DNA extraction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samples of </w:t>
      </w:r>
      <w:r>
        <w:rPr>
          <w:rFonts w:ascii="arial" w:eastAsia="arial" w:hAnsi="arial" w:cs="arial"/>
          <w:b w:val="0"/>
          <w:i/>
          <w:strike w:val="0"/>
          <w:noProof w:val="0"/>
          <w:color w:val="000000"/>
          <w:position w:val="0"/>
          <w:sz w:val="20"/>
          <w:u w:val="none"/>
          <w:vertAlign w:val="baseline"/>
        </w:rPr>
        <w:t>A. intermedia</w:t>
      </w:r>
      <w:r>
        <w:rPr>
          <w:rFonts w:ascii="arial" w:eastAsia="arial" w:hAnsi="arial" w:cs="arial"/>
          <w:b w:val="0"/>
          <w:i w:val="0"/>
          <w:strike w:val="0"/>
          <w:noProof w:val="0"/>
          <w:color w:val="000000"/>
          <w:position w:val="0"/>
          <w:sz w:val="20"/>
          <w:u w:val="none"/>
          <w:vertAlign w:val="baseline"/>
        </w:rPr>
        <w:t xml:space="preserve"> were obtained by scuba diving from the Fenghuang Island (Sanya, Hainan Province, China; 18°14′24.70″ N, 109°29′38.31″ E) in June 2024 (Fig. 1). Fresh partial adult </w:t>
      </w:r>
      <w:r>
        <w:rPr>
          <w:rFonts w:ascii="arial" w:eastAsia="arial" w:hAnsi="arial" w:cs="arial"/>
          <w:b w:val="0"/>
          <w:i/>
          <w:strike w:val="0"/>
          <w:noProof w:val="0"/>
          <w:color w:val="000000"/>
          <w:position w:val="0"/>
          <w:sz w:val="20"/>
          <w:u w:val="none"/>
          <w:vertAlign w:val="baseline"/>
        </w:rPr>
        <w:t>A. intermedia</w:t>
      </w:r>
      <w:r>
        <w:rPr>
          <w:rFonts w:ascii="arial" w:eastAsia="arial" w:hAnsi="arial" w:cs="arial"/>
          <w:b w:val="0"/>
          <w:i w:val="0"/>
          <w:strike w:val="0"/>
          <w:noProof w:val="0"/>
          <w:color w:val="000000"/>
          <w:position w:val="0"/>
          <w:sz w:val="20"/>
          <w:u w:val="none"/>
          <w:vertAlign w:val="baseline"/>
        </w:rPr>
        <w:t xml:space="preserve"> sample was cut into small pieces and washed using 3 x PBS. The coral tissue was digested utilizing Type II collagenase (2 mg/ml), and the mixed symbiotic algae and coral polyp cells were separated by performing multiple rounds of brief centrifugation. During this process, most of the algae settled at the bottom of the centrifuge tube, while the supernatant retained pure polyp cells. The supernatant was carefully aspirated, centrifuged, and the resulting pellet was collected as the material for subsequent DNA extraction. DNA was extracted using the phenol-chloroform extraction27. The Nanodrop 2000 spectrophotometer was utilized to measure the quantity of genomic DNA, ensuring that the OD260/280 ratio was between 1.8 and 2.0, and the OD260/230 ratio was between 2.0 to 2.2. Additionally, the purity and structural integrity of the DNA were evaluated through 1% agarose gel electrophoresis.Fig. 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Images of live </w:t>
      </w:r>
      <w:r>
        <w:rPr>
          <w:rFonts w:ascii="arial" w:eastAsia="arial" w:hAnsi="arial" w:cs="arial"/>
          <w:b w:val="0"/>
          <w:i/>
          <w:strike w:val="0"/>
          <w:noProof w:val="0"/>
          <w:color w:val="000000"/>
          <w:position w:val="0"/>
          <w:sz w:val="20"/>
          <w:u w:val="none"/>
          <w:vertAlign w:val="baseline"/>
        </w:rPr>
        <w:t>Acropora intermedia</w:t>
      </w:r>
      <w:r>
        <w:rPr>
          <w:rFonts w:ascii="arial" w:eastAsia="arial" w:hAnsi="arial" w:cs="arial"/>
          <w:b w:val="0"/>
          <w:i w:val="0"/>
          <w:strike w:val="0"/>
          <w:noProof w:val="0"/>
          <w:color w:val="000000"/>
          <w:position w:val="0"/>
          <w:sz w:val="20"/>
          <w:u w:val="none"/>
          <w:vertAlign w:val="baseline"/>
        </w:rPr>
        <w:t xml:space="preserve"> samples and their skeletal structures (</w:t>
      </w:r>
      <w:r>
        <w:rPr>
          <w:rFonts w:ascii="arial" w:eastAsia="arial" w:hAnsi="arial" w:cs="arial"/>
          <w:b/>
          <w:i w:val="0"/>
          <w:strike w:val="0"/>
          <w:noProof w:val="0"/>
          <w:color w:val="000000"/>
          <w:position w:val="0"/>
          <w:sz w:val="20"/>
          <w:u w:val="none"/>
          <w:vertAlign w:val="baseline"/>
        </w:rPr>
        <w:t>a</w:t>
      </w:r>
      <w:r>
        <w:rPr>
          <w:rFonts w:ascii="arial" w:eastAsia="arial" w:hAnsi="arial" w:cs="arial"/>
          <w:b w:val="0"/>
          <w:i w:val="0"/>
          <w:strike w:val="0"/>
          <w:noProof w:val="0"/>
          <w:color w:val="000000"/>
          <w:position w:val="0"/>
          <w:sz w:val="20"/>
          <w:u w:val="none"/>
          <w:vertAlign w:val="baseline"/>
        </w:rPr>
        <w:t>). Live samples underwater (</w:t>
      </w:r>
      <w:r>
        <w:rPr>
          <w:rFonts w:ascii="arial" w:eastAsia="arial" w:hAnsi="arial" w:cs="arial"/>
          <w:b/>
          <w:i w:val="0"/>
          <w:strike w:val="0"/>
          <w:noProof w:val="0"/>
          <w:color w:val="000000"/>
          <w:position w:val="0"/>
          <w:sz w:val="20"/>
          <w:u w:val="none"/>
          <w:vertAlign w:val="baseline"/>
        </w:rPr>
        <w:t>b</w:t>
      </w:r>
      <w:r>
        <w:rPr>
          <w:rFonts w:ascii="arial" w:eastAsia="arial" w:hAnsi="arial" w:cs="arial"/>
          <w:b w:val="0"/>
          <w:i w:val="0"/>
          <w:strike w:val="0"/>
          <w:noProof w:val="0"/>
          <w:color w:val="000000"/>
          <w:position w:val="0"/>
          <w:sz w:val="20"/>
          <w:u w:val="none"/>
          <w:vertAlign w:val="baseline"/>
        </w:rPr>
        <w:t>) Skeletal structures.</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Library preparation and sequencing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total of 30 µg of DNA was used for the construction of a Circular Consensus Sequencing (CCS) library for PacBio sequencing in Novogene (Beijing, China). The HiFi sequencing library was prepared according to standard PacBio protocols using the SMRTbell™ Express Template Prep Kit 2.0 (Pacific Biosciences, California, USA). Sequencing was performed on the PacBio Sequel II systems (Pacific Biosciences, California, USA). The raw data was transmitted from the sequencer to SMRTLink v13.1 (</w:t>
      </w:r>
      <w:hyperlink r:id="rId9" w:history="1">
        <w:r>
          <w:rPr>
            <w:rFonts w:ascii="arial" w:eastAsia="arial" w:hAnsi="arial" w:cs="arial"/>
            <w:b w:val="0"/>
            <w:i/>
            <w:strike w:val="0"/>
            <w:noProof w:val="0"/>
            <w:color w:val="0077CC"/>
            <w:position w:val="0"/>
            <w:sz w:val="20"/>
            <w:u w:val="single"/>
            <w:vertAlign w:val="baseline"/>
          </w:rPr>
          <w:t>https://www.pacb.com/support/software-downloads/</w:t>
        </w:r>
      </w:hyperlink>
      <w:r>
        <w:rPr>
          <w:rFonts w:ascii="arial" w:eastAsia="arial" w:hAnsi="arial" w:cs="arial"/>
          <w:b w:val="0"/>
          <w:i w:val="0"/>
          <w:strike w:val="0"/>
          <w:noProof w:val="0"/>
          <w:color w:val="000000"/>
          <w:position w:val="0"/>
          <w:sz w:val="20"/>
          <w:u w:val="none"/>
          <w:vertAlign w:val="baseline"/>
        </w:rPr>
        <w:t>), where the CCS algorithm was employed to generate HiFi reads.</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Genome size estimation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Prior to assembly, the genome size of </w:t>
      </w:r>
      <w:r>
        <w:rPr>
          <w:rFonts w:ascii="arial" w:eastAsia="arial" w:hAnsi="arial" w:cs="arial"/>
          <w:b w:val="0"/>
          <w:i/>
          <w:strike w:val="0"/>
          <w:noProof w:val="0"/>
          <w:color w:val="000000"/>
          <w:position w:val="0"/>
          <w:sz w:val="20"/>
          <w:u w:val="none"/>
          <w:vertAlign w:val="baseline"/>
        </w:rPr>
        <w:t>A. intermedia</w:t>
      </w:r>
      <w:r>
        <w:rPr>
          <w:rFonts w:ascii="arial" w:eastAsia="arial" w:hAnsi="arial" w:cs="arial"/>
          <w:b w:val="0"/>
          <w:i w:val="0"/>
          <w:strike w:val="0"/>
          <w:noProof w:val="0"/>
          <w:color w:val="000000"/>
          <w:position w:val="0"/>
          <w:sz w:val="20"/>
          <w:u w:val="none"/>
          <w:vertAlign w:val="baseline"/>
        </w:rPr>
        <w:t xml:space="preserve"> was estimated using </w:t>
      </w:r>
      <w:r>
        <w:rPr>
          <w:rFonts w:ascii="arial" w:eastAsia="arial" w:hAnsi="arial" w:cs="arial"/>
          <w:b w:val="0"/>
          <w:i/>
          <w:strike w:val="0"/>
          <w:noProof w:val="0"/>
          <w:color w:val="000000"/>
          <w:position w:val="0"/>
          <w:sz w:val="20"/>
          <w:u w:val="none"/>
          <w:vertAlign w:val="baseline"/>
        </w:rPr>
        <w:t>k</w:t>
      </w:r>
      <w:r>
        <w:rPr>
          <w:rFonts w:ascii="arial" w:eastAsia="arial" w:hAnsi="arial" w:cs="arial"/>
          <w:b w:val="0"/>
          <w:i w:val="0"/>
          <w:strike w:val="0"/>
          <w:noProof w:val="0"/>
          <w:color w:val="000000"/>
          <w:position w:val="0"/>
          <w:sz w:val="20"/>
          <w:u w:val="none"/>
          <w:vertAlign w:val="baseline"/>
        </w:rPr>
        <w:t xml:space="preserve">-mer analysis of raw PacBio HiFi reads. The raw reads were quality-trimmed using fastplong v.0.3828 (-m 20 -l 100 -w 12) and fragmented into 150 bp via custom simple python script. Subsequently, the fragmented reads were used to generate a histogram based on </w:t>
      </w:r>
      <w:r>
        <w:rPr>
          <w:rFonts w:ascii="arial" w:eastAsia="arial" w:hAnsi="arial" w:cs="arial"/>
          <w:b w:val="0"/>
          <w:i/>
          <w:strike w:val="0"/>
          <w:noProof w:val="0"/>
          <w:color w:val="000000"/>
          <w:position w:val="0"/>
          <w:sz w:val="20"/>
          <w:u w:val="none"/>
          <w:vertAlign w:val="baseline"/>
        </w:rPr>
        <w:t>k</w:t>
      </w:r>
      <w:r>
        <w:rPr>
          <w:rFonts w:ascii="arial" w:eastAsia="arial" w:hAnsi="arial" w:cs="arial"/>
          <w:b w:val="0"/>
          <w:i w:val="0"/>
          <w:strike w:val="0"/>
          <w:noProof w:val="0"/>
          <w:color w:val="000000"/>
          <w:position w:val="0"/>
          <w:sz w:val="20"/>
          <w:u w:val="none"/>
          <w:vertAlign w:val="baseline"/>
        </w:rPr>
        <w:t>-mer = 21 with Jellyfish v2.329 (-C -m 21 -h 1,000,000). The output histogram from Jellyfish was subsequently visualized using the online server GenomeScope v.1 (</w:t>
      </w:r>
      <w:hyperlink r:id="rId10" w:history="1">
        <w:r>
          <w:rPr>
            <w:rFonts w:ascii="arial" w:eastAsia="arial" w:hAnsi="arial" w:cs="arial"/>
            <w:b w:val="0"/>
            <w:i/>
            <w:strike w:val="0"/>
            <w:noProof w:val="0"/>
            <w:color w:val="0077CC"/>
            <w:position w:val="0"/>
            <w:sz w:val="20"/>
            <w:u w:val="single"/>
            <w:vertAlign w:val="baseline"/>
          </w:rPr>
          <w:t>http://genomescope.org</w:t>
        </w:r>
      </w:hyperlink>
      <w:r>
        <w:rPr>
          <w:rFonts w:ascii="arial" w:eastAsia="arial" w:hAnsi="arial" w:cs="arial"/>
          <w:b w:val="0"/>
          <w:i w:val="0"/>
          <w:strike w:val="0"/>
          <w:noProof w:val="0"/>
          <w:color w:val="000000"/>
          <w:position w:val="0"/>
          <w:sz w:val="20"/>
          <w:u w:val="none"/>
          <w:vertAlign w:val="baseline"/>
        </w:rPr>
        <w:t xml:space="preserve">)30 with parameter </w:t>
      </w:r>
      <w:r>
        <w:rPr>
          <w:rFonts w:ascii="arial" w:eastAsia="arial" w:hAnsi="arial" w:cs="arial"/>
          <w:b w:val="0"/>
          <w:i/>
          <w:strike w:val="0"/>
          <w:noProof w:val="0"/>
          <w:color w:val="000000"/>
          <w:position w:val="0"/>
          <w:sz w:val="20"/>
          <w:u w:val="none"/>
          <w:vertAlign w:val="baseline"/>
        </w:rPr>
        <w:t>k</w:t>
      </w:r>
      <w:r>
        <w:rPr>
          <w:rFonts w:ascii="arial" w:eastAsia="arial" w:hAnsi="arial" w:cs="arial"/>
          <w:b w:val="0"/>
          <w:i w:val="0"/>
          <w:strike w:val="0"/>
          <w:noProof w:val="0"/>
          <w:color w:val="000000"/>
          <w:position w:val="0"/>
          <w:sz w:val="20"/>
          <w:u w:val="none"/>
          <w:vertAlign w:val="baseline"/>
        </w:rPr>
        <w:t xml:space="preserve"> = 21, ploidy = 2, Read length = 150, and maximum </w:t>
      </w:r>
      <w:r>
        <w:rPr>
          <w:rFonts w:ascii="arial" w:eastAsia="arial" w:hAnsi="arial" w:cs="arial"/>
          <w:b w:val="0"/>
          <w:i/>
          <w:strike w:val="0"/>
          <w:noProof w:val="0"/>
          <w:color w:val="000000"/>
          <w:position w:val="0"/>
          <w:sz w:val="20"/>
          <w:u w:val="none"/>
          <w:vertAlign w:val="baseline"/>
        </w:rPr>
        <w:t>k</w:t>
      </w:r>
      <w:r>
        <w:rPr>
          <w:rFonts w:ascii="arial" w:eastAsia="arial" w:hAnsi="arial" w:cs="arial"/>
          <w:b w:val="0"/>
          <w:i w:val="0"/>
          <w:strike w:val="0"/>
          <w:noProof w:val="0"/>
          <w:color w:val="000000"/>
          <w:position w:val="0"/>
          <w:sz w:val="20"/>
          <w:u w:val="none"/>
          <w:vertAlign w:val="baseline"/>
        </w:rPr>
        <w:t>-mer coverage = 1,000,000 (Fig. 2).Fig. 2</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A. intermedia</w:t>
      </w:r>
      <w:r>
        <w:rPr>
          <w:rFonts w:ascii="arial" w:eastAsia="arial" w:hAnsi="arial" w:cs="arial"/>
          <w:b w:val="0"/>
          <w:i w:val="0"/>
          <w:strike w:val="0"/>
          <w:noProof w:val="0"/>
          <w:color w:val="000000"/>
          <w:position w:val="0"/>
          <w:sz w:val="20"/>
          <w:u w:val="none"/>
          <w:vertAlign w:val="baseline"/>
        </w:rPr>
        <w:t xml:space="preserve"> genome assembly size estimation using GenomeScope. Genomescope </w:t>
      </w:r>
      <w:r>
        <w:rPr>
          <w:rFonts w:ascii="arial" w:eastAsia="arial" w:hAnsi="arial" w:cs="arial"/>
          <w:b w:val="0"/>
          <w:i/>
          <w:strike w:val="0"/>
          <w:noProof w:val="0"/>
          <w:color w:val="000000"/>
          <w:position w:val="0"/>
          <w:sz w:val="20"/>
          <w:u w:val="none"/>
          <w:vertAlign w:val="baseline"/>
        </w:rPr>
        <w:t>k</w:t>
      </w:r>
      <w:r>
        <w:rPr>
          <w:rFonts w:ascii="arial" w:eastAsia="arial" w:hAnsi="arial" w:cs="arial"/>
          <w:b w:val="0"/>
          <w:i w:val="0"/>
          <w:strike w:val="0"/>
          <w:noProof w:val="0"/>
          <w:color w:val="000000"/>
          <w:position w:val="0"/>
          <w:sz w:val="20"/>
          <w:u w:val="none"/>
          <w:vertAlign w:val="baseline"/>
        </w:rPr>
        <w:t>-mer (21) distribution from the adapter trimmed PacBio HiFi reads.</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Genome assembly and genome quality assessment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Based on previous studies demonstrating superior performance in terms of Con-tig N50 and BUSCO completeness scores for similar datasets, Hifiasm was chosen for initial assembly with default parameters31, 32–33. Haploid duplications were removed using Hifiasm’s integrated functionality. To enhance consensus sequence accuracy, three rounds of polishing were performed using Racon v1.5.034. The genome completeness was assessed with BUSCO v5.2.235, employing the conserved metazoan gene set known as “metazoa_odb10”. Additionally, we used the snailplot-assembly-stats to create a SnailPlot (</w:t>
      </w:r>
      <w:hyperlink r:id="rId11" w:history="1">
        <w:r>
          <w:rPr>
            <w:rFonts w:ascii="arial" w:eastAsia="arial" w:hAnsi="arial" w:cs="arial"/>
            <w:b w:val="0"/>
            <w:i/>
            <w:strike w:val="0"/>
            <w:noProof w:val="0"/>
            <w:color w:val="0077CC"/>
            <w:position w:val="0"/>
            <w:sz w:val="20"/>
            <w:u w:val="single"/>
            <w:vertAlign w:val="baseline"/>
          </w:rPr>
          <w:t>https://github.com/hanwnetao/snailplot-assembly-stats</w:t>
        </w:r>
      </w:hyperlink>
      <w:r>
        <w:rPr>
          <w:rFonts w:ascii="arial" w:eastAsia="arial" w:hAnsi="arial" w:cs="arial"/>
          <w:b w:val="0"/>
          <w:i w:val="0"/>
          <w:strike w:val="0"/>
          <w:noProof w:val="0"/>
          <w:color w:val="000000"/>
          <w:position w:val="0"/>
          <w:sz w:val="20"/>
          <w:u w:val="none"/>
          <w:vertAlign w:val="baseline"/>
        </w:rPr>
        <w:t>) to visualize our assembly statistics (Fig. 3).Fig. 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Genome assembly overview of </w:t>
      </w:r>
      <w:r>
        <w:rPr>
          <w:rFonts w:ascii="arial" w:eastAsia="arial" w:hAnsi="arial" w:cs="arial"/>
          <w:b w:val="0"/>
          <w:i/>
          <w:strike w:val="0"/>
          <w:noProof w:val="0"/>
          <w:color w:val="000000"/>
          <w:position w:val="0"/>
          <w:sz w:val="20"/>
          <w:u w:val="none"/>
          <w:vertAlign w:val="baseline"/>
        </w:rPr>
        <w:t>A. Intermedia</w:t>
      </w:r>
      <w:r>
        <w:rPr>
          <w:rFonts w:ascii="arial" w:eastAsia="arial" w:hAnsi="arial" w:cs="arial"/>
          <w:b w:val="0"/>
          <w:i w:val="0"/>
          <w:strike w:val="0"/>
          <w:noProof w:val="0"/>
          <w:color w:val="000000"/>
          <w:position w:val="0"/>
          <w:sz w:val="20"/>
          <w:u w:val="none"/>
          <w:vertAlign w:val="baseline"/>
        </w:rPr>
        <w:t xml:space="preserve">. The contiguity and completeness of the </w:t>
      </w:r>
      <w:r>
        <w:rPr>
          <w:rFonts w:ascii="arial" w:eastAsia="arial" w:hAnsi="arial" w:cs="arial"/>
          <w:b w:val="0"/>
          <w:i/>
          <w:strike w:val="0"/>
          <w:noProof w:val="0"/>
          <w:color w:val="000000"/>
          <w:position w:val="0"/>
          <w:sz w:val="20"/>
          <w:u w:val="none"/>
          <w:vertAlign w:val="baseline"/>
        </w:rPr>
        <w:t>A. intermedia</w:t>
      </w:r>
      <w:r>
        <w:rPr>
          <w:rFonts w:ascii="arial" w:eastAsia="arial" w:hAnsi="arial" w:cs="arial"/>
          <w:b w:val="0"/>
          <w:i w:val="0"/>
          <w:strike w:val="0"/>
          <w:noProof w:val="0"/>
          <w:color w:val="000000"/>
          <w:position w:val="0"/>
          <w:sz w:val="20"/>
          <w:u w:val="none"/>
          <w:vertAlign w:val="baseline"/>
        </w:rPr>
        <w:t xml:space="preserve"> genome assembly, post-contamination screening, is represented by a circle plot reflecting the full assembly length (~496.8 Mb), distributed across 633 contigs. The Contig N50 (2.9 Mb) is marked in dark orange, and the N90 (536.7 Kb) in light orange. The longest contig was 11.8 Mb (highlighted in red). The BUSCO scores are shown in the top right corner in green.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assess potential contamination, the assembly was screened for non-target DNA using Blobtools v1.1.136. Taxonomic classification was performed by aligning the top hit from BLAST v2.9.037 against the NCBI NT database, with an e-value threshold of 1e-5 (Fig. 4).Fig. 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Quality assessment and contamination detection of the </w:t>
      </w:r>
      <w:r>
        <w:rPr>
          <w:rFonts w:ascii="arial" w:eastAsia="arial" w:hAnsi="arial" w:cs="arial"/>
          <w:b w:val="0"/>
          <w:i/>
          <w:strike w:val="0"/>
          <w:noProof w:val="0"/>
          <w:color w:val="000000"/>
          <w:position w:val="0"/>
          <w:sz w:val="20"/>
          <w:u w:val="none"/>
          <w:vertAlign w:val="baseline"/>
        </w:rPr>
        <w:t>A. intermedia</w:t>
      </w:r>
      <w:r>
        <w:rPr>
          <w:rFonts w:ascii="arial" w:eastAsia="arial" w:hAnsi="arial" w:cs="arial"/>
          <w:b w:val="0"/>
          <w:i w:val="0"/>
          <w:strike w:val="0"/>
          <w:noProof w:val="0"/>
          <w:color w:val="000000"/>
          <w:position w:val="0"/>
          <w:sz w:val="20"/>
          <w:u w:val="none"/>
          <w:vertAlign w:val="baseline"/>
        </w:rPr>
        <w:t xml:space="preserve"> genome assembly. (</w:t>
      </w:r>
      <w:r>
        <w:rPr>
          <w:rFonts w:ascii="arial" w:eastAsia="arial" w:hAnsi="arial" w:cs="arial"/>
          <w:b/>
          <w:i w:val="0"/>
          <w:strike w:val="0"/>
          <w:noProof w:val="0"/>
          <w:color w:val="000000"/>
          <w:position w:val="0"/>
          <w:sz w:val="20"/>
          <w:u w:val="none"/>
          <w:vertAlign w:val="baseline"/>
        </w:rPr>
        <w:t>a</w:t>
      </w:r>
      <w:r>
        <w:rPr>
          <w:rFonts w:ascii="arial" w:eastAsia="arial" w:hAnsi="arial" w:cs="arial"/>
          <w:b w:val="0"/>
          <w:i w:val="0"/>
          <w:strike w:val="0"/>
          <w:noProof w:val="0"/>
          <w:color w:val="000000"/>
          <w:position w:val="0"/>
          <w:sz w:val="20"/>
          <w:u w:val="none"/>
          <w:vertAlign w:val="baseline"/>
        </w:rPr>
        <w:t xml:space="preserve">) Histograms above depict the distribution of coverage. BlobPlot showing taxonomic affiliation at the phylum rank level for </w:t>
      </w:r>
      <w:r>
        <w:rPr>
          <w:rFonts w:ascii="arial" w:eastAsia="arial" w:hAnsi="arial" w:cs="arial"/>
          <w:b w:val="0"/>
          <w:i/>
          <w:strike w:val="0"/>
          <w:noProof w:val="0"/>
          <w:color w:val="000000"/>
          <w:position w:val="0"/>
          <w:sz w:val="20"/>
          <w:u w:val="none"/>
          <w:vertAlign w:val="baseline"/>
        </w:rPr>
        <w:t>A. intermedia</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b</w:t>
      </w:r>
      <w:r>
        <w:rPr>
          <w:rFonts w:ascii="arial" w:eastAsia="arial" w:hAnsi="arial" w:cs="arial"/>
          <w:b w:val="0"/>
          <w:i w:val="0"/>
          <w:strike w:val="0"/>
          <w:noProof w:val="0"/>
          <w:color w:val="000000"/>
          <w:position w:val="0"/>
          <w:sz w:val="20"/>
          <w:u w:val="none"/>
          <w:vertAlign w:val="baseline"/>
        </w:rPr>
        <w:t>) The average GC content. Blue dots show contigs with best BLAST hits to Cnidaria.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newly generated genome assembly statistics were compared with the previous genome version (GCA_014634585.1) using QUAST v5.2.038. A comparison of the two versions of the genome information is summarized in Table 1.Table 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Comparison of </w:t>
      </w:r>
      <w:r>
        <w:rPr>
          <w:rFonts w:ascii="arial" w:eastAsia="arial" w:hAnsi="arial" w:cs="arial"/>
          <w:b w:val="0"/>
          <w:i/>
          <w:strike w:val="0"/>
          <w:noProof w:val="0"/>
          <w:color w:val="000000"/>
          <w:position w:val="0"/>
          <w:sz w:val="20"/>
          <w:u w:val="none"/>
          <w:vertAlign w:val="baseline"/>
        </w:rPr>
        <w:t>Acropora intermedia</w:t>
      </w:r>
      <w:r>
        <w:rPr>
          <w:rFonts w:ascii="arial" w:eastAsia="arial" w:hAnsi="arial" w:cs="arial"/>
          <w:b w:val="0"/>
          <w:i w:val="0"/>
          <w:strike w:val="0"/>
          <w:noProof w:val="0"/>
          <w:color w:val="000000"/>
          <w:position w:val="0"/>
          <w:sz w:val="20"/>
          <w:u w:val="none"/>
          <w:vertAlign w:val="baseline"/>
        </w:rPr>
        <w:t xml:space="preserve"> genomic quality between past versions and this study.</w:t>
      </w:r>
    </w:p>
    <w:tbl>
      <w:tblPr>
        <w:tblW w:w="0" w:type="auto"/>
        <w:jc w:val="center"/>
        <w:tblBorders>
          <w:top w:val="nil"/>
          <w:left w:val="nil"/>
          <w:bottom w:val="nil"/>
          <w:right w:val="nil"/>
          <w:insideH w:val="nil"/>
          <w:insideV w:val="nil"/>
        </w:tblBorders>
        <w:tblLayout w:type="fixed"/>
        <w:tblCellMar>
          <w:left w:w="108" w:type="dxa"/>
          <w:right w:w="108" w:type="dxa"/>
        </w:tblCellMar>
      </w:tblPr>
      <w:tblGrid>
        <w:gridCol w:w="5400"/>
        <w:gridCol w:w="2160"/>
        <w:gridCol w:w="1680"/>
      </w:tblGrid>
      <w:tr>
        <w:tblPrEx>
          <w:tblW w:w="0" w:type="auto"/>
          <w:tblLayout w:type="fixed"/>
        </w:tblPrEx>
        <w:trPr>
          <w:tblHeader/>
        </w:trPr>
        <w:tc>
          <w:tcPr>
            <w:tcW w:w="5400" w:type="dxa"/>
            <w:tcBorders>
              <w:bottom w:val="nil"/>
              <w:right w:val="nil"/>
            </w:tcBorders>
            <w:tcMar>
              <w:top w:w="20" w:type="dxa"/>
              <w:bottom w:w="20" w:type="dxa"/>
            </w:tcMar>
            <w:vAlign w:val="top"/>
          </w:tcPr>
          <w:p>
            <w:pPr>
              <w:spacing w:before="200" w:after="0" w:line="220" w:lineRule="atLeast"/>
              <w:ind w:left="0"/>
              <w:jc w:val="left"/>
            </w:pPr>
            <w:r>
              <w:rPr>
                <w:rFonts w:ascii="arial" w:eastAsia="arial" w:hAnsi="arial" w:cs="arial"/>
                <w:b/>
                <w:i w:val="0"/>
                <w:strike w:val="0"/>
                <w:noProof w:val="0"/>
                <w:color w:val="000000"/>
                <w:position w:val="0"/>
                <w:sz w:val="18"/>
                <w:u w:val="none"/>
                <w:vertAlign w:val="baseline"/>
              </w:rPr>
              <w:t>Version</w:t>
            </w:r>
          </w:p>
        </w:tc>
        <w:tc>
          <w:tcPr>
            <w:tcW w:w="2160" w:type="dxa"/>
            <w:tcBorders>
              <w:bottom w:val="nil"/>
              <w:right w:val="nil"/>
            </w:tcBorders>
            <w:tcMar>
              <w:top w:w="20" w:type="dxa"/>
              <w:bottom w:w="20" w:type="dxa"/>
            </w:tcMar>
            <w:vAlign w:val="top"/>
          </w:tcPr>
          <w:p>
            <w:pPr>
              <w:spacing w:before="200" w:after="0" w:line="220" w:lineRule="atLeast"/>
              <w:ind w:left="0"/>
              <w:jc w:val="left"/>
            </w:pPr>
            <w:r>
              <w:rPr>
                <w:rFonts w:ascii="arial" w:eastAsia="arial" w:hAnsi="arial" w:cs="arial"/>
                <w:b/>
                <w:i w:val="0"/>
                <w:strike w:val="0"/>
                <w:noProof w:val="0"/>
                <w:color w:val="000000"/>
                <w:position w:val="0"/>
                <w:sz w:val="18"/>
                <w:u w:val="none"/>
                <w:vertAlign w:val="baseline"/>
              </w:rPr>
              <w:t>GCA_014634585.1</w:t>
            </w:r>
          </w:p>
        </w:tc>
        <w:tc>
          <w:tcPr>
            <w:tcW w:w="1680" w:type="dxa"/>
            <w:tcBorders>
              <w:bottom w:val="nil"/>
            </w:tcBorders>
            <w:tcMar>
              <w:top w:w="20" w:type="dxa"/>
              <w:bottom w:w="20" w:type="dxa"/>
            </w:tcMar>
            <w:vAlign w:val="top"/>
          </w:tcPr>
          <w:p>
            <w:pPr>
              <w:spacing w:before="200" w:after="0" w:line="220" w:lineRule="atLeast"/>
              <w:ind w:left="0"/>
              <w:jc w:val="left"/>
            </w:pPr>
            <w:r>
              <w:rPr>
                <w:rFonts w:ascii="arial" w:eastAsia="arial" w:hAnsi="arial" w:cs="arial"/>
                <w:b/>
                <w:i w:val="0"/>
                <w:strike w:val="0"/>
                <w:noProof w:val="0"/>
                <w:color w:val="000000"/>
                <w:position w:val="0"/>
                <w:sz w:val="18"/>
                <w:u w:val="none"/>
                <w:vertAlign w:val="baseline"/>
              </w:rPr>
              <w:t>This study</w:t>
            </w:r>
          </w:p>
        </w:tc>
      </w:tr>
      <w:tr>
        <w:tblPrEx>
          <w:tblW w:w="0" w:type="auto"/>
          <w:tblLayout w:type="fixed"/>
        </w:tblPrEx>
        <w:tc>
          <w:tcPr>
            <w:tcW w:w="54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Genome size</w:t>
            </w:r>
          </w:p>
        </w:tc>
        <w:tc>
          <w:tcPr>
            <w:tcW w:w="216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416.9 Mb</w:t>
            </w:r>
          </w:p>
        </w:tc>
        <w:tc>
          <w:tcPr>
            <w:tcW w:w="168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496.8 Mb</w:t>
            </w:r>
          </w:p>
        </w:tc>
      </w:tr>
      <w:tr>
        <w:tblPrEx>
          <w:tblW w:w="0" w:type="auto"/>
          <w:tblLayout w:type="fixed"/>
        </w:tblPrEx>
        <w:tc>
          <w:tcPr>
            <w:tcW w:w="54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Number of contigs</w:t>
            </w:r>
          </w:p>
        </w:tc>
        <w:tc>
          <w:tcPr>
            <w:tcW w:w="216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20,998</w:t>
            </w:r>
          </w:p>
        </w:tc>
        <w:tc>
          <w:tcPr>
            <w:tcW w:w="168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633</w:t>
            </w:r>
          </w:p>
        </w:tc>
      </w:tr>
      <w:tr>
        <w:tblPrEx>
          <w:tblW w:w="0" w:type="auto"/>
          <w:tblLayout w:type="fixed"/>
        </w:tblPrEx>
        <w:tc>
          <w:tcPr>
            <w:tcW w:w="54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Contig N50</w:t>
            </w:r>
          </w:p>
        </w:tc>
        <w:tc>
          <w:tcPr>
            <w:tcW w:w="216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40.3 Kb</w:t>
            </w:r>
          </w:p>
        </w:tc>
        <w:tc>
          <w:tcPr>
            <w:tcW w:w="168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2.9 Mb</w:t>
            </w:r>
          </w:p>
        </w:tc>
      </w:tr>
      <w:tr>
        <w:tblPrEx>
          <w:tblW w:w="0" w:type="auto"/>
          <w:tblLayout w:type="fixed"/>
        </w:tblPrEx>
        <w:tc>
          <w:tcPr>
            <w:tcW w:w="54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Contig L50</w:t>
            </w:r>
          </w:p>
        </w:tc>
        <w:tc>
          <w:tcPr>
            <w:tcW w:w="216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2,794</w:t>
            </w:r>
          </w:p>
        </w:tc>
        <w:tc>
          <w:tcPr>
            <w:tcW w:w="168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46</w:t>
            </w:r>
          </w:p>
        </w:tc>
      </w:tr>
      <w:tr>
        <w:tblPrEx>
          <w:tblW w:w="0" w:type="auto"/>
          <w:tblLayout w:type="fixed"/>
        </w:tblPrEx>
        <w:tc>
          <w:tcPr>
            <w:tcW w:w="54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GC percent</w:t>
            </w:r>
          </w:p>
        </w:tc>
        <w:tc>
          <w:tcPr>
            <w:tcW w:w="216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39</w:t>
            </w:r>
          </w:p>
        </w:tc>
        <w:tc>
          <w:tcPr>
            <w:tcW w:w="168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39</w:t>
            </w:r>
          </w:p>
        </w:tc>
      </w:tr>
      <w:tr>
        <w:tblPrEx>
          <w:tblW w:w="0" w:type="auto"/>
          <w:tblLayout w:type="fixed"/>
        </w:tblPrEx>
        <w:tc>
          <w:tcPr>
            <w:tcW w:w="54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Genome coverage</w:t>
            </w:r>
          </w:p>
        </w:tc>
        <w:tc>
          <w:tcPr>
            <w:tcW w:w="216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239.0x</w:t>
            </w:r>
          </w:p>
        </w:tc>
        <w:tc>
          <w:tcPr>
            <w:tcW w:w="168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30x</w:t>
            </w:r>
          </w:p>
        </w:tc>
      </w:tr>
      <w:tr>
        <w:tblPrEx>
          <w:tblW w:w="0" w:type="auto"/>
          <w:tblLayout w:type="fixed"/>
        </w:tblPrEx>
        <w:tc>
          <w:tcPr>
            <w:tcW w:w="54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Assembly level</w:t>
            </w:r>
          </w:p>
        </w:tc>
        <w:tc>
          <w:tcPr>
            <w:tcW w:w="216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Scaffold</w:t>
            </w:r>
          </w:p>
        </w:tc>
        <w:tc>
          <w:tcPr>
            <w:tcW w:w="168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Contig</w:t>
            </w:r>
          </w:p>
        </w:tc>
      </w:tr>
      <w:tr>
        <w:tblPrEx>
          <w:tblW w:w="0" w:type="auto"/>
          <w:tblLayout w:type="fixed"/>
        </w:tblPrEx>
        <w:tc>
          <w:tcPr>
            <w:tcW w:w="54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N?s per 100 Kbp</w:t>
            </w:r>
          </w:p>
        </w:tc>
        <w:tc>
          <w:tcPr>
            <w:tcW w:w="216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5,276.1</w:t>
            </w:r>
          </w:p>
        </w:tc>
        <w:tc>
          <w:tcPr>
            <w:tcW w:w="168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w:t>
            </w:r>
          </w:p>
        </w:tc>
      </w:tr>
      <w:tr>
        <w:tblPrEx>
          <w:tblW w:w="0" w:type="auto"/>
          <w:tblLayout w:type="fixed"/>
        </w:tblPrEx>
        <w:tc>
          <w:tcPr>
            <w:tcW w:w="54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BUSCO completeness (genome assembly)</w:t>
            </w:r>
          </w:p>
        </w:tc>
        <w:tc>
          <w:tcPr>
            <w:tcW w:w="216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90.6</w:t>
            </w:r>
          </w:p>
        </w:tc>
        <w:tc>
          <w:tcPr>
            <w:tcW w:w="168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92.6</w:t>
            </w:r>
          </w:p>
        </w:tc>
      </w:tr>
      <w:tr>
        <w:tblPrEx>
          <w:tblW w:w="0" w:type="auto"/>
          <w:tblLayout w:type="fixed"/>
        </w:tblPrEx>
        <w:tc>
          <w:tcPr>
            <w:tcW w:w="54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BUSCO completeness (gene model)</w:t>
            </w:r>
          </w:p>
        </w:tc>
        <w:tc>
          <w:tcPr>
            <w:tcW w:w="216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93</w:t>
            </w:r>
          </w:p>
        </w:tc>
        <w:tc>
          <w:tcPr>
            <w:tcW w:w="168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95.7</w:t>
            </w:r>
          </w:p>
        </w:tc>
      </w:tr>
      <w:tr>
        <w:tblPrEx>
          <w:tblW w:w="0" w:type="auto"/>
          <w:tblLayout w:type="fixed"/>
        </w:tblPrEx>
        <w:tc>
          <w:tcPr>
            <w:tcW w:w="5400" w:type="dxa"/>
            <w:tcBorders>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Number of predicted genes</w:t>
            </w:r>
          </w:p>
        </w:tc>
        <w:tc>
          <w:tcPr>
            <w:tcW w:w="2160" w:type="dxa"/>
            <w:tcBorders>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22,835</w:t>
            </w:r>
          </w:p>
        </w:tc>
        <w:tc>
          <w:tcPr>
            <w:tcW w:w="1680" w:type="dxa"/>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26,611</w:t>
            </w:r>
          </w:p>
        </w:tc>
      </w:tr>
    </w:tbl>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VersionGCA_014634585.1This studyGenome size416.9 Mb496.8 MbNumber of contigs20,998633Contig N5040.3 Kb2.9 MbContig L502,79446GC percent3939Genome coverage239.0x30xAssembly levelScaffoldContigN’s per 100 Kbp5,276.10BUSCO completeness (genome assembly)90.692.6BUSCO completeness (gene model)9395.7Number of predicted genes22,83526,611</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Repeat annotation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Prior to masking repetitive elements, a </w:t>
      </w:r>
      <w:r>
        <w:rPr>
          <w:rFonts w:ascii="arial" w:eastAsia="arial" w:hAnsi="arial" w:cs="arial"/>
          <w:b w:val="0"/>
          <w:i/>
          <w:strike w:val="0"/>
          <w:noProof w:val="0"/>
          <w:color w:val="000000"/>
          <w:position w:val="0"/>
          <w:sz w:val="20"/>
          <w:u w:val="none"/>
          <w:vertAlign w:val="baseline"/>
        </w:rPr>
        <w:t>de novo</w:t>
      </w:r>
      <w:r>
        <w:rPr>
          <w:rFonts w:ascii="arial" w:eastAsia="arial" w:hAnsi="arial" w:cs="arial"/>
          <w:b w:val="0"/>
          <w:i w:val="0"/>
          <w:strike w:val="0"/>
          <w:noProof w:val="0"/>
          <w:color w:val="000000"/>
          <w:position w:val="0"/>
          <w:sz w:val="20"/>
          <w:u w:val="none"/>
          <w:vertAlign w:val="baseline"/>
        </w:rPr>
        <w:t xml:space="preserve"> library of repeats was constructed for the final </w:t>
      </w:r>
      <w:r>
        <w:rPr>
          <w:rFonts w:ascii="arial" w:eastAsia="arial" w:hAnsi="arial" w:cs="arial"/>
          <w:b w:val="0"/>
          <w:i/>
          <w:strike w:val="0"/>
          <w:noProof w:val="0"/>
          <w:color w:val="000000"/>
          <w:position w:val="0"/>
          <w:sz w:val="20"/>
          <w:u w:val="none"/>
          <w:vertAlign w:val="baseline"/>
        </w:rPr>
        <w:t>A. intermedia</w:t>
      </w:r>
      <w:r>
        <w:rPr>
          <w:rFonts w:ascii="arial" w:eastAsia="arial" w:hAnsi="arial" w:cs="arial"/>
          <w:b w:val="0"/>
          <w:i w:val="0"/>
          <w:strike w:val="0"/>
          <w:noProof w:val="0"/>
          <w:color w:val="000000"/>
          <w:position w:val="0"/>
          <w:sz w:val="20"/>
          <w:u w:val="none"/>
          <w:vertAlign w:val="baseline"/>
        </w:rPr>
        <w:t xml:space="preserve"> genome assembly using RepeatModeler v.2.0.139. RepeatMasker v4.1.740 was then used to predict repeat sequence with the </w:t>
      </w:r>
      <w:r>
        <w:rPr>
          <w:rFonts w:ascii="arial" w:eastAsia="arial" w:hAnsi="arial" w:cs="arial"/>
          <w:b w:val="0"/>
          <w:i/>
          <w:strike w:val="0"/>
          <w:noProof w:val="0"/>
          <w:color w:val="000000"/>
          <w:position w:val="0"/>
          <w:sz w:val="20"/>
          <w:u w:val="none"/>
          <w:vertAlign w:val="baseline"/>
        </w:rPr>
        <w:t>de novo</w:t>
      </w:r>
      <w:r>
        <w:rPr>
          <w:rFonts w:ascii="arial" w:eastAsia="arial" w:hAnsi="arial" w:cs="arial"/>
          <w:b w:val="0"/>
          <w:i w:val="0"/>
          <w:strike w:val="0"/>
          <w:noProof w:val="0"/>
          <w:color w:val="000000"/>
          <w:position w:val="0"/>
          <w:sz w:val="20"/>
          <w:u w:val="none"/>
          <w:vertAlign w:val="baseline"/>
        </w:rPr>
        <w:t xml:space="preserve"> self-training result generated by RepeatModeler serving as the input targeting the RepBase-20181026 database. RepeatMasker masked 47.91% of the genome, with most of the repeats being unclassified (20.37%). Transposable elements (TEs) were predicted using EDTA v2.2.241 for </w:t>
      </w:r>
      <w:r>
        <w:rPr>
          <w:rFonts w:ascii="arial" w:eastAsia="arial" w:hAnsi="arial" w:cs="arial"/>
          <w:b w:val="0"/>
          <w:i/>
          <w:strike w:val="0"/>
          <w:noProof w:val="0"/>
          <w:color w:val="000000"/>
          <w:position w:val="0"/>
          <w:sz w:val="20"/>
          <w:u w:val="none"/>
          <w:vertAlign w:val="baseline"/>
        </w:rPr>
        <w:t>de novo</w:t>
      </w:r>
      <w:r>
        <w:rPr>
          <w:rFonts w:ascii="arial" w:eastAsia="arial" w:hAnsi="arial" w:cs="arial"/>
          <w:b w:val="0"/>
          <w:i w:val="0"/>
          <w:strike w:val="0"/>
          <w:noProof w:val="0"/>
          <w:color w:val="000000"/>
          <w:position w:val="0"/>
          <w:sz w:val="20"/>
          <w:u w:val="none"/>
          <w:vertAlign w:val="baseline"/>
        </w:rPr>
        <w:t xml:space="preserve"> prediction. The TE library of EDTA was obtained after filtering. Combined with the results of RepeatMasker and EDTA, the final genome repeat sequence annotation was compiled (Table 2).Table 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Statistics of repeat elements in the genome of </w:t>
      </w:r>
      <w:r>
        <w:rPr>
          <w:rFonts w:ascii="arial" w:eastAsia="arial" w:hAnsi="arial" w:cs="arial"/>
          <w:b w:val="0"/>
          <w:i/>
          <w:strike w:val="0"/>
          <w:noProof w:val="0"/>
          <w:color w:val="000000"/>
          <w:position w:val="0"/>
          <w:sz w:val="20"/>
          <w:u w:val="none"/>
          <w:vertAlign w:val="baseline"/>
        </w:rPr>
        <w:t>A. intermedia</w:t>
      </w:r>
      <w:r>
        <w:rPr>
          <w:rFonts w:ascii="arial" w:eastAsia="arial" w:hAnsi="arial" w:cs="arial"/>
          <w:b w:val="0"/>
          <w:i w:val="0"/>
          <w:strike w:val="0"/>
          <w:noProof w:val="0"/>
          <w:color w:val="000000"/>
          <w:position w:val="0"/>
          <w:sz w:val="20"/>
          <w:u w:val="none"/>
          <w:vertAlign w:val="baseline"/>
        </w:rPr>
        <w:t>.</w:t>
      </w:r>
    </w:p>
    <w:tbl>
      <w:tblPr>
        <w:tblW w:w="0" w:type="auto"/>
        <w:jc w:val="center"/>
        <w:tblBorders>
          <w:top w:val="nil"/>
          <w:left w:val="nil"/>
          <w:bottom w:val="nil"/>
          <w:right w:val="nil"/>
          <w:insideH w:val="nil"/>
          <w:insideV w:val="nil"/>
        </w:tblBorders>
        <w:tblLayout w:type="fixed"/>
        <w:tblCellMar>
          <w:left w:w="108" w:type="dxa"/>
          <w:right w:w="108" w:type="dxa"/>
        </w:tblCellMar>
      </w:tblPr>
      <w:tblGrid>
        <w:gridCol w:w="3000"/>
        <w:gridCol w:w="1440"/>
        <w:gridCol w:w="2280"/>
        <w:gridCol w:w="2400"/>
      </w:tblGrid>
      <w:tr>
        <w:tblPrEx>
          <w:tblW w:w="0" w:type="auto"/>
          <w:tblLayout w:type="fixed"/>
        </w:tblPrEx>
        <w:trPr>
          <w:tblHeader/>
        </w:trPr>
        <w:tc>
          <w:tcPr>
            <w:tcW w:w="3000" w:type="dxa"/>
            <w:tcBorders>
              <w:bottom w:val="nil"/>
              <w:right w:val="nil"/>
            </w:tcBorders>
            <w:tcMar>
              <w:top w:w="20" w:type="dxa"/>
              <w:bottom w:w="20" w:type="dxa"/>
            </w:tcMar>
            <w:vAlign w:val="top"/>
          </w:tcPr>
          <w:p>
            <w:pPr>
              <w:spacing w:before="200" w:after="0" w:line="220" w:lineRule="atLeast"/>
              <w:ind w:left="0"/>
              <w:jc w:val="left"/>
            </w:pPr>
            <w:r>
              <w:rPr>
                <w:rFonts w:ascii="arial" w:eastAsia="arial" w:hAnsi="arial" w:cs="arial"/>
                <w:b/>
                <w:i w:val="0"/>
                <w:strike w:val="0"/>
                <w:noProof w:val="0"/>
                <w:color w:val="000000"/>
                <w:position w:val="0"/>
                <w:sz w:val="18"/>
                <w:u w:val="none"/>
                <w:vertAlign w:val="baseline"/>
              </w:rPr>
              <w:t>Repeat elements</w:t>
            </w:r>
          </w:p>
        </w:tc>
        <w:tc>
          <w:tcPr>
            <w:tcW w:w="1440" w:type="dxa"/>
            <w:tcBorders>
              <w:bottom w:val="nil"/>
              <w:right w:val="nil"/>
            </w:tcBorders>
            <w:tcMar>
              <w:top w:w="20" w:type="dxa"/>
              <w:bottom w:w="20" w:type="dxa"/>
            </w:tcMar>
            <w:vAlign w:val="top"/>
          </w:tcPr>
          <w:p>
            <w:pPr>
              <w:spacing w:before="200" w:after="0" w:line="220" w:lineRule="atLeast"/>
              <w:ind w:left="0"/>
              <w:jc w:val="left"/>
            </w:pPr>
            <w:r>
              <w:rPr>
                <w:rFonts w:ascii="arial" w:eastAsia="arial" w:hAnsi="arial" w:cs="arial"/>
                <w:b/>
                <w:i w:val="0"/>
                <w:strike w:val="0"/>
                <w:noProof w:val="0"/>
                <w:color w:val="000000"/>
                <w:position w:val="0"/>
                <w:sz w:val="18"/>
                <w:u w:val="none"/>
                <w:vertAlign w:val="baseline"/>
              </w:rPr>
              <w:t>Copies</w:t>
            </w:r>
          </w:p>
        </w:tc>
        <w:tc>
          <w:tcPr>
            <w:tcW w:w="2280" w:type="dxa"/>
            <w:tcBorders>
              <w:bottom w:val="nil"/>
              <w:right w:val="nil"/>
            </w:tcBorders>
            <w:tcMar>
              <w:top w:w="20" w:type="dxa"/>
              <w:bottom w:w="20" w:type="dxa"/>
            </w:tcMar>
            <w:vAlign w:val="top"/>
          </w:tcPr>
          <w:p>
            <w:pPr>
              <w:spacing w:before="200" w:after="0" w:line="220" w:lineRule="atLeast"/>
              <w:ind w:left="0"/>
              <w:jc w:val="left"/>
            </w:pPr>
            <w:r>
              <w:rPr>
                <w:rFonts w:ascii="arial" w:eastAsia="arial" w:hAnsi="arial" w:cs="arial"/>
                <w:b/>
                <w:i w:val="0"/>
                <w:strike w:val="0"/>
                <w:noProof w:val="0"/>
                <w:color w:val="000000"/>
                <w:position w:val="0"/>
                <w:sz w:val="18"/>
                <w:u w:val="none"/>
                <w:vertAlign w:val="baseline"/>
              </w:rPr>
              <w:t>Length (bp)</w:t>
            </w:r>
          </w:p>
        </w:tc>
        <w:tc>
          <w:tcPr>
            <w:tcW w:w="2400" w:type="dxa"/>
            <w:tcBorders>
              <w:bottom w:val="nil"/>
            </w:tcBorders>
            <w:tcMar>
              <w:top w:w="20" w:type="dxa"/>
              <w:bottom w:w="20" w:type="dxa"/>
            </w:tcMar>
            <w:vAlign w:val="top"/>
          </w:tcPr>
          <w:p>
            <w:pPr>
              <w:spacing w:before="200" w:after="0" w:line="220" w:lineRule="atLeast"/>
              <w:ind w:left="0"/>
              <w:jc w:val="left"/>
            </w:pPr>
            <w:r>
              <w:rPr>
                <w:rFonts w:ascii="arial" w:eastAsia="arial" w:hAnsi="arial" w:cs="arial"/>
                <w:b/>
                <w:i w:val="0"/>
                <w:strike w:val="0"/>
                <w:noProof w:val="0"/>
                <w:color w:val="000000"/>
                <w:position w:val="0"/>
                <w:sz w:val="18"/>
                <w:u w:val="none"/>
                <w:vertAlign w:val="baseline"/>
              </w:rPr>
              <w:t>Percent (%)</w:t>
            </w:r>
          </w:p>
        </w:tc>
      </w:tr>
      <w:tr>
        <w:tblPrEx>
          <w:tblW w:w="0" w:type="auto"/>
          <w:tblLayout w:type="fixed"/>
        </w:tblPrEx>
        <w:tc>
          <w:tcPr>
            <w:tcW w:w="30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SINE</w:t>
            </w:r>
          </w:p>
        </w:tc>
        <w:tc>
          <w:tcPr>
            <w:tcW w:w="14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25,734</w:t>
            </w:r>
          </w:p>
        </w:tc>
        <w:tc>
          <w:tcPr>
            <w:tcW w:w="22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5,212,992</w:t>
            </w:r>
          </w:p>
        </w:tc>
        <w:tc>
          <w:tcPr>
            <w:tcW w:w="240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1.05</w:t>
            </w:r>
          </w:p>
        </w:tc>
      </w:tr>
      <w:tr>
        <w:tblPrEx>
          <w:tblW w:w="0" w:type="auto"/>
          <w:tblLayout w:type="fixed"/>
        </w:tblPrEx>
        <w:tc>
          <w:tcPr>
            <w:tcW w:w="30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LINE</w:t>
            </w:r>
          </w:p>
        </w:tc>
        <w:tc>
          <w:tcPr>
            <w:tcW w:w="14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78,841</w:t>
            </w:r>
          </w:p>
        </w:tc>
        <w:tc>
          <w:tcPr>
            <w:tcW w:w="22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34,882,285</w:t>
            </w:r>
          </w:p>
        </w:tc>
        <w:tc>
          <w:tcPr>
            <w:tcW w:w="240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7.02</w:t>
            </w:r>
          </w:p>
        </w:tc>
      </w:tr>
      <w:tr>
        <w:tblPrEx>
          <w:tblW w:w="0" w:type="auto"/>
          <w:tblLayout w:type="fixed"/>
        </w:tblPrEx>
        <w:tc>
          <w:tcPr>
            <w:tcW w:w="30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LTR elements</w:t>
            </w:r>
          </w:p>
        </w:tc>
        <w:tc>
          <w:tcPr>
            <w:tcW w:w="14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121,501</w:t>
            </w:r>
          </w:p>
        </w:tc>
        <w:tc>
          <w:tcPr>
            <w:tcW w:w="22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44,598,361</w:t>
            </w:r>
          </w:p>
        </w:tc>
        <w:tc>
          <w:tcPr>
            <w:tcW w:w="240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8.98</w:t>
            </w:r>
          </w:p>
        </w:tc>
      </w:tr>
      <w:tr>
        <w:tblPrEx>
          <w:tblW w:w="0" w:type="auto"/>
          <w:tblLayout w:type="fixed"/>
        </w:tblPrEx>
        <w:tc>
          <w:tcPr>
            <w:tcW w:w="30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DNA elements</w:t>
            </w:r>
          </w:p>
        </w:tc>
        <w:tc>
          <w:tcPr>
            <w:tcW w:w="14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143,610</w:t>
            </w:r>
          </w:p>
        </w:tc>
        <w:tc>
          <w:tcPr>
            <w:tcW w:w="22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45,001,148</w:t>
            </w:r>
          </w:p>
        </w:tc>
        <w:tc>
          <w:tcPr>
            <w:tcW w:w="240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9.06</w:t>
            </w:r>
          </w:p>
        </w:tc>
      </w:tr>
      <w:tr>
        <w:tblPrEx>
          <w:tblW w:w="0" w:type="auto"/>
          <w:tblLayout w:type="fixed"/>
        </w:tblPrEx>
        <w:tc>
          <w:tcPr>
            <w:tcW w:w="30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Unclassified</w:t>
            </w:r>
          </w:p>
        </w:tc>
        <w:tc>
          <w:tcPr>
            <w:tcW w:w="14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313,666</w:t>
            </w:r>
          </w:p>
        </w:tc>
        <w:tc>
          <w:tcPr>
            <w:tcW w:w="22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101,204,656</w:t>
            </w:r>
          </w:p>
        </w:tc>
        <w:tc>
          <w:tcPr>
            <w:tcW w:w="240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20.37</w:t>
            </w:r>
          </w:p>
        </w:tc>
      </w:tr>
      <w:tr>
        <w:tblPrEx>
          <w:tblW w:w="0" w:type="auto"/>
          <w:tblLayout w:type="fixed"/>
        </w:tblPrEx>
        <w:tc>
          <w:tcPr>
            <w:tcW w:w="30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Small RNA</w:t>
            </w:r>
          </w:p>
        </w:tc>
        <w:tc>
          <w:tcPr>
            <w:tcW w:w="14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3,443</w:t>
            </w:r>
          </w:p>
        </w:tc>
        <w:tc>
          <w:tcPr>
            <w:tcW w:w="22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771,163</w:t>
            </w:r>
          </w:p>
        </w:tc>
        <w:tc>
          <w:tcPr>
            <w:tcW w:w="240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0.16</w:t>
            </w:r>
          </w:p>
        </w:tc>
      </w:tr>
      <w:tr>
        <w:tblPrEx>
          <w:tblW w:w="0" w:type="auto"/>
          <w:tblLayout w:type="fixed"/>
        </w:tblPrEx>
        <w:tc>
          <w:tcPr>
            <w:tcW w:w="30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Satellites</w:t>
            </w:r>
          </w:p>
        </w:tc>
        <w:tc>
          <w:tcPr>
            <w:tcW w:w="14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7,013</w:t>
            </w:r>
          </w:p>
        </w:tc>
        <w:tc>
          <w:tcPr>
            <w:tcW w:w="22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3,303,748</w:t>
            </w:r>
          </w:p>
        </w:tc>
        <w:tc>
          <w:tcPr>
            <w:tcW w:w="240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0.66</w:t>
            </w:r>
          </w:p>
        </w:tc>
      </w:tr>
      <w:tr>
        <w:tblPrEx>
          <w:tblW w:w="0" w:type="auto"/>
          <w:tblLayout w:type="fixed"/>
        </w:tblPrEx>
        <w:tc>
          <w:tcPr>
            <w:tcW w:w="30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Simple repeats</w:t>
            </w:r>
          </w:p>
        </w:tc>
        <w:tc>
          <w:tcPr>
            <w:tcW w:w="14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87,111</w:t>
            </w:r>
          </w:p>
        </w:tc>
        <w:tc>
          <w:tcPr>
            <w:tcW w:w="22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4,105,965</w:t>
            </w:r>
          </w:p>
        </w:tc>
        <w:tc>
          <w:tcPr>
            <w:tcW w:w="240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0.83</w:t>
            </w:r>
          </w:p>
        </w:tc>
      </w:tr>
      <w:tr>
        <w:tblPrEx>
          <w:tblW w:w="0" w:type="auto"/>
          <w:tblLayout w:type="fixed"/>
        </w:tblPrEx>
        <w:tc>
          <w:tcPr>
            <w:tcW w:w="30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Low complexity</w:t>
            </w:r>
          </w:p>
        </w:tc>
        <w:tc>
          <w:tcPr>
            <w:tcW w:w="14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11,598</w:t>
            </w:r>
          </w:p>
        </w:tc>
        <w:tc>
          <w:tcPr>
            <w:tcW w:w="22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562,589</w:t>
            </w:r>
          </w:p>
        </w:tc>
        <w:tc>
          <w:tcPr>
            <w:tcW w:w="240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0.11</w:t>
            </w:r>
          </w:p>
        </w:tc>
      </w:tr>
      <w:tr>
        <w:tblPrEx>
          <w:tblW w:w="0" w:type="auto"/>
          <w:tblLayout w:type="fixed"/>
        </w:tblPrEx>
        <w:tc>
          <w:tcPr>
            <w:tcW w:w="3000" w:type="dxa"/>
            <w:tcBorders>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Total</w:t>
            </w:r>
          </w:p>
        </w:tc>
        <w:tc>
          <w:tcPr>
            <w:tcW w:w="1440" w:type="dxa"/>
            <w:tcBorders>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792,517</w:t>
            </w:r>
          </w:p>
        </w:tc>
        <w:tc>
          <w:tcPr>
            <w:tcW w:w="2280" w:type="dxa"/>
            <w:tcBorders>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239,642,907</w:t>
            </w:r>
          </w:p>
        </w:tc>
        <w:tc>
          <w:tcPr>
            <w:tcW w:w="2400" w:type="dxa"/>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48.24</w:t>
            </w:r>
          </w:p>
        </w:tc>
      </w:tr>
    </w:tbl>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Repeat elementsCopiesLength (bp)Percent (%)SINE25,7345,212,9921.05LINE78,84134,882,2857.02LTR elements121,50144,598,3618.98DNA elements143,61045,001,1489.06Unclassified313,666101,204,65620.37Small RNA3,443771,1630.16Satellites7,0133,303,7480.66Simple repeats87,1114,105,9650.83Low complexity11,598562,5890.11Total792,517239,642,90748.24</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Gene prediction and annotation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employed multiple methods for genome structure annotation. First, we used the Augustus v3.342 for </w:t>
      </w:r>
      <w:r>
        <w:rPr>
          <w:rFonts w:ascii="arial" w:eastAsia="arial" w:hAnsi="arial" w:cs="arial"/>
          <w:b w:val="0"/>
          <w:i/>
          <w:strike w:val="0"/>
          <w:noProof w:val="0"/>
          <w:color w:val="000000"/>
          <w:position w:val="0"/>
          <w:sz w:val="20"/>
          <w:u w:val="none"/>
          <w:vertAlign w:val="baseline"/>
        </w:rPr>
        <w:t>de novo</w:t>
      </w:r>
      <w:r>
        <w:rPr>
          <w:rFonts w:ascii="arial" w:eastAsia="arial" w:hAnsi="arial" w:cs="arial"/>
          <w:b w:val="0"/>
          <w:i w:val="0"/>
          <w:strike w:val="0"/>
          <w:noProof w:val="0"/>
          <w:color w:val="000000"/>
          <w:position w:val="0"/>
          <w:sz w:val="20"/>
          <w:u w:val="none"/>
          <w:vertAlign w:val="baseline"/>
        </w:rPr>
        <w:t xml:space="preserve"> gene prediction. Genomes of all species in the genus </w:t>
      </w:r>
      <w:r>
        <w:rPr>
          <w:rFonts w:ascii="arial" w:eastAsia="arial" w:hAnsi="arial" w:cs="arial"/>
          <w:b w:val="0"/>
          <w:i/>
          <w:strike w:val="0"/>
          <w:noProof w:val="0"/>
          <w:color w:val="000000"/>
          <w:position w:val="0"/>
          <w:sz w:val="20"/>
          <w:u w:val="none"/>
          <w:vertAlign w:val="baseline"/>
        </w:rPr>
        <w:t>Acropora</w:t>
      </w:r>
      <w:r>
        <w:rPr>
          <w:rFonts w:ascii="arial" w:eastAsia="arial" w:hAnsi="arial" w:cs="arial"/>
          <w:b w:val="0"/>
          <w:i w:val="0"/>
          <w:strike w:val="0"/>
          <w:noProof w:val="0"/>
          <w:color w:val="000000"/>
          <w:position w:val="0"/>
          <w:sz w:val="20"/>
          <w:u w:val="none"/>
          <w:vertAlign w:val="baseline"/>
        </w:rPr>
        <w:t xml:space="preserve"> were downloaded from NCBI to create the test and training sets for the model. After training, the model was used to predict genes on </w:t>
      </w:r>
      <w:r>
        <w:rPr>
          <w:rFonts w:ascii="arial" w:eastAsia="arial" w:hAnsi="arial" w:cs="arial"/>
          <w:b w:val="0"/>
          <w:i/>
          <w:strike w:val="0"/>
          <w:noProof w:val="0"/>
          <w:color w:val="000000"/>
          <w:position w:val="0"/>
          <w:sz w:val="20"/>
          <w:u w:val="none"/>
          <w:vertAlign w:val="baseline"/>
        </w:rPr>
        <w:t>A. intermedia</w:t>
      </w:r>
      <w:r>
        <w:rPr>
          <w:rFonts w:ascii="arial" w:eastAsia="arial" w:hAnsi="arial" w:cs="arial"/>
          <w:b w:val="0"/>
          <w:i w:val="0"/>
          <w:strike w:val="0"/>
          <w:noProof w:val="0"/>
          <w:color w:val="000000"/>
          <w:position w:val="0"/>
          <w:sz w:val="20"/>
          <w:u w:val="none"/>
          <w:vertAlign w:val="baseline"/>
        </w:rPr>
        <w:t xml:space="preserve">. Additionally, the transcriptome data of </w:t>
      </w:r>
      <w:r>
        <w:rPr>
          <w:rFonts w:ascii="arial" w:eastAsia="arial" w:hAnsi="arial" w:cs="arial"/>
          <w:b w:val="0"/>
          <w:i/>
          <w:strike w:val="0"/>
          <w:noProof w:val="0"/>
          <w:color w:val="000000"/>
          <w:position w:val="0"/>
          <w:sz w:val="20"/>
          <w:u w:val="none"/>
          <w:vertAlign w:val="baseline"/>
        </w:rPr>
        <w:t>A. intermedia</w:t>
      </w:r>
      <w:r>
        <w:rPr>
          <w:rFonts w:ascii="arial" w:eastAsia="arial" w:hAnsi="arial" w:cs="arial"/>
          <w:b w:val="0"/>
          <w:i w:val="0"/>
          <w:strike w:val="0"/>
          <w:noProof w:val="0"/>
          <w:color w:val="000000"/>
          <w:position w:val="0"/>
          <w:sz w:val="20"/>
          <w:u w:val="none"/>
          <w:vertAlign w:val="baseline"/>
        </w:rPr>
        <w:t xml:space="preserve"> (SRP226139) was obtained from NCBI, and transcript assembly was performed using Trinity v2.15.143. We further mapped and aligned the assembled transcripts back to the genome using the Program to Assemble Spliced Alignments (PASA) v2.5.244. Finally, the results from these strategies were integrated into a unified gene annotation using the EVidenceModeler v1.1.145.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non-coding RNA annotations, we download Rfam databases46, 47–48 and annotated ncRNAs, snRNA, and microRNA using infernal v1.1.449 based on the Rfam database. The rRNA annotation was performed using RNAMMER v1.250. In addition, 12,556 high-confidence transfer RNAs were predicted using tRNAscan-SE v2.0.1251 based on filtering of the initial set of 15,871 putative tRNAs using EukHighConfdenceFilter. The final statistical results are summarized in Table 3.Table 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statistics of ncRNA annotation in the coral </w:t>
      </w:r>
      <w:r>
        <w:rPr>
          <w:rFonts w:ascii="arial" w:eastAsia="arial" w:hAnsi="arial" w:cs="arial"/>
          <w:b w:val="0"/>
          <w:i/>
          <w:strike w:val="0"/>
          <w:noProof w:val="0"/>
          <w:color w:val="000000"/>
          <w:position w:val="0"/>
          <w:sz w:val="20"/>
          <w:u w:val="none"/>
          <w:vertAlign w:val="baseline"/>
        </w:rPr>
        <w:t>A. intermedia</w:t>
      </w:r>
      <w:r>
        <w:rPr>
          <w:rFonts w:ascii="arial" w:eastAsia="arial" w:hAnsi="arial" w:cs="arial"/>
          <w:b w:val="0"/>
          <w:i w:val="0"/>
          <w:strike w:val="0"/>
          <w:noProof w:val="0"/>
          <w:color w:val="000000"/>
          <w:position w:val="0"/>
          <w:sz w:val="20"/>
          <w:u w:val="none"/>
          <w:vertAlign w:val="baseline"/>
        </w:rPr>
        <w:t>.</w:t>
      </w:r>
    </w:p>
    <w:tbl>
      <w:tblPr>
        <w:tblW w:w="0" w:type="auto"/>
        <w:jc w:val="center"/>
        <w:tblBorders>
          <w:top w:val="nil"/>
          <w:left w:val="nil"/>
          <w:bottom w:val="nil"/>
          <w:right w:val="nil"/>
          <w:insideH w:val="nil"/>
          <w:insideV w:val="nil"/>
        </w:tblBorders>
        <w:tblLayout w:type="fixed"/>
        <w:tblCellMar>
          <w:left w:w="108" w:type="dxa"/>
          <w:right w:w="108" w:type="dxa"/>
        </w:tblCellMar>
      </w:tblPr>
      <w:tblGrid>
        <w:gridCol w:w="4080"/>
        <w:gridCol w:w="3000"/>
        <w:gridCol w:w="2160"/>
      </w:tblGrid>
      <w:tr>
        <w:tblPrEx>
          <w:tblW w:w="0" w:type="auto"/>
          <w:tblLayout w:type="fixed"/>
        </w:tblPrEx>
        <w:trPr>
          <w:tblHeader/>
        </w:trPr>
        <w:tc>
          <w:tcPr>
            <w:tcW w:w="7080" w:type="dxa"/>
            <w:gridSpan w:val="2"/>
            <w:tcBorders>
              <w:bottom w:val="nil"/>
            </w:tcBorders>
            <w:tcMar>
              <w:top w:w="20" w:type="dxa"/>
              <w:bottom w:w="20" w:type="dxa"/>
            </w:tcMar>
            <w:vAlign w:val="top"/>
          </w:tcPr>
          <w:p>
            <w:pPr>
              <w:spacing w:before="200" w:after="0" w:line="220" w:lineRule="atLeast"/>
              <w:ind w:left="0"/>
              <w:jc w:val="left"/>
            </w:pPr>
            <w:r>
              <w:rPr>
                <w:rFonts w:ascii="arial" w:eastAsia="arial" w:hAnsi="arial" w:cs="arial"/>
                <w:b/>
                <w:i w:val="0"/>
                <w:strike w:val="0"/>
                <w:noProof w:val="0"/>
                <w:color w:val="000000"/>
                <w:position w:val="0"/>
                <w:sz w:val="18"/>
                <w:u w:val="none"/>
                <w:vertAlign w:val="baseline"/>
              </w:rPr>
              <w:t>ncRNA type</w:t>
            </w:r>
          </w:p>
        </w:tc>
        <w:tc>
          <w:tcPr>
            <w:tcW w:w="2160" w:type="dxa"/>
            <w:tcBorders>
              <w:bottom w:val="nil"/>
            </w:tcBorders>
            <w:tcMar>
              <w:top w:w="20" w:type="dxa"/>
              <w:bottom w:w="20" w:type="dxa"/>
            </w:tcMar>
            <w:vAlign w:val="top"/>
          </w:tcPr>
          <w:p>
            <w:pPr>
              <w:spacing w:before="200" w:after="0" w:line="220" w:lineRule="atLeast"/>
              <w:ind w:left="0"/>
              <w:jc w:val="left"/>
            </w:pPr>
            <w:r>
              <w:rPr>
                <w:rFonts w:ascii="arial" w:eastAsia="arial" w:hAnsi="arial" w:cs="arial"/>
                <w:b/>
                <w:i w:val="0"/>
                <w:strike w:val="0"/>
                <w:noProof w:val="0"/>
                <w:color w:val="000000"/>
                <w:position w:val="0"/>
                <w:sz w:val="18"/>
                <w:u w:val="none"/>
                <w:vertAlign w:val="baseline"/>
              </w:rPr>
              <w:t>Copy</w:t>
            </w:r>
          </w:p>
        </w:tc>
      </w:tr>
      <w:tr>
        <w:tblPrEx>
          <w:tblW w:w="0" w:type="auto"/>
          <w:tblLayout w:type="fixed"/>
        </w:tblPrEx>
        <w:tc>
          <w:tcPr>
            <w:tcW w:w="40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miRNA</w:t>
            </w:r>
          </w:p>
        </w:tc>
        <w:tc>
          <w:tcPr>
            <w:tcW w:w="30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134</w:t>
            </w:r>
          </w:p>
        </w:tc>
        <w:tc>
          <w:tcPr>
            <w:tcW w:w="2160" w:type="dxa"/>
            <w:tcBorders>
              <w:bottom w:val="nil"/>
            </w:tcBorders>
            <w:tcMar>
              <w:top w:w="20" w:type="dxa"/>
              <w:bottom w:w="20" w:type="dxa"/>
            </w:tcMar>
            <w:vAlign w:val="top"/>
          </w:tcPr>
          <w:p/>
        </w:tc>
      </w:tr>
      <w:tr>
        <w:tblPrEx>
          <w:tblW w:w="0" w:type="auto"/>
          <w:tblLayout w:type="fixed"/>
        </w:tblPrEx>
        <w:tc>
          <w:tcPr>
            <w:tcW w:w="40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tRNA</w:t>
            </w:r>
          </w:p>
        </w:tc>
        <w:tc>
          <w:tcPr>
            <w:tcW w:w="30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12,556</w:t>
            </w:r>
          </w:p>
        </w:tc>
        <w:tc>
          <w:tcPr>
            <w:tcW w:w="2160" w:type="dxa"/>
            <w:tcBorders>
              <w:bottom w:val="nil"/>
            </w:tcBorders>
            <w:tcMar>
              <w:top w:w="20" w:type="dxa"/>
              <w:bottom w:w="20" w:type="dxa"/>
            </w:tcMar>
            <w:vAlign w:val="top"/>
          </w:tcPr>
          <w:p/>
        </w:tc>
      </w:tr>
      <w:tr>
        <w:tblPrEx>
          <w:tblW w:w="0" w:type="auto"/>
          <w:tblLayout w:type="fixed"/>
        </w:tblPrEx>
        <w:tc>
          <w:tcPr>
            <w:tcW w:w="40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rRNA</w:t>
            </w:r>
          </w:p>
        </w:tc>
        <w:tc>
          <w:tcPr>
            <w:tcW w:w="30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18S</w:t>
            </w:r>
          </w:p>
        </w:tc>
        <w:tc>
          <w:tcPr>
            <w:tcW w:w="216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146</w:t>
            </w:r>
          </w:p>
        </w:tc>
      </w:tr>
      <w:tr>
        <w:tblPrEx>
          <w:tblW w:w="0" w:type="auto"/>
          <w:tblLayout w:type="fixed"/>
        </w:tblPrEx>
        <w:tc>
          <w:tcPr>
            <w:tcW w:w="40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28S</w:t>
            </w:r>
          </w:p>
        </w:tc>
        <w:tc>
          <w:tcPr>
            <w:tcW w:w="30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75</w:t>
            </w:r>
          </w:p>
        </w:tc>
        <w:tc>
          <w:tcPr>
            <w:tcW w:w="2160" w:type="dxa"/>
            <w:tcBorders>
              <w:bottom w:val="nil"/>
            </w:tcBorders>
            <w:tcMar>
              <w:top w:w="20" w:type="dxa"/>
              <w:bottom w:w="20" w:type="dxa"/>
            </w:tcMar>
            <w:vAlign w:val="top"/>
          </w:tcPr>
          <w:p/>
        </w:tc>
      </w:tr>
      <w:tr>
        <w:tblPrEx>
          <w:tblW w:w="0" w:type="auto"/>
          <w:tblLayout w:type="fixed"/>
        </w:tblPrEx>
        <w:tc>
          <w:tcPr>
            <w:tcW w:w="40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5.8S</w:t>
            </w:r>
          </w:p>
        </w:tc>
        <w:tc>
          <w:tcPr>
            <w:tcW w:w="30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57</w:t>
            </w:r>
          </w:p>
        </w:tc>
        <w:tc>
          <w:tcPr>
            <w:tcW w:w="2160" w:type="dxa"/>
            <w:tcBorders>
              <w:bottom w:val="nil"/>
            </w:tcBorders>
            <w:tcMar>
              <w:top w:w="20" w:type="dxa"/>
              <w:bottom w:w="20" w:type="dxa"/>
            </w:tcMar>
            <w:vAlign w:val="top"/>
          </w:tcPr>
          <w:p/>
        </w:tc>
      </w:tr>
      <w:tr>
        <w:tblPrEx>
          <w:tblW w:w="0" w:type="auto"/>
          <w:tblLayout w:type="fixed"/>
        </w:tblPrEx>
        <w:tc>
          <w:tcPr>
            <w:tcW w:w="40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5S</w:t>
            </w:r>
          </w:p>
        </w:tc>
        <w:tc>
          <w:tcPr>
            <w:tcW w:w="30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4,054</w:t>
            </w:r>
          </w:p>
        </w:tc>
        <w:tc>
          <w:tcPr>
            <w:tcW w:w="2160" w:type="dxa"/>
            <w:tcBorders>
              <w:bottom w:val="nil"/>
            </w:tcBorders>
            <w:tcMar>
              <w:top w:w="20" w:type="dxa"/>
              <w:bottom w:w="20" w:type="dxa"/>
            </w:tcMar>
            <w:vAlign w:val="top"/>
          </w:tcPr>
          <w:p/>
        </w:tc>
      </w:tr>
      <w:tr>
        <w:tblPrEx>
          <w:tblW w:w="0" w:type="auto"/>
          <w:tblLayout w:type="fixed"/>
        </w:tblPrEx>
        <w:tc>
          <w:tcPr>
            <w:tcW w:w="40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Subtotal</w:t>
            </w:r>
          </w:p>
        </w:tc>
        <w:tc>
          <w:tcPr>
            <w:tcW w:w="30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4,332</w:t>
            </w:r>
          </w:p>
        </w:tc>
        <w:tc>
          <w:tcPr>
            <w:tcW w:w="2160" w:type="dxa"/>
            <w:tcBorders>
              <w:bottom w:val="nil"/>
            </w:tcBorders>
            <w:tcMar>
              <w:top w:w="20" w:type="dxa"/>
              <w:bottom w:w="20" w:type="dxa"/>
            </w:tcMar>
            <w:vAlign w:val="top"/>
          </w:tcPr>
          <w:p/>
        </w:tc>
      </w:tr>
      <w:tr>
        <w:tblPrEx>
          <w:tblW w:w="0" w:type="auto"/>
          <w:tblLayout w:type="fixed"/>
        </w:tblPrEx>
        <w:tc>
          <w:tcPr>
            <w:tcW w:w="40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sRNA</w:t>
            </w:r>
          </w:p>
        </w:tc>
        <w:tc>
          <w:tcPr>
            <w:tcW w:w="30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CD-box</w:t>
            </w:r>
          </w:p>
        </w:tc>
        <w:tc>
          <w:tcPr>
            <w:tcW w:w="216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54</w:t>
            </w:r>
          </w:p>
        </w:tc>
      </w:tr>
      <w:tr>
        <w:tblPrEx>
          <w:tblW w:w="0" w:type="auto"/>
          <w:tblLayout w:type="fixed"/>
        </w:tblPrEx>
        <w:tc>
          <w:tcPr>
            <w:tcW w:w="40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HACA-box</w:t>
            </w:r>
          </w:p>
        </w:tc>
        <w:tc>
          <w:tcPr>
            <w:tcW w:w="30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8</w:t>
            </w:r>
          </w:p>
        </w:tc>
        <w:tc>
          <w:tcPr>
            <w:tcW w:w="2160" w:type="dxa"/>
            <w:tcBorders>
              <w:bottom w:val="nil"/>
            </w:tcBorders>
            <w:tcMar>
              <w:top w:w="20" w:type="dxa"/>
              <w:bottom w:w="20" w:type="dxa"/>
            </w:tcMar>
            <w:vAlign w:val="top"/>
          </w:tcPr>
          <w:p/>
        </w:tc>
      </w:tr>
      <w:tr>
        <w:tblPrEx>
          <w:tblW w:w="0" w:type="auto"/>
          <w:tblLayout w:type="fixed"/>
        </w:tblPrEx>
        <w:tc>
          <w:tcPr>
            <w:tcW w:w="40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Splicing</w:t>
            </w:r>
          </w:p>
        </w:tc>
        <w:tc>
          <w:tcPr>
            <w:tcW w:w="30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744</w:t>
            </w:r>
          </w:p>
        </w:tc>
        <w:tc>
          <w:tcPr>
            <w:tcW w:w="2160" w:type="dxa"/>
            <w:tcBorders>
              <w:bottom w:val="nil"/>
            </w:tcBorders>
            <w:tcMar>
              <w:top w:w="20" w:type="dxa"/>
              <w:bottom w:w="20" w:type="dxa"/>
            </w:tcMar>
            <w:vAlign w:val="top"/>
          </w:tcPr>
          <w:p/>
        </w:tc>
      </w:tr>
      <w:tr>
        <w:tblPrEx>
          <w:tblW w:w="0" w:type="auto"/>
          <w:tblLayout w:type="fixed"/>
        </w:tblPrEx>
        <w:tc>
          <w:tcPr>
            <w:tcW w:w="40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scaRNA</w:t>
            </w:r>
          </w:p>
        </w:tc>
        <w:tc>
          <w:tcPr>
            <w:tcW w:w="30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w:t>
            </w:r>
          </w:p>
        </w:tc>
        <w:tc>
          <w:tcPr>
            <w:tcW w:w="2160" w:type="dxa"/>
            <w:tcBorders>
              <w:bottom w:val="nil"/>
            </w:tcBorders>
            <w:tcMar>
              <w:top w:w="20" w:type="dxa"/>
              <w:bottom w:w="20" w:type="dxa"/>
            </w:tcMar>
            <w:vAlign w:val="top"/>
          </w:tcPr>
          <w:p/>
        </w:tc>
      </w:tr>
      <w:tr>
        <w:tblPrEx>
          <w:tblW w:w="0" w:type="auto"/>
          <w:tblLayout w:type="fixed"/>
        </w:tblPrEx>
        <w:tc>
          <w:tcPr>
            <w:tcW w:w="4080" w:type="dxa"/>
            <w:tcBorders>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Subtotal</w:t>
            </w:r>
          </w:p>
        </w:tc>
        <w:tc>
          <w:tcPr>
            <w:tcW w:w="3000" w:type="dxa"/>
            <w:tcBorders>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807</w:t>
            </w:r>
          </w:p>
        </w:tc>
        <w:tc>
          <w:tcPr>
            <w:tcW w:w="2160" w:type="dxa"/>
            <w:tcMar>
              <w:top w:w="20" w:type="dxa"/>
              <w:bottom w:w="20" w:type="dxa"/>
            </w:tcMar>
            <w:vAlign w:val="top"/>
          </w:tcPr>
          <w:p/>
        </w:tc>
      </w:tr>
    </w:tbl>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ncRNA typeCopymiRNA134tRNA12,556rRNA18S14628S755.8S575S4,054Subtotal4,332sRNACD-box54HACA-box8Splicing744scaRNA1Subtotal807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functional annotation of the predicted protein-coding genes was performed by aligning protein sequences against the eggNOG 5.052 using DIAMOND v2.1.852, followed by hmmsearch (HMMER v3.3.2)53,54 validation against Pfam HMMs for conserved domain identification. In both the DIAMOND v2.1.8 alignment against the eggNOG database and the hmmsearch against Pfam HMMs, results with E-values greater than 1e-5 were removed to ensure the accuracy of the annotations. Additionally, protein function predictions were performed using various databases to revalidate the accuracy and enhance the completeness of the annotations, including Kyoto Encyclopedia of Genes and Genomes (KEGG)55 and Gene Ontology (GO)56. These databases were employed in conjunction with InterProScan v5.3657 to predict protein functions by analyzing the conserved protein domains. Specifically, BLASTP v2.2.2 was used against the SwissProt database 2025_0158, and DIAMOND v2.1.8 was applied against the NR database. Finally, all functional annotation files were merged using a Python script. In summary, 26,611 (99.1%) genes were successfully annotated (Table 4).Table 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statistics of functional annotation in the coral </w:t>
      </w:r>
      <w:r>
        <w:rPr>
          <w:rFonts w:ascii="arial" w:eastAsia="arial" w:hAnsi="arial" w:cs="arial"/>
          <w:b w:val="0"/>
          <w:i/>
          <w:strike w:val="0"/>
          <w:noProof w:val="0"/>
          <w:color w:val="000000"/>
          <w:position w:val="0"/>
          <w:sz w:val="20"/>
          <w:u w:val="none"/>
          <w:vertAlign w:val="baseline"/>
        </w:rPr>
        <w:t>A. intermedia</w:t>
      </w:r>
      <w:r>
        <w:rPr>
          <w:rFonts w:ascii="arial" w:eastAsia="arial" w:hAnsi="arial" w:cs="arial"/>
          <w:b w:val="0"/>
          <w:i w:val="0"/>
          <w:strike w:val="0"/>
          <w:noProof w:val="0"/>
          <w:color w:val="000000"/>
          <w:position w:val="0"/>
          <w:sz w:val="20"/>
          <w:u w:val="none"/>
          <w:vertAlign w:val="baseline"/>
        </w:rPr>
        <w:t>.</w:t>
      </w:r>
    </w:p>
    <w:tbl>
      <w:tblPr>
        <w:tblW w:w="0" w:type="auto"/>
        <w:jc w:val="center"/>
        <w:tblBorders>
          <w:top w:val="nil"/>
          <w:left w:val="nil"/>
          <w:bottom w:val="nil"/>
          <w:right w:val="nil"/>
          <w:insideH w:val="nil"/>
          <w:insideV w:val="nil"/>
        </w:tblBorders>
        <w:tblLayout w:type="fixed"/>
        <w:tblCellMar>
          <w:left w:w="108" w:type="dxa"/>
          <w:right w:w="108" w:type="dxa"/>
        </w:tblCellMar>
      </w:tblPr>
      <w:tblGrid>
        <w:gridCol w:w="1320"/>
        <w:gridCol w:w="3480"/>
        <w:gridCol w:w="4440"/>
      </w:tblGrid>
      <w:tr>
        <w:tblPrEx>
          <w:tblW w:w="0" w:type="auto"/>
          <w:tblLayout w:type="fixed"/>
        </w:tblPrEx>
        <w:trPr>
          <w:tblHeader/>
        </w:trPr>
        <w:tc>
          <w:tcPr>
            <w:tcW w:w="1320" w:type="dxa"/>
            <w:tcBorders>
              <w:bottom w:val="nil"/>
              <w:right w:val="nil"/>
            </w:tcBorders>
            <w:tcMar>
              <w:top w:w="20" w:type="dxa"/>
              <w:bottom w:w="20" w:type="dxa"/>
            </w:tcMar>
            <w:vAlign w:val="top"/>
          </w:tcPr>
          <w:p>
            <w:pPr>
              <w:spacing w:before="200" w:after="0" w:line="220" w:lineRule="atLeast"/>
              <w:ind w:left="0"/>
              <w:jc w:val="left"/>
            </w:pPr>
            <w:r>
              <w:rPr>
                <w:rFonts w:ascii="arial" w:eastAsia="arial" w:hAnsi="arial" w:cs="arial"/>
                <w:b/>
                <w:i w:val="0"/>
                <w:strike w:val="0"/>
                <w:noProof w:val="0"/>
                <w:color w:val="000000"/>
                <w:position w:val="0"/>
                <w:sz w:val="18"/>
                <w:u w:val="none"/>
                <w:vertAlign w:val="baseline"/>
              </w:rPr>
              <w:t>Type</w:t>
            </w:r>
          </w:p>
        </w:tc>
        <w:tc>
          <w:tcPr>
            <w:tcW w:w="3480" w:type="dxa"/>
            <w:tcBorders>
              <w:bottom w:val="nil"/>
              <w:right w:val="nil"/>
            </w:tcBorders>
            <w:tcMar>
              <w:top w:w="20" w:type="dxa"/>
              <w:bottom w:w="20" w:type="dxa"/>
            </w:tcMar>
            <w:vAlign w:val="top"/>
          </w:tcPr>
          <w:p>
            <w:pPr>
              <w:spacing w:before="200" w:after="0" w:line="220" w:lineRule="atLeast"/>
              <w:ind w:left="0"/>
              <w:jc w:val="left"/>
            </w:pPr>
            <w:r>
              <w:rPr>
                <w:rFonts w:ascii="arial" w:eastAsia="arial" w:hAnsi="arial" w:cs="arial"/>
                <w:b/>
                <w:i w:val="0"/>
                <w:strike w:val="0"/>
                <w:noProof w:val="0"/>
                <w:color w:val="000000"/>
                <w:position w:val="0"/>
                <w:sz w:val="18"/>
                <w:u w:val="none"/>
                <w:vertAlign w:val="baseline"/>
              </w:rPr>
              <w:t>Number of overall predicted genes</w:t>
            </w:r>
          </w:p>
        </w:tc>
        <w:tc>
          <w:tcPr>
            <w:tcW w:w="4440" w:type="dxa"/>
            <w:tcBorders>
              <w:bottom w:val="nil"/>
            </w:tcBorders>
            <w:tcMar>
              <w:top w:w="20" w:type="dxa"/>
              <w:bottom w:w="20" w:type="dxa"/>
            </w:tcMar>
            <w:vAlign w:val="top"/>
          </w:tcPr>
          <w:p>
            <w:pPr>
              <w:spacing w:before="200" w:after="0" w:line="220" w:lineRule="atLeast"/>
              <w:ind w:left="0"/>
              <w:jc w:val="left"/>
            </w:pPr>
            <w:r>
              <w:rPr>
                <w:rFonts w:ascii="arial" w:eastAsia="arial" w:hAnsi="arial" w:cs="arial"/>
                <w:b/>
                <w:i w:val="0"/>
                <w:strike w:val="0"/>
                <w:noProof w:val="0"/>
                <w:color w:val="000000"/>
                <w:position w:val="0"/>
                <w:sz w:val="18"/>
                <w:u w:val="none"/>
                <w:vertAlign w:val="baseline"/>
              </w:rPr>
              <w:t>Percentage of overall predicted genes (%)</w:t>
            </w:r>
          </w:p>
        </w:tc>
      </w:tr>
      <w:tr>
        <w:tblPrEx>
          <w:tblW w:w="0" w:type="auto"/>
          <w:tblLayout w:type="fixed"/>
        </w:tblPrEx>
        <w:tc>
          <w:tcPr>
            <w:tcW w:w="13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Total</w:t>
            </w:r>
          </w:p>
        </w:tc>
        <w:tc>
          <w:tcPr>
            <w:tcW w:w="34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26,852</w:t>
            </w:r>
          </w:p>
        </w:tc>
        <w:tc>
          <w:tcPr>
            <w:tcW w:w="444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w:t>
            </w:r>
          </w:p>
        </w:tc>
      </w:tr>
      <w:tr>
        <w:tblPrEx>
          <w:tblW w:w="0" w:type="auto"/>
          <w:tblLayout w:type="fixed"/>
        </w:tblPrEx>
        <w:tc>
          <w:tcPr>
            <w:tcW w:w="13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eggNOG</w:t>
            </w:r>
          </w:p>
        </w:tc>
        <w:tc>
          <w:tcPr>
            <w:tcW w:w="34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16,119</w:t>
            </w:r>
          </w:p>
        </w:tc>
        <w:tc>
          <w:tcPr>
            <w:tcW w:w="444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60.02</w:t>
            </w:r>
          </w:p>
        </w:tc>
      </w:tr>
      <w:tr>
        <w:tblPrEx>
          <w:tblW w:w="0" w:type="auto"/>
          <w:tblLayout w:type="fixed"/>
        </w:tblPrEx>
        <w:tc>
          <w:tcPr>
            <w:tcW w:w="13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KEGG</w:t>
            </w:r>
          </w:p>
        </w:tc>
        <w:tc>
          <w:tcPr>
            <w:tcW w:w="34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9,347</w:t>
            </w:r>
          </w:p>
        </w:tc>
        <w:tc>
          <w:tcPr>
            <w:tcW w:w="444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34.81</w:t>
            </w:r>
          </w:p>
        </w:tc>
      </w:tr>
      <w:tr>
        <w:tblPrEx>
          <w:tblW w:w="0" w:type="auto"/>
          <w:tblLayout w:type="fixed"/>
        </w:tblPrEx>
        <w:tc>
          <w:tcPr>
            <w:tcW w:w="13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GO</w:t>
            </w:r>
          </w:p>
        </w:tc>
        <w:tc>
          <w:tcPr>
            <w:tcW w:w="34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6,336</w:t>
            </w:r>
          </w:p>
        </w:tc>
        <w:tc>
          <w:tcPr>
            <w:tcW w:w="444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23.6</w:t>
            </w:r>
          </w:p>
        </w:tc>
      </w:tr>
      <w:tr>
        <w:tblPrEx>
          <w:tblW w:w="0" w:type="auto"/>
          <w:tblLayout w:type="fixed"/>
        </w:tblPrEx>
        <w:tc>
          <w:tcPr>
            <w:tcW w:w="13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NR</w:t>
            </w:r>
          </w:p>
        </w:tc>
        <w:tc>
          <w:tcPr>
            <w:tcW w:w="34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26,582</w:t>
            </w:r>
          </w:p>
        </w:tc>
        <w:tc>
          <w:tcPr>
            <w:tcW w:w="444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98.99</w:t>
            </w:r>
          </w:p>
        </w:tc>
      </w:tr>
      <w:tr>
        <w:tblPrEx>
          <w:tblW w:w="0" w:type="auto"/>
          <w:tblLayout w:type="fixed"/>
        </w:tblPrEx>
        <w:tc>
          <w:tcPr>
            <w:tcW w:w="13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SwissProt</w:t>
            </w:r>
          </w:p>
        </w:tc>
        <w:tc>
          <w:tcPr>
            <w:tcW w:w="34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17,991</w:t>
            </w:r>
          </w:p>
        </w:tc>
        <w:tc>
          <w:tcPr>
            <w:tcW w:w="444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67</w:t>
            </w:r>
          </w:p>
        </w:tc>
      </w:tr>
      <w:tr>
        <w:tblPrEx>
          <w:tblW w:w="0" w:type="auto"/>
          <w:tblLayout w:type="fixed"/>
        </w:tblPrEx>
        <w:tc>
          <w:tcPr>
            <w:tcW w:w="13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Pfam</w:t>
            </w:r>
          </w:p>
        </w:tc>
        <w:tc>
          <w:tcPr>
            <w:tcW w:w="34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5,162</w:t>
            </w:r>
          </w:p>
        </w:tc>
        <w:tc>
          <w:tcPr>
            <w:tcW w:w="444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19.22</w:t>
            </w:r>
          </w:p>
        </w:tc>
      </w:tr>
      <w:tr>
        <w:tblPrEx>
          <w:tblW w:w="0" w:type="auto"/>
          <w:tblLayout w:type="fixed"/>
        </w:tblPrEx>
        <w:tc>
          <w:tcPr>
            <w:tcW w:w="13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Annotated</w:t>
            </w:r>
          </w:p>
        </w:tc>
        <w:tc>
          <w:tcPr>
            <w:tcW w:w="34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26,611</w:t>
            </w:r>
          </w:p>
        </w:tc>
        <w:tc>
          <w:tcPr>
            <w:tcW w:w="444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99.1</w:t>
            </w:r>
          </w:p>
        </w:tc>
      </w:tr>
      <w:tr>
        <w:tblPrEx>
          <w:tblW w:w="0" w:type="auto"/>
          <w:tblLayout w:type="fixed"/>
        </w:tblPrEx>
        <w:tc>
          <w:tcPr>
            <w:tcW w:w="1320" w:type="dxa"/>
            <w:tcBorders>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Unannotated</w:t>
            </w:r>
          </w:p>
        </w:tc>
        <w:tc>
          <w:tcPr>
            <w:tcW w:w="3480" w:type="dxa"/>
            <w:tcBorders>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241</w:t>
            </w:r>
          </w:p>
        </w:tc>
        <w:tc>
          <w:tcPr>
            <w:tcW w:w="4440" w:type="dxa"/>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0.9</w:t>
            </w:r>
          </w:p>
        </w:tc>
      </w:tr>
    </w:tbl>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TypeNumber of overall predicted genesPercentage of overall predicted genes (%)Total26,852—eggNOG16,11960.02KEGG9,34734.81GO6,33623.6NR26,58298.99SwissProt17,99167Pfam5,16219.22Annotated26,61199.1Unannotated2410.9</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Data Records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raw sequencing data and genome assembly of </w:t>
      </w:r>
      <w:r>
        <w:rPr>
          <w:rFonts w:ascii="arial" w:eastAsia="arial" w:hAnsi="arial" w:cs="arial"/>
          <w:b w:val="0"/>
          <w:i/>
          <w:strike w:val="0"/>
          <w:noProof w:val="0"/>
          <w:color w:val="000000"/>
          <w:position w:val="0"/>
          <w:sz w:val="20"/>
          <w:u w:val="none"/>
          <w:vertAlign w:val="baseline"/>
        </w:rPr>
        <w:t>Acropora intermedia</w:t>
      </w:r>
      <w:r>
        <w:rPr>
          <w:rFonts w:ascii="arial" w:eastAsia="arial" w:hAnsi="arial" w:cs="arial"/>
          <w:b w:val="0"/>
          <w:i w:val="0"/>
          <w:strike w:val="0"/>
          <w:noProof w:val="0"/>
          <w:color w:val="000000"/>
          <w:position w:val="0"/>
          <w:sz w:val="20"/>
          <w:u w:val="none"/>
          <w:vertAlign w:val="baseline"/>
        </w:rPr>
        <w:t xml:space="preserve"> are available at: </w:t>
      </w:r>
      <w:hyperlink r:id="rId12" w:history="1">
        <w:r>
          <w:rPr>
            <w:rFonts w:ascii="arial" w:eastAsia="arial" w:hAnsi="arial" w:cs="arial"/>
            <w:b w:val="0"/>
            <w:i/>
            <w:strike w:val="0"/>
            <w:noProof w:val="0"/>
            <w:color w:val="0077CC"/>
            <w:position w:val="0"/>
            <w:sz w:val="20"/>
            <w:u w:val="single"/>
            <w:vertAlign w:val="baseline"/>
          </w:rPr>
          <w:t>https://identifiers.org/ncbi/insdc.sra:SRP566323</w:t>
        </w:r>
      </w:hyperlink>
      <w:r>
        <w:rPr>
          <w:rFonts w:ascii="arial" w:eastAsia="arial" w:hAnsi="arial" w:cs="arial"/>
          <w:b w:val="0"/>
          <w:i w:val="0"/>
          <w:strike w:val="0"/>
          <w:noProof w:val="0"/>
          <w:color w:val="000000"/>
          <w:position w:val="0"/>
          <w:sz w:val="20"/>
          <w:u w:val="none"/>
          <w:vertAlign w:val="baseline"/>
        </w:rPr>
        <w:t xml:space="preserve"> (PacBio Hifi data)59, and </w:t>
      </w:r>
      <w:hyperlink r:id="rId13" w:history="1">
        <w:r>
          <w:rPr>
            <w:rFonts w:ascii="arial" w:eastAsia="arial" w:hAnsi="arial" w:cs="arial"/>
            <w:b w:val="0"/>
            <w:i/>
            <w:strike w:val="0"/>
            <w:noProof w:val="0"/>
            <w:color w:val="0077CC"/>
            <w:position w:val="0"/>
            <w:sz w:val="20"/>
            <w:u w:val="single"/>
            <w:vertAlign w:val="baseline"/>
          </w:rPr>
          <w:t>https://identifiers.org/ncbi/insdc.gca:GCA_048544155.1</w:t>
        </w:r>
      </w:hyperlink>
      <w:r>
        <w:rPr>
          <w:rFonts w:ascii="arial" w:eastAsia="arial" w:hAnsi="arial" w:cs="arial"/>
          <w:b w:val="0"/>
          <w:i w:val="0"/>
          <w:strike w:val="0"/>
          <w:noProof w:val="0"/>
          <w:color w:val="000000"/>
          <w:position w:val="0"/>
          <w:sz w:val="20"/>
          <w:u w:val="none"/>
          <w:vertAlign w:val="baseline"/>
        </w:rPr>
        <w:t xml:space="preserve"> (genome assembly)60. Additionally, the predicted protein (.gff) and CDS files are available in the figshare database61.</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Technical Validation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Through third-generation PacBio sequencing, 14.2 Gb of raw reads were generated. Before genome assembly, k-mer analysis predicted the genome size to be 433.11 Mb with a heterozygosity rate of 1.95% (Fig. 2). The final assembly consists of 633 contigs, totaling 496.8 Mb, with a Contig N50 of 2.9 Mb, L50 of 46, and a maximum contig length of 11.8 Mb (Fig. 3). Upon completion of the genome assembly, we assessed its contiguity, accuracy, and completeness using multiple approaches. The BUSCO completeness of the genome was 92.6% (C: 92.6%, S: 91.2%, D: 1.4%, F: 3.4%, M: 4.0%, n: 954), including both complete and fragmented genes (Fig. 3). Quality assessment and contamination detection of the </w:t>
      </w:r>
      <w:r>
        <w:rPr>
          <w:rFonts w:ascii="arial" w:eastAsia="arial" w:hAnsi="arial" w:cs="arial"/>
          <w:b w:val="0"/>
          <w:i/>
          <w:strike w:val="0"/>
          <w:noProof w:val="0"/>
          <w:color w:val="000000"/>
          <w:position w:val="0"/>
          <w:sz w:val="20"/>
          <w:u w:val="none"/>
          <w:vertAlign w:val="baseline"/>
        </w:rPr>
        <w:t>A. intermedia</w:t>
      </w:r>
      <w:r>
        <w:rPr>
          <w:rFonts w:ascii="arial" w:eastAsia="arial" w:hAnsi="arial" w:cs="arial"/>
          <w:b w:val="0"/>
          <w:i w:val="0"/>
          <w:strike w:val="0"/>
          <w:noProof w:val="0"/>
          <w:color w:val="000000"/>
          <w:position w:val="0"/>
          <w:sz w:val="20"/>
          <w:u w:val="none"/>
          <w:vertAlign w:val="baseline"/>
        </w:rPr>
        <w:t xml:space="preserve"> genome show that 99.76% of contigs have been aligned to the NCBI nt database and belong to the phylum Cnidaria. 95.85% of PacBio HiFi reads were mapped to the genome (Fig. 4). The unmapped rate of 4.15% refers to the proportion of PacBio HiFi reads that did not align with the genome. These reads might have been discarded as contamination during assembly or belong to organellar (e.g. Mitochondria). A comparative analysis with the previous genome version, based on statistical metrics (Table 1), demonstrated significant improvements. Notable enhancements include a substantial increase in Contig N50 from 40.3 Kb to 2.9 Mb, a reduction in the total number of contigs from 20,998 to 633, and the elimination of N’s from 5,276.11 per 100 Kbp to 0. These findings indicate a marked improvement in the contiguity of the genome assembly, with the Contig N50 being over 73 times larger than the previous version. BUSCO analysis of the 633 contigs revealed that 954 (92.6%) of the metazoan single-copy orthologs were fully represented, with 91.2% of these in the single-copy orthologs and 1.4% duplicated. A small fraction, 3.4%, of orthologs were fragmented, and 7.4% were missing. Through structural annotation, 792,517 repeat elements were identified genome-wide. Among the classified repeats, long terminal repeat (LTR) retrotransposons represent the most abundant category (Table 2). Additionally, 17,829 RNA-associated elements and 26,852 protein-coding genes were annotated in the </w:t>
      </w:r>
      <w:r>
        <w:rPr>
          <w:rFonts w:ascii="arial" w:eastAsia="arial" w:hAnsi="arial" w:cs="arial"/>
          <w:b w:val="0"/>
          <w:i/>
          <w:strike w:val="0"/>
          <w:noProof w:val="0"/>
          <w:color w:val="000000"/>
          <w:position w:val="0"/>
          <w:sz w:val="20"/>
          <w:u w:val="none"/>
          <w:vertAlign w:val="baseline"/>
        </w:rPr>
        <w:t>A. intermedia</w:t>
      </w:r>
      <w:r>
        <w:rPr>
          <w:rFonts w:ascii="arial" w:eastAsia="arial" w:hAnsi="arial" w:cs="arial"/>
          <w:b w:val="0"/>
          <w:i w:val="0"/>
          <w:strike w:val="0"/>
          <w:noProof w:val="0"/>
          <w:color w:val="000000"/>
          <w:position w:val="0"/>
          <w:sz w:val="20"/>
          <w:u w:val="none"/>
          <w:vertAlign w:val="baseline"/>
        </w:rPr>
        <w:t xml:space="preserve"> genome (Tables 3 and 4). Furthermore, evaluation of the gene models through BUSCO indicated a gene model completeness of 95.7%, with only 43 genes (4.3% of the total) missing in the final annotated genome (Table 1). These results collectively highlight the high quality, continuity, and completeness of the genome assembly. The update genome of </w:t>
      </w:r>
      <w:r>
        <w:rPr>
          <w:rFonts w:ascii="arial" w:eastAsia="arial" w:hAnsi="arial" w:cs="arial"/>
          <w:b w:val="0"/>
          <w:i/>
          <w:strike w:val="0"/>
          <w:noProof w:val="0"/>
          <w:color w:val="000000"/>
          <w:position w:val="0"/>
          <w:sz w:val="20"/>
          <w:u w:val="none"/>
          <w:vertAlign w:val="baseline"/>
        </w:rPr>
        <w:t>A. intermedia</w:t>
      </w:r>
      <w:r>
        <w:rPr>
          <w:rFonts w:ascii="arial" w:eastAsia="arial" w:hAnsi="arial" w:cs="arial"/>
          <w:b w:val="0"/>
          <w:i w:val="0"/>
          <w:strike w:val="0"/>
          <w:noProof w:val="0"/>
          <w:color w:val="000000"/>
          <w:position w:val="0"/>
          <w:sz w:val="20"/>
          <w:u w:val="none"/>
          <w:vertAlign w:val="baseline"/>
        </w:rPr>
        <w:t xml:space="preserve"> provides an essential resource for deciphering its adaptive thermotolerance and hybrid compatibility, with implications for reef restoration strategies and reconstruction of scleractinian evolutionary history.</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Acknowledgements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gratefully acknowledge Mr. Yaxing Liu (Sanya Coral Reef Ecology Institute, Hainan Province, China) for her contribution made in species identification. We also extend our thanks to Mr. Yi-Tao Lin (Hong Kong Baptist University) for his insightful revisions of the manuscript. Additionally, we wish to acknowledge the support provided by the High-Performance Biological Supercomputing Center at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University of China for this research. This research was funded by Guangdong Provincial Key Areas R&amp;D Program Project (2025B1111180001), Hainan Province Science and Technology Special Fund (SOLZSKY2025013), National Natural Science Foundation of China (32222085), Outstanding Talent Team Project of Hainan Province (HNYT20240001), Innovational Fund for Scientific and Technological Personnel of Hainan Province (KJRC2023A02).</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Publisher’s note</w:t>
      </w:r>
      <w:r>
        <w:rPr>
          <w:rFonts w:ascii="arial" w:eastAsia="arial" w:hAnsi="arial" w:cs="arial"/>
          <w:b w:val="0"/>
          <w:i w:val="0"/>
          <w:strike w:val="0"/>
          <w:noProof w:val="0"/>
          <w:color w:val="000000"/>
          <w:position w:val="0"/>
          <w:sz w:val="20"/>
          <w:u w:val="none"/>
          <w:vertAlign w:val="baseline"/>
        </w:rPr>
        <w:t xml:space="preserve"> Springer Nature remains neutral with regard to jurisdictional claims in published maps and institutional affiliations.</w:t>
      </w:r>
    </w:p>
    <w:p>
      <w:pPr>
        <w:keepNext/>
        <w:spacing w:before="240" w:after="0" w:line="340" w:lineRule="atLeast"/>
        <w:ind w:left="0" w:right="0" w:firstLine="0"/>
        <w:jc w:val="left"/>
      </w:pPr>
      <w:bookmarkStart w:id="2" w:name="Bibliography"/>
      <w:bookmarkEnd w:id="2"/>
      <w:r>
        <w:rPr>
          <w:rFonts w:ascii="arial" w:eastAsia="arial" w:hAnsi="arial" w:cs="arial"/>
          <w:b/>
          <w:i w:val="0"/>
          <w:strike w:val="0"/>
          <w:noProof w:val="0"/>
          <w:color w:val="000000"/>
          <w:position w:val="0"/>
          <w:sz w:val="28"/>
          <w:u w:val="none"/>
          <w:vertAlign w:val="baseline"/>
        </w:rPr>
        <w:t>Bibliography</w:t>
      </w:r>
    </w:p>
    <w:p>
      <w:pPr>
        <w:spacing w:line="60" w:lineRule="exact"/>
      </w:pPr>
      <w:r>
        <w:pict>
          <v:line id="_x0000_s1027" style="position:absolute;z-index:251660288"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[1].Shinzato, C. Yoshioka, Y. Genomic Data Reveal Diverse Biological Characteristics of Scleractinian Corals and Promote Effective Coral Reef Conservation</w:t>
      </w:r>
      <w:r>
        <w:rPr>
          <w:rFonts w:ascii="arial" w:eastAsia="arial" w:hAnsi="arial" w:cs="arial"/>
          <w:b w:val="0"/>
          <w:i/>
          <w:strike w:val="0"/>
          <w:noProof w:val="0"/>
          <w:color w:val="000000"/>
          <w:position w:val="0"/>
          <w:sz w:val="20"/>
          <w:u w:val="none"/>
          <w:vertAlign w:val="baseline"/>
        </w:rPr>
        <w:t>Genome Biol Evol</w:t>
      </w:r>
      <w:r>
        <w:rPr>
          <w:rFonts w:ascii="arial" w:eastAsia="arial" w:hAnsi="arial" w:cs="arial"/>
          <w:b w:val="0"/>
          <w:i w:val="0"/>
          <w:strike w:val="0"/>
          <w:noProof w:val="0"/>
          <w:color w:val="000000"/>
          <w:position w:val="0"/>
          <w:sz w:val="20"/>
          <w:u w:val="none"/>
          <w:vertAlign w:val="baseline"/>
        </w:rPr>
        <w:t xml:space="preserve"> (2024). Vol. 16.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[2].Lachs, L. Natural selection could determine whether Acropora corals persist under expected climate change</w:t>
      </w:r>
      <w:r>
        <w:rPr>
          <w:rFonts w:ascii="arial" w:eastAsia="arial" w:hAnsi="arial" w:cs="arial"/>
          <w:b w:val="0"/>
          <w:i/>
          <w:strike w:val="0"/>
          <w:noProof w:val="0"/>
          <w:color w:val="000000"/>
          <w:position w:val="0"/>
          <w:sz w:val="20"/>
          <w:u w:val="none"/>
          <w:vertAlign w:val="baseline"/>
        </w:rPr>
        <w:t>Science</w:t>
      </w:r>
      <w:r>
        <w:rPr>
          <w:rFonts w:ascii="arial" w:eastAsia="arial" w:hAnsi="arial" w:cs="arial"/>
          <w:b w:val="0"/>
          <w:i w:val="0"/>
          <w:strike w:val="0"/>
          <w:noProof w:val="0"/>
          <w:color w:val="000000"/>
          <w:position w:val="0"/>
          <w:sz w:val="20"/>
          <w:u w:val="none"/>
          <w:vertAlign w:val="baseline"/>
        </w:rPr>
        <w:t xml:space="preserve"> (2024). Vol. 386. Pg 1289-1294.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[3].Voolstra, CR. Peixoto, RS. Ferrier-Pagès, C. Mitigating the ecological collapse of coral reef ecosystems: Efective strategies to preserve coral reef ecosystems</w:t>
      </w:r>
      <w:r>
        <w:rPr>
          <w:rFonts w:ascii="arial" w:eastAsia="arial" w:hAnsi="arial" w:cs="arial"/>
          <w:b w:val="0"/>
          <w:i/>
          <w:strike w:val="0"/>
          <w:noProof w:val="0"/>
          <w:color w:val="000000"/>
          <w:position w:val="0"/>
          <w:sz w:val="20"/>
          <w:u w:val="none"/>
          <w:vertAlign w:val="baseline"/>
        </w:rPr>
        <w:t>EMBO. Rep.</w:t>
      </w:r>
      <w:r>
        <w:rPr>
          <w:rFonts w:ascii="arial" w:eastAsia="arial" w:hAnsi="arial" w:cs="arial"/>
          <w:b w:val="0"/>
          <w:i w:val="0"/>
          <w:strike w:val="0"/>
          <w:noProof w:val="0"/>
          <w:color w:val="000000"/>
          <w:position w:val="0"/>
          <w:sz w:val="20"/>
          <w:u w:val="none"/>
          <w:vertAlign w:val="baseline"/>
        </w:rPr>
        <w:t xml:space="preserve"> (2023). Vol. 24.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[4].Obura, D. Vulnerability to collapse of coral reef ecosystems in the Western Indian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strike w:val="0"/>
          <w:noProof w:val="0"/>
          <w:color w:val="000000"/>
          <w:position w:val="0"/>
          <w:sz w:val="20"/>
          <w:u w:val="none"/>
          <w:vertAlign w:val="baseline"/>
        </w:rPr>
        <w:t>Nat. Sustain</w:t>
      </w:r>
      <w:r>
        <w:rPr>
          <w:rFonts w:ascii="arial" w:eastAsia="arial" w:hAnsi="arial" w:cs="arial"/>
          <w:b w:val="0"/>
          <w:i w:val="0"/>
          <w:strike w:val="0"/>
          <w:noProof w:val="0"/>
          <w:color w:val="000000"/>
          <w:position w:val="0"/>
          <w:sz w:val="20"/>
          <w:u w:val="none"/>
          <w:vertAlign w:val="baseline"/>
        </w:rPr>
        <w:t xml:space="preserve"> (2022). Vol. 5. Pg 104-113.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[5].Perry, C. Implications of reef ecosystem change for the stability and maintenance of coral reef islands</w:t>
      </w:r>
      <w:r>
        <w:rPr>
          <w:rFonts w:ascii="arial" w:eastAsia="arial" w:hAnsi="arial" w:cs="arial"/>
          <w:b w:val="0"/>
          <w:i/>
          <w:strike w:val="0"/>
          <w:noProof w:val="0"/>
          <w:color w:val="000000"/>
          <w:position w:val="0"/>
          <w:sz w:val="20"/>
          <w:u w:val="none"/>
          <w:vertAlign w:val="baseline"/>
        </w:rPr>
        <w:t>Global Change Biol</w:t>
      </w:r>
      <w:r>
        <w:rPr>
          <w:rFonts w:ascii="arial" w:eastAsia="arial" w:hAnsi="arial" w:cs="arial"/>
          <w:b w:val="0"/>
          <w:i w:val="0"/>
          <w:strike w:val="0"/>
          <w:noProof w:val="0"/>
          <w:color w:val="000000"/>
          <w:position w:val="0"/>
          <w:sz w:val="20"/>
          <w:u w:val="none"/>
          <w:vertAlign w:val="baseline"/>
        </w:rPr>
        <w:t xml:space="preserve"> (2011). Vol. 17. Pg 3679-3696.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[6].Graham, NA. Dynamic fragility of oceanic coral reef ecosystems</w:t>
      </w:r>
      <w:r>
        <w:rPr>
          <w:rFonts w:ascii="arial" w:eastAsia="arial" w:hAnsi="arial" w:cs="arial"/>
          <w:b w:val="0"/>
          <w:i/>
          <w:strike w:val="0"/>
          <w:noProof w:val="0"/>
          <w:color w:val="000000"/>
          <w:position w:val="0"/>
          <w:sz w:val="20"/>
          <w:u w:val="none"/>
          <w:vertAlign w:val="baseline"/>
        </w:rPr>
        <w:t>Proc. Natl. Acad. Sci.USA</w:t>
      </w:r>
      <w:r>
        <w:rPr>
          <w:rFonts w:ascii="arial" w:eastAsia="arial" w:hAnsi="arial" w:cs="arial"/>
          <w:b w:val="0"/>
          <w:i w:val="0"/>
          <w:strike w:val="0"/>
          <w:noProof w:val="0"/>
          <w:color w:val="000000"/>
          <w:position w:val="0"/>
          <w:sz w:val="20"/>
          <w:u w:val="none"/>
          <w:vertAlign w:val="baseline"/>
        </w:rPr>
        <w:t xml:space="preserve"> (2006). Vol. 103. Pg 8425-8429.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[7].Brandl, SJ. Demographic dynamics of the smallest marine vertebrates fuel coral reef ecosystem functioning</w:t>
      </w:r>
      <w:r>
        <w:rPr>
          <w:rFonts w:ascii="arial" w:eastAsia="arial" w:hAnsi="arial" w:cs="arial"/>
          <w:b w:val="0"/>
          <w:i/>
          <w:strike w:val="0"/>
          <w:noProof w:val="0"/>
          <w:color w:val="000000"/>
          <w:position w:val="0"/>
          <w:sz w:val="20"/>
          <w:u w:val="none"/>
          <w:vertAlign w:val="baseline"/>
        </w:rPr>
        <w:t>Science</w:t>
      </w:r>
      <w:r>
        <w:rPr>
          <w:rFonts w:ascii="arial" w:eastAsia="arial" w:hAnsi="arial" w:cs="arial"/>
          <w:b w:val="0"/>
          <w:i w:val="0"/>
          <w:strike w:val="0"/>
          <w:noProof w:val="0"/>
          <w:color w:val="000000"/>
          <w:position w:val="0"/>
          <w:sz w:val="20"/>
          <w:u w:val="none"/>
          <w:vertAlign w:val="baseline"/>
        </w:rPr>
        <w:t xml:space="preserve"> (2019). Vol. 364. Pg 1189-1192.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[8].Komyakova, V. Jones, GP. Munday, PL. Strong effects of coral species on the diversity and structure of reef fish communities: A multi-scale analysis</w:t>
      </w:r>
      <w:r>
        <w:rPr>
          <w:rFonts w:ascii="arial" w:eastAsia="arial" w:hAnsi="arial" w:cs="arial"/>
          <w:b w:val="0"/>
          <w:i/>
          <w:strike w:val="0"/>
          <w:noProof w:val="0"/>
          <w:color w:val="000000"/>
          <w:position w:val="0"/>
          <w:sz w:val="20"/>
          <w:u w:val="none"/>
          <w:vertAlign w:val="baseline"/>
        </w:rPr>
        <w:t>PloS one</w:t>
      </w:r>
      <w:r>
        <w:rPr>
          <w:rFonts w:ascii="arial" w:eastAsia="arial" w:hAnsi="arial" w:cs="arial"/>
          <w:b w:val="0"/>
          <w:i w:val="0"/>
          <w:strike w:val="0"/>
          <w:noProof w:val="0"/>
          <w:color w:val="000000"/>
          <w:position w:val="0"/>
          <w:sz w:val="20"/>
          <w:u w:val="none"/>
          <w:vertAlign w:val="baseline"/>
        </w:rPr>
        <w:t xml:space="preserve"> (2018). Vol. 13.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[9].Huntington, BE. Miller, MW. Pausch, R. Richter, L. Facilitation in Caribbean coral reefs: high densities of staghorn coral foster greater coral condition and reef fish composition</w:t>
      </w:r>
      <w:r>
        <w:rPr>
          <w:rFonts w:ascii="arial" w:eastAsia="arial" w:hAnsi="arial" w:cs="arial"/>
          <w:b w:val="0"/>
          <w:i/>
          <w:strike w:val="0"/>
          <w:noProof w:val="0"/>
          <w:color w:val="000000"/>
          <w:position w:val="0"/>
          <w:sz w:val="20"/>
          <w:u w:val="none"/>
          <w:vertAlign w:val="baseline"/>
        </w:rPr>
        <w:t>Oecologia</w:t>
      </w:r>
      <w:r>
        <w:rPr>
          <w:rFonts w:ascii="arial" w:eastAsia="arial" w:hAnsi="arial" w:cs="arial"/>
          <w:b w:val="0"/>
          <w:i w:val="0"/>
          <w:strike w:val="0"/>
          <w:noProof w:val="0"/>
          <w:color w:val="000000"/>
          <w:position w:val="0"/>
          <w:sz w:val="20"/>
          <w:u w:val="none"/>
          <w:vertAlign w:val="baseline"/>
        </w:rPr>
        <w:t xml:space="preserve"> (2017). Vol. 184. Pg 247-257.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[10].Ball, E.E., Hayward, D.C., Bridge, T.C. &amp; Miller, D.J. Acropora—The Most-Studied Coral Genus. Handbook of Marine Model Organisms in Experimental Biology 173–193, </w:t>
      </w:r>
      <w:hyperlink r:id="rId14" w:history="1">
        <w:r>
          <w:rPr>
            <w:rFonts w:ascii="arial" w:eastAsia="arial" w:hAnsi="arial" w:cs="arial"/>
            <w:b w:val="0"/>
            <w:i/>
            <w:strike w:val="0"/>
            <w:noProof w:val="0"/>
            <w:color w:val="0077CC"/>
            <w:position w:val="0"/>
            <w:sz w:val="20"/>
            <w:u w:val="single"/>
            <w:vertAlign w:val="baseline"/>
          </w:rPr>
          <w:t>https://doi.org/10.1201/9781003217503-10</w:t>
        </w:r>
      </w:hyperlink>
      <w:r>
        <w:rPr>
          <w:rFonts w:ascii="arial" w:eastAsia="arial" w:hAnsi="arial" w:cs="arial"/>
          <w:b w:val="0"/>
          <w:i w:val="0"/>
          <w:strike w:val="0"/>
          <w:noProof w:val="0"/>
          <w:color w:val="000000"/>
          <w:position w:val="0"/>
          <w:sz w:val="20"/>
          <w:u w:val="none"/>
          <w:vertAlign w:val="baseline"/>
        </w:rPr>
        <w:t xml:space="preserve"> (2021).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[11].Cairns, SD. Species richness of recent Scleractinia</w:t>
      </w:r>
      <w:r>
        <w:rPr>
          <w:rFonts w:ascii="arial" w:eastAsia="arial" w:hAnsi="arial" w:cs="arial"/>
          <w:b w:val="0"/>
          <w:i/>
          <w:strike w:val="0"/>
          <w:noProof w:val="0"/>
          <w:color w:val="000000"/>
          <w:position w:val="0"/>
          <w:sz w:val="20"/>
          <w:u w:val="none"/>
          <w:vertAlign w:val="baseline"/>
        </w:rPr>
        <w:t>Atoll res. bull</w:t>
      </w:r>
      <w:r>
        <w:rPr>
          <w:rFonts w:ascii="arial" w:eastAsia="arial" w:hAnsi="arial" w:cs="arial"/>
          <w:b w:val="0"/>
          <w:i w:val="0"/>
          <w:strike w:val="0"/>
          <w:noProof w:val="0"/>
          <w:color w:val="000000"/>
          <w:position w:val="0"/>
          <w:sz w:val="20"/>
          <w:u w:val="none"/>
          <w:vertAlign w:val="baseline"/>
        </w:rPr>
        <w:t xml:space="preserve"> (1999). Vol. 459. Pg 1-46.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[12].Richards, ZT. Syms, C. Wallace, C. Muir, P. Willis, B. Multiple types of rarity in the coral genus Acropora</w:t>
      </w:r>
      <w:r>
        <w:rPr>
          <w:rFonts w:ascii="arial" w:eastAsia="arial" w:hAnsi="arial" w:cs="arial"/>
          <w:b w:val="0"/>
          <w:i/>
          <w:strike w:val="0"/>
          <w:noProof w:val="0"/>
          <w:color w:val="000000"/>
          <w:position w:val="0"/>
          <w:sz w:val="20"/>
          <w:u w:val="none"/>
          <w:vertAlign w:val="baseline"/>
        </w:rPr>
        <w:t>Div. Dist.</w:t>
      </w:r>
      <w:r>
        <w:rPr>
          <w:rFonts w:ascii="arial" w:eastAsia="arial" w:hAnsi="arial" w:cs="arial"/>
          <w:b w:val="0"/>
          <w:i w:val="0"/>
          <w:strike w:val="0"/>
          <w:noProof w:val="0"/>
          <w:color w:val="000000"/>
          <w:position w:val="0"/>
          <w:sz w:val="20"/>
          <w:u w:val="none"/>
          <w:vertAlign w:val="baseline"/>
        </w:rPr>
        <w:t xml:space="preserve"> (2013). Vol. 1.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[13].Adam, AA. Diminishing potential for tropical reefs to function as coral diversity strongholds under climate change conditions</w:t>
      </w:r>
      <w:r>
        <w:rPr>
          <w:rFonts w:ascii="arial" w:eastAsia="arial" w:hAnsi="arial" w:cs="arial"/>
          <w:b w:val="0"/>
          <w:i/>
          <w:strike w:val="0"/>
          <w:noProof w:val="0"/>
          <w:color w:val="000000"/>
          <w:position w:val="0"/>
          <w:sz w:val="20"/>
          <w:u w:val="none"/>
          <w:vertAlign w:val="baseline"/>
        </w:rPr>
        <w:t>Div. Dist.</w:t>
      </w:r>
      <w:r>
        <w:rPr>
          <w:rFonts w:ascii="arial" w:eastAsia="arial" w:hAnsi="arial" w:cs="arial"/>
          <w:b w:val="0"/>
          <w:i w:val="0"/>
          <w:strike w:val="0"/>
          <w:noProof w:val="0"/>
          <w:color w:val="000000"/>
          <w:position w:val="0"/>
          <w:sz w:val="20"/>
          <w:u w:val="none"/>
          <w:vertAlign w:val="baseline"/>
        </w:rPr>
        <w:t xml:space="preserve"> (2021). Vol. 27. Pg 2245-2261.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[14].Meenatchi, R. Revealing the impact of global mass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on coral microbiome through 16S rRNA gene-based metagenomic analysis</w:t>
      </w:r>
      <w:r>
        <w:rPr>
          <w:rFonts w:ascii="arial" w:eastAsia="arial" w:hAnsi="arial" w:cs="arial"/>
          <w:b w:val="0"/>
          <w:i/>
          <w:strike w:val="0"/>
          <w:noProof w:val="0"/>
          <w:color w:val="000000"/>
          <w:position w:val="0"/>
          <w:sz w:val="20"/>
          <w:u w:val="none"/>
          <w:vertAlign w:val="baseline"/>
        </w:rPr>
        <w:t>Microbiol. Res.</w:t>
      </w:r>
      <w:r>
        <w:rPr>
          <w:rFonts w:ascii="arial" w:eastAsia="arial" w:hAnsi="arial" w:cs="arial"/>
          <w:b w:val="0"/>
          <w:i w:val="0"/>
          <w:strike w:val="0"/>
          <w:noProof w:val="0"/>
          <w:color w:val="000000"/>
          <w:position w:val="0"/>
          <w:sz w:val="20"/>
          <w:u w:val="none"/>
          <w:vertAlign w:val="baseline"/>
        </w:rPr>
        <w:t xml:space="preserve"> (2020). Vol. 233.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[15].Fuller, ZL. Population genetics of the coral Acropora millepora: Toward genomic prediction of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strike w:val="0"/>
          <w:noProof w:val="0"/>
          <w:color w:val="000000"/>
          <w:position w:val="0"/>
          <w:sz w:val="20"/>
          <w:u w:val="none"/>
          <w:vertAlign w:val="baseline"/>
        </w:rPr>
        <w:t>Science</w:t>
      </w:r>
      <w:r>
        <w:rPr>
          <w:rFonts w:ascii="arial" w:eastAsia="arial" w:hAnsi="arial" w:cs="arial"/>
          <w:b w:val="0"/>
          <w:i w:val="0"/>
          <w:strike w:val="0"/>
          <w:noProof w:val="0"/>
          <w:color w:val="000000"/>
          <w:position w:val="0"/>
          <w:sz w:val="20"/>
          <w:u w:val="none"/>
          <w:vertAlign w:val="baseline"/>
        </w:rPr>
        <w:t xml:space="preserve"> (2020). Vol. 369.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[16].Shinzato, C. Using the Acropora digitifera genome to understand coral responses to environmental change</w:t>
      </w:r>
      <w:r>
        <w:rPr>
          <w:rFonts w:ascii="arial" w:eastAsia="arial" w:hAnsi="arial" w:cs="arial"/>
          <w:b w:val="0"/>
          <w:i/>
          <w:strike w:val="0"/>
          <w:noProof w:val="0"/>
          <w:color w:val="000000"/>
          <w:position w:val="0"/>
          <w:sz w:val="20"/>
          <w:u w:val="none"/>
          <w:vertAlign w:val="baseline"/>
        </w:rPr>
        <w:t>Nature</w:t>
      </w:r>
      <w:r>
        <w:rPr>
          <w:rFonts w:ascii="arial" w:eastAsia="arial" w:hAnsi="arial" w:cs="arial"/>
          <w:b w:val="0"/>
          <w:i w:val="0"/>
          <w:strike w:val="0"/>
          <w:noProof w:val="0"/>
          <w:color w:val="000000"/>
          <w:position w:val="0"/>
          <w:sz w:val="20"/>
          <w:u w:val="none"/>
          <w:vertAlign w:val="baseline"/>
        </w:rPr>
        <w:t xml:space="preserve"> (2011). Vol. 476. Pg 320-323.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[17].Shumaker, A. Genome analysis of the rice coral Montipora capitata</w:t>
      </w:r>
      <w:r>
        <w:rPr>
          <w:rFonts w:ascii="arial" w:eastAsia="arial" w:hAnsi="arial" w:cs="arial"/>
          <w:b w:val="0"/>
          <w:i/>
          <w:strike w:val="0"/>
          <w:noProof w:val="0"/>
          <w:color w:val="000000"/>
          <w:position w:val="0"/>
          <w:sz w:val="20"/>
          <w:u w:val="none"/>
          <w:vertAlign w:val="baseline"/>
        </w:rPr>
        <w:t>Sci. Rep.</w:t>
      </w:r>
      <w:r>
        <w:rPr>
          <w:rFonts w:ascii="arial" w:eastAsia="arial" w:hAnsi="arial" w:cs="arial"/>
          <w:b w:val="0"/>
          <w:i w:val="0"/>
          <w:strike w:val="0"/>
          <w:noProof w:val="0"/>
          <w:color w:val="000000"/>
          <w:position w:val="0"/>
          <w:sz w:val="20"/>
          <w:u w:val="none"/>
          <w:vertAlign w:val="baseline"/>
        </w:rPr>
        <w:t xml:space="preserve"> (2019). Vol. 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[18].Helmkampf, M. Bellinger, MR. Geib, SM. Sim, SB. Takabayashi, M. Draft genome of the rice coral Montipora capitata obtained from linked-read sequencing</w:t>
      </w:r>
      <w:r>
        <w:rPr>
          <w:rFonts w:ascii="arial" w:eastAsia="arial" w:hAnsi="arial" w:cs="arial"/>
          <w:b w:val="0"/>
          <w:i/>
          <w:strike w:val="0"/>
          <w:noProof w:val="0"/>
          <w:color w:val="000000"/>
          <w:position w:val="0"/>
          <w:sz w:val="20"/>
          <w:u w:val="none"/>
          <w:vertAlign w:val="baseline"/>
        </w:rPr>
        <w:t>Genome Biol Evol</w:t>
      </w:r>
      <w:r>
        <w:rPr>
          <w:rFonts w:ascii="arial" w:eastAsia="arial" w:hAnsi="arial" w:cs="arial"/>
          <w:b w:val="0"/>
          <w:i w:val="0"/>
          <w:strike w:val="0"/>
          <w:noProof w:val="0"/>
          <w:color w:val="000000"/>
          <w:position w:val="0"/>
          <w:sz w:val="20"/>
          <w:u w:val="none"/>
          <w:vertAlign w:val="baseline"/>
        </w:rPr>
        <w:t xml:space="preserve"> (2019). Vol. 11. Pg 2045-2054.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[19].Shinzato, C. Eighteen coral genomes reveal the evolutionary origin of Acropora strategies to accommodate environmental changes</w:t>
      </w:r>
      <w:r>
        <w:rPr>
          <w:rFonts w:ascii="arial" w:eastAsia="arial" w:hAnsi="arial" w:cs="arial"/>
          <w:b w:val="0"/>
          <w:i/>
          <w:strike w:val="0"/>
          <w:noProof w:val="0"/>
          <w:color w:val="000000"/>
          <w:position w:val="0"/>
          <w:sz w:val="20"/>
          <w:u w:val="none"/>
          <w:vertAlign w:val="baseline"/>
        </w:rPr>
        <w:t>Mol Biol Evol</w:t>
      </w:r>
      <w:r>
        <w:rPr>
          <w:rFonts w:ascii="arial" w:eastAsia="arial" w:hAnsi="arial" w:cs="arial"/>
          <w:b w:val="0"/>
          <w:i w:val="0"/>
          <w:strike w:val="0"/>
          <w:noProof w:val="0"/>
          <w:color w:val="000000"/>
          <w:position w:val="0"/>
          <w:sz w:val="20"/>
          <w:u w:val="none"/>
          <w:vertAlign w:val="baseline"/>
        </w:rPr>
        <w:t xml:space="preserve"> (2021). Vol. 38. Pg 16-30.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[20].Ying, H. Comparative genomics reveals the distinct evolutionary trajectories of the robust and complex coral lineages</w:t>
      </w:r>
      <w:r>
        <w:rPr>
          <w:rFonts w:ascii="arial" w:eastAsia="arial" w:hAnsi="arial" w:cs="arial"/>
          <w:b w:val="0"/>
          <w:i/>
          <w:strike w:val="0"/>
          <w:noProof w:val="0"/>
          <w:color w:val="000000"/>
          <w:position w:val="0"/>
          <w:sz w:val="20"/>
          <w:u w:val="none"/>
          <w:vertAlign w:val="baseline"/>
        </w:rPr>
        <w:t>Genome Biol.</w:t>
      </w:r>
      <w:r>
        <w:rPr>
          <w:rFonts w:ascii="arial" w:eastAsia="arial" w:hAnsi="arial" w:cs="arial"/>
          <w:b w:val="0"/>
          <w:i w:val="0"/>
          <w:strike w:val="0"/>
          <w:noProof w:val="0"/>
          <w:color w:val="000000"/>
          <w:position w:val="0"/>
          <w:sz w:val="20"/>
          <w:u w:val="none"/>
          <w:vertAlign w:val="baseline"/>
        </w:rPr>
        <w:t xml:space="preserve"> (2018). Vol. 19.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[21].Furukawa, M. et al Introgression and adaptive potential following heavy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events in Acropora corals. Current biology. Advance online publication. </w:t>
      </w:r>
      <w:hyperlink r:id="rId15" w:history="1">
        <w:r>
          <w:rPr>
            <w:rFonts w:ascii="arial" w:eastAsia="arial" w:hAnsi="arial" w:cs="arial"/>
            <w:b w:val="0"/>
            <w:i/>
            <w:strike w:val="0"/>
            <w:noProof w:val="0"/>
            <w:color w:val="0077CC"/>
            <w:position w:val="0"/>
            <w:sz w:val="20"/>
            <w:u w:val="single"/>
            <w:vertAlign w:val="baseline"/>
          </w:rPr>
          <w:t>https://doi.org/10.1016/j.cub.2025.05.038</w:t>
        </w:r>
      </w:hyperlink>
      <w:r>
        <w:rPr>
          <w:rFonts w:ascii="arial" w:eastAsia="arial" w:hAnsi="arial" w:cs="arial"/>
          <w:b w:val="0"/>
          <w:i w:val="0"/>
          <w:strike w:val="0"/>
          <w:noProof w:val="0"/>
          <w:color w:val="000000"/>
          <w:position w:val="0"/>
          <w:sz w:val="20"/>
          <w:u w:val="none"/>
          <w:vertAlign w:val="baseline"/>
        </w:rPr>
        <w:t xml:space="preserve"> (2025).</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[22].Wu, T., Xu, A. N., Lei, Y. &amp; Song, H. Ancient hybridisation fuelled diversification in Acropora Corals. Mol. Ecol. e17615, </w:t>
      </w:r>
      <w:hyperlink r:id="rId16" w:history="1">
        <w:r>
          <w:rPr>
            <w:rFonts w:ascii="arial" w:eastAsia="arial" w:hAnsi="arial" w:cs="arial"/>
            <w:b w:val="0"/>
            <w:i/>
            <w:strike w:val="0"/>
            <w:noProof w:val="0"/>
            <w:color w:val="0077CC"/>
            <w:position w:val="0"/>
            <w:sz w:val="20"/>
            <w:u w:val="single"/>
            <w:vertAlign w:val="baseline"/>
          </w:rPr>
          <w:t>https://doi.org/10.1111/mec.17615</w:t>
        </w:r>
      </w:hyperlink>
      <w:r>
        <w:rPr>
          <w:rFonts w:ascii="arial" w:eastAsia="arial" w:hAnsi="arial" w:cs="arial"/>
          <w:b w:val="0"/>
          <w:i w:val="0"/>
          <w:strike w:val="0"/>
          <w:noProof w:val="0"/>
          <w:color w:val="000000"/>
          <w:position w:val="0"/>
          <w:sz w:val="20"/>
          <w:u w:val="none"/>
          <w:vertAlign w:val="baseline"/>
        </w:rPr>
        <w:t xml:space="preserve"> (2024).</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[23].Takeuchi, T. et al. Nearly T2T, phased genome assemblies of corals reveal haplotype diversity and the evolutionary process of gene expansion. DNA research. dsaf017, Advance online publication, </w:t>
      </w:r>
      <w:hyperlink r:id="rId17" w:history="1">
        <w:r>
          <w:rPr>
            <w:rFonts w:ascii="arial" w:eastAsia="arial" w:hAnsi="arial" w:cs="arial"/>
            <w:b w:val="0"/>
            <w:i/>
            <w:strike w:val="0"/>
            <w:noProof w:val="0"/>
            <w:color w:val="0077CC"/>
            <w:position w:val="0"/>
            <w:sz w:val="20"/>
            <w:u w:val="single"/>
            <w:vertAlign w:val="baseline"/>
          </w:rPr>
          <w:t>https://doi.org/10.1093/dnares/dsaf017</w:t>
        </w:r>
      </w:hyperlink>
      <w:r>
        <w:rPr>
          <w:rFonts w:ascii="arial" w:eastAsia="arial" w:hAnsi="arial" w:cs="arial"/>
          <w:b w:val="0"/>
          <w:i w:val="0"/>
          <w:strike w:val="0"/>
          <w:noProof w:val="0"/>
          <w:color w:val="000000"/>
          <w:position w:val="0"/>
          <w:sz w:val="20"/>
          <w:u w:val="none"/>
          <w:vertAlign w:val="baseline"/>
        </w:rPr>
        <w:t xml:space="preserve"> (2025).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[24].Sun, Y. Impact of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Warming and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on Symbiosis Establishment and Gene Expression Profiles in Recruits of Reef Coral Acropora intermedia</w:t>
      </w:r>
      <w:r>
        <w:rPr>
          <w:rFonts w:ascii="arial" w:eastAsia="arial" w:hAnsi="arial" w:cs="arial"/>
          <w:b w:val="0"/>
          <w:i/>
          <w:strike w:val="0"/>
          <w:noProof w:val="0"/>
          <w:color w:val="000000"/>
          <w:position w:val="0"/>
          <w:sz w:val="20"/>
          <w:u w:val="none"/>
          <w:vertAlign w:val="baseline"/>
        </w:rPr>
        <w:t>Front. Microbiol.</w:t>
      </w:r>
      <w:r>
        <w:rPr>
          <w:rFonts w:ascii="arial" w:eastAsia="arial" w:hAnsi="arial" w:cs="arial"/>
          <w:b w:val="0"/>
          <w:i w:val="0"/>
          <w:strike w:val="0"/>
          <w:noProof w:val="0"/>
          <w:color w:val="000000"/>
          <w:position w:val="0"/>
          <w:sz w:val="20"/>
          <w:u w:val="none"/>
          <w:vertAlign w:val="baseline"/>
        </w:rPr>
        <w:t xml:space="preserve"> (2020). Vol. 11.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[25].Zhao, Y. Chen, M. Chung, TH. Chan, LL. Qiu, J-W. The 2022 summer marine heatwaves and coral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in China’s Greater Bay Area</w:t>
      </w:r>
      <w:r>
        <w:rPr>
          <w:rFonts w:ascii="arial" w:eastAsia="arial" w:hAnsi="arial" w:cs="arial"/>
          <w:b w:val="0"/>
          <w:i/>
          <w:strike w:val="0"/>
          <w:noProof w:val="0"/>
          <w:color w:val="000000"/>
          <w:position w:val="0"/>
          <w:sz w:val="20"/>
          <w:u w:val="none"/>
          <w:vertAlign w:val="baseline"/>
        </w:rPr>
        <w:t>Mar. Environ. Res.</w:t>
      </w:r>
      <w:r>
        <w:rPr>
          <w:rFonts w:ascii="arial" w:eastAsia="arial" w:hAnsi="arial" w:cs="arial"/>
          <w:b w:val="0"/>
          <w:i w:val="0"/>
          <w:strike w:val="0"/>
          <w:noProof w:val="0"/>
          <w:color w:val="000000"/>
          <w:position w:val="0"/>
          <w:sz w:val="20"/>
          <w:u w:val="none"/>
          <w:vertAlign w:val="baseline"/>
        </w:rPr>
        <w:t xml:space="preserve"> (2023). Vol. 189.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[26].Isomura, N. Iwao, K. Fukami, H. Possible natural hybridization of two morphologically distinct species of Acropora (Cnidaria, Scleractinia) in the Pacific: fertilization and larval survival rates</w:t>
      </w:r>
      <w:r>
        <w:rPr>
          <w:rFonts w:ascii="arial" w:eastAsia="arial" w:hAnsi="arial" w:cs="arial"/>
          <w:b w:val="0"/>
          <w:i/>
          <w:strike w:val="0"/>
          <w:noProof w:val="0"/>
          <w:color w:val="000000"/>
          <w:position w:val="0"/>
          <w:sz w:val="20"/>
          <w:u w:val="none"/>
          <w:vertAlign w:val="baseline"/>
        </w:rPr>
        <w:t>PloS One</w:t>
      </w:r>
      <w:r>
        <w:rPr>
          <w:rFonts w:ascii="arial" w:eastAsia="arial" w:hAnsi="arial" w:cs="arial"/>
          <w:b w:val="0"/>
          <w:i w:val="0"/>
          <w:strike w:val="0"/>
          <w:noProof w:val="0"/>
          <w:color w:val="000000"/>
          <w:position w:val="0"/>
          <w:sz w:val="20"/>
          <w:u w:val="none"/>
          <w:vertAlign w:val="baseline"/>
        </w:rPr>
        <w:t xml:space="preserve"> (2013). Vol. 8.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[27].Sambrook, J., Fritsch, E. R. &amp; Maniatis, T. Molecular Cloning: A Laboratory Manual 2nd edn, </w:t>
      </w:r>
      <w:hyperlink r:id="rId18" w:history="1">
        <w:r>
          <w:rPr>
            <w:rFonts w:ascii="arial" w:eastAsia="arial" w:hAnsi="arial" w:cs="arial"/>
            <w:b w:val="0"/>
            <w:i/>
            <w:strike w:val="0"/>
            <w:noProof w:val="0"/>
            <w:color w:val="0077CC"/>
            <w:position w:val="0"/>
            <w:sz w:val="20"/>
            <w:u w:val="single"/>
            <w:vertAlign w:val="baseline"/>
          </w:rPr>
          <w:t>https://doi.org/10.1016/0307-4412(83)90068-7</w:t>
        </w:r>
      </w:hyperlink>
      <w:r>
        <w:rPr>
          <w:rFonts w:ascii="arial" w:eastAsia="arial" w:hAnsi="arial" w:cs="arial"/>
          <w:b w:val="0"/>
          <w:i w:val="0"/>
          <w:strike w:val="0"/>
          <w:noProof w:val="0"/>
          <w:color w:val="000000"/>
          <w:position w:val="0"/>
          <w:sz w:val="20"/>
          <w:u w:val="none"/>
          <w:vertAlign w:val="baseline"/>
        </w:rPr>
        <w:t xml:space="preserve"> (Cold Spring Harbor Laboratory Press, 1989).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[28].Chen, S. Ultrafast one-pass FASTQ data preprocessing, quality control, and deduplication using fastp</w:t>
      </w:r>
      <w:r>
        <w:rPr>
          <w:rFonts w:ascii="arial" w:eastAsia="arial" w:hAnsi="arial" w:cs="arial"/>
          <w:b w:val="0"/>
          <w:i/>
          <w:strike w:val="0"/>
          <w:noProof w:val="0"/>
          <w:color w:val="000000"/>
          <w:position w:val="0"/>
          <w:sz w:val="20"/>
          <w:u w:val="none"/>
          <w:vertAlign w:val="baseline"/>
        </w:rPr>
        <w:t>iMeta</w:t>
      </w:r>
      <w:r>
        <w:rPr>
          <w:rFonts w:ascii="arial" w:eastAsia="arial" w:hAnsi="arial" w:cs="arial"/>
          <w:b w:val="0"/>
          <w:i w:val="0"/>
          <w:strike w:val="0"/>
          <w:noProof w:val="0"/>
          <w:color w:val="000000"/>
          <w:position w:val="0"/>
          <w:sz w:val="20"/>
          <w:u w:val="none"/>
          <w:vertAlign w:val="baseline"/>
        </w:rPr>
        <w:t xml:space="preserve"> (2023). Vol. 2.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[29].Marçais, G. Kingsford, C. A fast, lock-free approach for efficient parallel counting of occurrences of k-mers</w:t>
      </w:r>
      <w:r>
        <w:rPr>
          <w:rFonts w:ascii="arial" w:eastAsia="arial" w:hAnsi="arial" w:cs="arial"/>
          <w:b w:val="0"/>
          <w:i/>
          <w:strike w:val="0"/>
          <w:noProof w:val="0"/>
          <w:color w:val="000000"/>
          <w:position w:val="0"/>
          <w:sz w:val="20"/>
          <w:u w:val="none"/>
          <w:vertAlign w:val="baseline"/>
        </w:rPr>
        <w:t>Bioinformatics</w:t>
      </w:r>
      <w:r>
        <w:rPr>
          <w:rFonts w:ascii="arial" w:eastAsia="arial" w:hAnsi="arial" w:cs="arial"/>
          <w:b w:val="0"/>
          <w:i w:val="0"/>
          <w:strike w:val="0"/>
          <w:noProof w:val="0"/>
          <w:color w:val="000000"/>
          <w:position w:val="0"/>
          <w:sz w:val="20"/>
          <w:u w:val="none"/>
          <w:vertAlign w:val="baseline"/>
        </w:rPr>
        <w:t xml:space="preserve"> (2011). Vol. 27. Pg 764-770.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[30].Vurture, GW. GenomeScope: fast reference-free genome profiling from short reads</w:t>
      </w:r>
      <w:r>
        <w:rPr>
          <w:rFonts w:ascii="arial" w:eastAsia="arial" w:hAnsi="arial" w:cs="arial"/>
          <w:b w:val="0"/>
          <w:i/>
          <w:strike w:val="0"/>
          <w:noProof w:val="0"/>
          <w:color w:val="000000"/>
          <w:position w:val="0"/>
          <w:sz w:val="20"/>
          <w:u w:val="none"/>
          <w:vertAlign w:val="baseline"/>
        </w:rPr>
        <w:t>Bioinformatics</w:t>
      </w:r>
      <w:r>
        <w:rPr>
          <w:rFonts w:ascii="arial" w:eastAsia="arial" w:hAnsi="arial" w:cs="arial"/>
          <w:b w:val="0"/>
          <w:i w:val="0"/>
          <w:strike w:val="0"/>
          <w:noProof w:val="0"/>
          <w:color w:val="000000"/>
          <w:position w:val="0"/>
          <w:sz w:val="20"/>
          <w:u w:val="none"/>
          <w:vertAlign w:val="baseline"/>
        </w:rPr>
        <w:t xml:space="preserve"> (2017). Vol. 33. Pg 2202-2204.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[31].Cheng, H. Concepcion, GT. Feng, X. Zhang, H. Li, H. Haplotype-resolved de novo assembly using phased assembly graphs with hifiasm</w:t>
      </w:r>
      <w:r>
        <w:rPr>
          <w:rFonts w:ascii="arial" w:eastAsia="arial" w:hAnsi="arial" w:cs="arial"/>
          <w:b w:val="0"/>
          <w:i/>
          <w:strike w:val="0"/>
          <w:noProof w:val="0"/>
          <w:color w:val="000000"/>
          <w:position w:val="0"/>
          <w:sz w:val="20"/>
          <w:u w:val="none"/>
          <w:vertAlign w:val="baseline"/>
        </w:rPr>
        <w:t>Nat. Methods</w:t>
      </w:r>
      <w:r>
        <w:rPr>
          <w:rFonts w:ascii="arial" w:eastAsia="arial" w:hAnsi="arial" w:cs="arial"/>
          <w:b w:val="0"/>
          <w:i w:val="0"/>
          <w:strike w:val="0"/>
          <w:noProof w:val="0"/>
          <w:color w:val="000000"/>
          <w:position w:val="0"/>
          <w:sz w:val="20"/>
          <w:u w:val="none"/>
          <w:vertAlign w:val="baseline"/>
        </w:rPr>
        <w:t xml:space="preserve"> (2021). Vol. 18. Pg 170-175.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[32].Cheng, H. Haplotype-resolved assembly of diploid genomes without parental data</w:t>
      </w:r>
      <w:r>
        <w:rPr>
          <w:rFonts w:ascii="arial" w:eastAsia="arial" w:hAnsi="arial" w:cs="arial"/>
          <w:b w:val="0"/>
          <w:i/>
          <w:strike w:val="0"/>
          <w:noProof w:val="0"/>
          <w:color w:val="000000"/>
          <w:position w:val="0"/>
          <w:sz w:val="20"/>
          <w:u w:val="none"/>
          <w:vertAlign w:val="baseline"/>
        </w:rPr>
        <w:t>Nat. Biotechnol</w:t>
      </w:r>
      <w:r>
        <w:rPr>
          <w:rFonts w:ascii="arial" w:eastAsia="arial" w:hAnsi="arial" w:cs="arial"/>
          <w:b w:val="0"/>
          <w:i w:val="0"/>
          <w:strike w:val="0"/>
          <w:noProof w:val="0"/>
          <w:color w:val="000000"/>
          <w:position w:val="0"/>
          <w:sz w:val="20"/>
          <w:u w:val="none"/>
          <w:vertAlign w:val="baseline"/>
        </w:rPr>
        <w:t xml:space="preserve"> (2022). Vol. 40. Pg 1332-1335.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[33].Cheng, H. Asri, M. Lucas, J. Koren, S. Li, H. Scalable telomere-to-telomere assembly for diploid and polyploid genomes with double graph</w:t>
      </w:r>
      <w:r>
        <w:rPr>
          <w:rFonts w:ascii="arial" w:eastAsia="arial" w:hAnsi="arial" w:cs="arial"/>
          <w:b w:val="0"/>
          <w:i/>
          <w:strike w:val="0"/>
          <w:noProof w:val="0"/>
          <w:color w:val="000000"/>
          <w:position w:val="0"/>
          <w:sz w:val="20"/>
          <w:u w:val="none"/>
          <w:vertAlign w:val="baseline"/>
        </w:rPr>
        <w:t>Nat. Methods</w:t>
      </w:r>
      <w:r>
        <w:rPr>
          <w:rFonts w:ascii="arial" w:eastAsia="arial" w:hAnsi="arial" w:cs="arial"/>
          <w:b w:val="0"/>
          <w:i w:val="0"/>
          <w:strike w:val="0"/>
          <w:noProof w:val="0"/>
          <w:color w:val="000000"/>
          <w:position w:val="0"/>
          <w:sz w:val="20"/>
          <w:u w:val="none"/>
          <w:vertAlign w:val="baseline"/>
        </w:rPr>
        <w:t xml:space="preserve"> (2024). Vol. 21. Pg 967-970.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[34].Vaser, R., Sović, I., Nagarajan, N. &amp; Šikić, M. Fast and accurate de novo genome assembly from long uncorrected reads. Genome. Res.27, 737–746, </w:t>
      </w:r>
      <w:hyperlink r:id="rId19" w:history="1">
        <w:r>
          <w:rPr>
            <w:rFonts w:ascii="arial" w:eastAsia="arial" w:hAnsi="arial" w:cs="arial"/>
            <w:b w:val="0"/>
            <w:i/>
            <w:strike w:val="0"/>
            <w:noProof w:val="0"/>
            <w:color w:val="0077CC"/>
            <w:position w:val="0"/>
            <w:sz w:val="20"/>
            <w:u w:val="single"/>
            <w:vertAlign w:val="baseline"/>
          </w:rPr>
          <w:t>http://www.genome.org/cgi/doi/10.1101/gr.214270.116</w:t>
        </w:r>
      </w:hyperlink>
      <w:r>
        <w:rPr>
          <w:rFonts w:ascii="arial" w:eastAsia="arial" w:hAnsi="arial" w:cs="arial"/>
          <w:b w:val="0"/>
          <w:i w:val="0"/>
          <w:strike w:val="0"/>
          <w:noProof w:val="0"/>
          <w:color w:val="000000"/>
          <w:position w:val="0"/>
          <w:sz w:val="20"/>
          <w:u w:val="none"/>
          <w:vertAlign w:val="baseline"/>
        </w:rPr>
        <w:t xml:space="preserve"> (2017).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[35].Seppey, M. Manni, M. Zdobnov, EM. BUSCO: Assessing Genome Assembly and Annotation Completeness</w:t>
      </w:r>
      <w:r>
        <w:rPr>
          <w:rFonts w:ascii="arial" w:eastAsia="arial" w:hAnsi="arial" w:cs="arial"/>
          <w:b w:val="0"/>
          <w:i/>
          <w:strike w:val="0"/>
          <w:noProof w:val="0"/>
          <w:color w:val="000000"/>
          <w:position w:val="0"/>
          <w:sz w:val="20"/>
          <w:u w:val="none"/>
          <w:vertAlign w:val="baseline"/>
        </w:rPr>
        <w:t>Methods. Mol. Biol.</w:t>
      </w:r>
      <w:r>
        <w:rPr>
          <w:rFonts w:ascii="arial" w:eastAsia="arial" w:hAnsi="arial" w:cs="arial"/>
          <w:b w:val="0"/>
          <w:i w:val="0"/>
          <w:strike w:val="0"/>
          <w:noProof w:val="0"/>
          <w:color w:val="000000"/>
          <w:position w:val="0"/>
          <w:sz w:val="20"/>
          <w:u w:val="none"/>
          <w:vertAlign w:val="baseline"/>
        </w:rPr>
        <w:t xml:space="preserve"> (2019). Vol. 1962. Pg 227-245.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[36].Laetsch, DR. Blaxter, ML. BlobTools: Interrogation of genome assemblies [version 1; peer review: 2 approved with reservations]</w:t>
      </w:r>
      <w:r>
        <w:rPr>
          <w:rFonts w:ascii="arial" w:eastAsia="arial" w:hAnsi="arial" w:cs="arial"/>
          <w:b w:val="0"/>
          <w:i/>
          <w:strike w:val="0"/>
          <w:noProof w:val="0"/>
          <w:color w:val="000000"/>
          <w:position w:val="0"/>
          <w:sz w:val="20"/>
          <w:u w:val="none"/>
          <w:vertAlign w:val="baseline"/>
        </w:rPr>
        <w:t>F1000Research</w:t>
      </w:r>
      <w:r>
        <w:rPr>
          <w:rFonts w:ascii="arial" w:eastAsia="arial" w:hAnsi="arial" w:cs="arial"/>
          <w:b w:val="0"/>
          <w:i w:val="0"/>
          <w:strike w:val="0"/>
          <w:noProof w:val="0"/>
          <w:color w:val="000000"/>
          <w:position w:val="0"/>
          <w:sz w:val="20"/>
          <w:u w:val="none"/>
          <w:vertAlign w:val="baseline"/>
        </w:rPr>
        <w:t xml:space="preserve"> (2017). Vol. 6.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[37].McGinnis, S. Madden, TL. BLAST: at the core of a powerful and diverse set of sequence analysis tools</w:t>
      </w:r>
      <w:r>
        <w:rPr>
          <w:rFonts w:ascii="arial" w:eastAsia="arial" w:hAnsi="arial" w:cs="arial"/>
          <w:b w:val="0"/>
          <w:i/>
          <w:strike w:val="0"/>
          <w:noProof w:val="0"/>
          <w:color w:val="000000"/>
          <w:position w:val="0"/>
          <w:sz w:val="20"/>
          <w:u w:val="none"/>
          <w:vertAlign w:val="baseline"/>
        </w:rPr>
        <w:t>Nucleic Acids Res</w:t>
      </w:r>
      <w:r>
        <w:rPr>
          <w:rFonts w:ascii="arial" w:eastAsia="arial" w:hAnsi="arial" w:cs="arial"/>
          <w:b w:val="0"/>
          <w:i w:val="0"/>
          <w:strike w:val="0"/>
          <w:noProof w:val="0"/>
          <w:color w:val="000000"/>
          <w:position w:val="0"/>
          <w:sz w:val="20"/>
          <w:u w:val="none"/>
          <w:vertAlign w:val="baseline"/>
        </w:rPr>
        <w:t xml:space="preserve"> (2004). Vol. 32. Pg W20-W25.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[38].Gurevich, A. Saveliev, V. Vyahhi, N. Tesler, G. QUAST: quality assessment tool for genome assemblies</w:t>
      </w:r>
      <w:r>
        <w:rPr>
          <w:rFonts w:ascii="arial" w:eastAsia="arial" w:hAnsi="arial" w:cs="arial"/>
          <w:b w:val="0"/>
          <w:i/>
          <w:strike w:val="0"/>
          <w:noProof w:val="0"/>
          <w:color w:val="000000"/>
          <w:position w:val="0"/>
          <w:sz w:val="20"/>
          <w:u w:val="none"/>
          <w:vertAlign w:val="baseline"/>
        </w:rPr>
        <w:t>Bioinformatics (Oxford, England).</w:t>
      </w:r>
      <w:r>
        <w:rPr>
          <w:rFonts w:ascii="arial" w:eastAsia="arial" w:hAnsi="arial" w:cs="arial"/>
          <w:b w:val="0"/>
          <w:i w:val="0"/>
          <w:strike w:val="0"/>
          <w:noProof w:val="0"/>
          <w:color w:val="000000"/>
          <w:position w:val="0"/>
          <w:sz w:val="20"/>
          <w:u w:val="none"/>
          <w:vertAlign w:val="baseline"/>
        </w:rPr>
        <w:t xml:space="preserve"> (2013). Vol. 29. Pg 1072-1075.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[39].Flynn, JM. RepeatModeler2 for automated genomic discovery of transposable element families</w:t>
      </w:r>
      <w:r>
        <w:rPr>
          <w:rFonts w:ascii="arial" w:eastAsia="arial" w:hAnsi="arial" w:cs="arial"/>
          <w:b w:val="0"/>
          <w:i/>
          <w:strike w:val="0"/>
          <w:noProof w:val="0"/>
          <w:color w:val="000000"/>
          <w:position w:val="0"/>
          <w:sz w:val="20"/>
          <w:u w:val="none"/>
          <w:vertAlign w:val="baseline"/>
        </w:rPr>
        <w:t>Proc. Natl. Acad. Sci.</w:t>
      </w:r>
      <w:r>
        <w:rPr>
          <w:rFonts w:ascii="arial" w:eastAsia="arial" w:hAnsi="arial" w:cs="arial"/>
          <w:b w:val="0"/>
          <w:i w:val="0"/>
          <w:strike w:val="0"/>
          <w:noProof w:val="0"/>
          <w:color w:val="000000"/>
          <w:position w:val="0"/>
          <w:sz w:val="20"/>
          <w:u w:val="none"/>
          <w:vertAlign w:val="baseline"/>
        </w:rPr>
        <w:t xml:space="preserve"> (2020). Vol. 117. Pg 9451-9457.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[40].Tarailo-Graovac, M. Chen, N. Using RepeatMasker to identify repetitive elements in genomic sequences</w:t>
      </w:r>
      <w:r>
        <w:rPr>
          <w:rFonts w:ascii="arial" w:eastAsia="arial" w:hAnsi="arial" w:cs="arial"/>
          <w:b w:val="0"/>
          <w:i/>
          <w:strike w:val="0"/>
          <w:noProof w:val="0"/>
          <w:color w:val="000000"/>
          <w:position w:val="0"/>
          <w:sz w:val="20"/>
          <w:u w:val="none"/>
          <w:vertAlign w:val="baseline"/>
        </w:rPr>
        <w:t>Curr Protoc Bioinform.</w:t>
      </w:r>
      <w:r>
        <w:rPr>
          <w:rFonts w:ascii="arial" w:eastAsia="arial" w:hAnsi="arial" w:cs="arial"/>
          <w:b w:val="0"/>
          <w:i w:val="0"/>
          <w:strike w:val="0"/>
          <w:noProof w:val="0"/>
          <w:color w:val="000000"/>
          <w:position w:val="0"/>
          <w:sz w:val="20"/>
          <w:u w:val="none"/>
          <w:vertAlign w:val="baseline"/>
        </w:rPr>
        <w:t xml:space="preserve"> (2009). Vol. 25. Pg 4-10.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[41].Ou, S. Benchmarking transposable element annotation methods for creation of a streamlined, comprehensive pipeline</w:t>
      </w:r>
      <w:r>
        <w:rPr>
          <w:rFonts w:ascii="arial" w:eastAsia="arial" w:hAnsi="arial" w:cs="arial"/>
          <w:b w:val="0"/>
          <w:i/>
          <w:strike w:val="0"/>
          <w:noProof w:val="0"/>
          <w:color w:val="000000"/>
          <w:position w:val="0"/>
          <w:sz w:val="20"/>
          <w:u w:val="none"/>
          <w:vertAlign w:val="baseline"/>
        </w:rPr>
        <w:t>Genome Biol</w:t>
      </w:r>
      <w:r>
        <w:rPr>
          <w:rFonts w:ascii="arial" w:eastAsia="arial" w:hAnsi="arial" w:cs="arial"/>
          <w:b w:val="0"/>
          <w:i w:val="0"/>
          <w:strike w:val="0"/>
          <w:noProof w:val="0"/>
          <w:color w:val="000000"/>
          <w:position w:val="0"/>
          <w:sz w:val="20"/>
          <w:u w:val="none"/>
          <w:vertAlign w:val="baseline"/>
        </w:rPr>
        <w:t xml:space="preserve"> (2019). Vol. 20.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[42].Stanke, M. AUGUSTUS: ab initio prediction of alternative transcripts</w:t>
      </w:r>
      <w:r>
        <w:rPr>
          <w:rFonts w:ascii="arial" w:eastAsia="arial" w:hAnsi="arial" w:cs="arial"/>
          <w:b w:val="0"/>
          <w:i/>
          <w:strike w:val="0"/>
          <w:noProof w:val="0"/>
          <w:color w:val="000000"/>
          <w:position w:val="0"/>
          <w:sz w:val="20"/>
          <w:u w:val="none"/>
          <w:vertAlign w:val="baseline"/>
        </w:rPr>
        <w:t>Nucleic Acids Res</w:t>
      </w:r>
      <w:r>
        <w:rPr>
          <w:rFonts w:ascii="arial" w:eastAsia="arial" w:hAnsi="arial" w:cs="arial"/>
          <w:b w:val="0"/>
          <w:i w:val="0"/>
          <w:strike w:val="0"/>
          <w:noProof w:val="0"/>
          <w:color w:val="000000"/>
          <w:position w:val="0"/>
          <w:sz w:val="20"/>
          <w:u w:val="none"/>
          <w:vertAlign w:val="baseline"/>
        </w:rPr>
        <w:t xml:space="preserve"> (2006). Vol. 34. Pg W435-W439.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[43].Grabherr, MG. Trinity: reconstructing a full-length transcriptome without a genome from RNA-Seq data</w:t>
      </w:r>
      <w:r>
        <w:rPr>
          <w:rFonts w:ascii="arial" w:eastAsia="arial" w:hAnsi="arial" w:cs="arial"/>
          <w:b w:val="0"/>
          <w:i/>
          <w:strike w:val="0"/>
          <w:noProof w:val="0"/>
          <w:color w:val="000000"/>
          <w:position w:val="0"/>
          <w:sz w:val="20"/>
          <w:u w:val="none"/>
          <w:vertAlign w:val="baseline"/>
        </w:rPr>
        <w:t>Nat. Biotechnol</w:t>
      </w:r>
      <w:r>
        <w:rPr>
          <w:rFonts w:ascii="arial" w:eastAsia="arial" w:hAnsi="arial" w:cs="arial"/>
          <w:b w:val="0"/>
          <w:i w:val="0"/>
          <w:strike w:val="0"/>
          <w:noProof w:val="0"/>
          <w:color w:val="000000"/>
          <w:position w:val="0"/>
          <w:sz w:val="20"/>
          <w:u w:val="none"/>
          <w:vertAlign w:val="baseline"/>
        </w:rPr>
        <w:t xml:space="preserve"> (2011). Vol. 29.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[44].Haas, BJ. Improving the Arabidopsis genome annotation using maximal transcript alignment assemblies</w:t>
      </w:r>
      <w:r>
        <w:rPr>
          <w:rFonts w:ascii="arial" w:eastAsia="arial" w:hAnsi="arial" w:cs="arial"/>
          <w:b w:val="0"/>
          <w:i/>
          <w:strike w:val="0"/>
          <w:noProof w:val="0"/>
          <w:color w:val="000000"/>
          <w:position w:val="0"/>
          <w:sz w:val="20"/>
          <w:u w:val="none"/>
          <w:vertAlign w:val="baseline"/>
        </w:rPr>
        <w:t>Nucleic Acids Res</w:t>
      </w:r>
      <w:r>
        <w:rPr>
          <w:rFonts w:ascii="arial" w:eastAsia="arial" w:hAnsi="arial" w:cs="arial"/>
          <w:b w:val="0"/>
          <w:i w:val="0"/>
          <w:strike w:val="0"/>
          <w:noProof w:val="0"/>
          <w:color w:val="000000"/>
          <w:position w:val="0"/>
          <w:sz w:val="20"/>
          <w:u w:val="none"/>
          <w:vertAlign w:val="baseline"/>
        </w:rPr>
        <w:t xml:space="preserve"> (2003). Vol. 31. Pg 5654-5666.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[45].Haas, BJ. Automated eukaryotic gene structure annotation using EVidenceModeler and the Program to Assemble Spliced Alignments</w:t>
      </w:r>
      <w:r>
        <w:rPr>
          <w:rFonts w:ascii="arial" w:eastAsia="arial" w:hAnsi="arial" w:cs="arial"/>
          <w:b w:val="0"/>
          <w:i/>
          <w:strike w:val="0"/>
          <w:noProof w:val="0"/>
          <w:color w:val="000000"/>
          <w:position w:val="0"/>
          <w:sz w:val="20"/>
          <w:u w:val="none"/>
          <w:vertAlign w:val="baseline"/>
        </w:rPr>
        <w:t>Genome Biol</w:t>
      </w:r>
      <w:r>
        <w:rPr>
          <w:rFonts w:ascii="arial" w:eastAsia="arial" w:hAnsi="arial" w:cs="arial"/>
          <w:b w:val="0"/>
          <w:i w:val="0"/>
          <w:strike w:val="0"/>
          <w:noProof w:val="0"/>
          <w:color w:val="000000"/>
          <w:position w:val="0"/>
          <w:sz w:val="20"/>
          <w:u w:val="none"/>
          <w:vertAlign w:val="baseline"/>
        </w:rPr>
        <w:t xml:space="preserve"> (2008). Vol. 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[46].Ontiveros-Palacios, N. Rfam 15: RNA families database in 2025</w:t>
      </w:r>
      <w:r>
        <w:rPr>
          <w:rFonts w:ascii="arial" w:eastAsia="arial" w:hAnsi="arial" w:cs="arial"/>
          <w:b w:val="0"/>
          <w:i/>
          <w:strike w:val="0"/>
          <w:noProof w:val="0"/>
          <w:color w:val="000000"/>
          <w:position w:val="0"/>
          <w:sz w:val="20"/>
          <w:u w:val="none"/>
          <w:vertAlign w:val="baseline"/>
        </w:rPr>
        <w:t>Nucleic Acids Res</w:t>
      </w:r>
      <w:r>
        <w:rPr>
          <w:rFonts w:ascii="arial" w:eastAsia="arial" w:hAnsi="arial" w:cs="arial"/>
          <w:b w:val="0"/>
          <w:i w:val="0"/>
          <w:strike w:val="0"/>
          <w:noProof w:val="0"/>
          <w:color w:val="000000"/>
          <w:position w:val="0"/>
          <w:sz w:val="20"/>
          <w:u w:val="none"/>
          <w:vertAlign w:val="baseline"/>
        </w:rPr>
        <w:t xml:space="preserve"> (2025). Vol. 53. Pg D258-D267.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[47].Kalvari, I. Rfam 14: expanded coverage of metagenomic, viral and microRNA families</w:t>
      </w:r>
      <w:r>
        <w:rPr>
          <w:rFonts w:ascii="arial" w:eastAsia="arial" w:hAnsi="arial" w:cs="arial"/>
          <w:b w:val="0"/>
          <w:i/>
          <w:strike w:val="0"/>
          <w:noProof w:val="0"/>
          <w:color w:val="000000"/>
          <w:position w:val="0"/>
          <w:sz w:val="20"/>
          <w:u w:val="none"/>
          <w:vertAlign w:val="baseline"/>
        </w:rPr>
        <w:t>Nucleic Acids Res</w:t>
      </w:r>
      <w:r>
        <w:rPr>
          <w:rFonts w:ascii="arial" w:eastAsia="arial" w:hAnsi="arial" w:cs="arial"/>
          <w:b w:val="0"/>
          <w:i w:val="0"/>
          <w:strike w:val="0"/>
          <w:noProof w:val="0"/>
          <w:color w:val="000000"/>
          <w:position w:val="0"/>
          <w:sz w:val="20"/>
          <w:u w:val="none"/>
          <w:vertAlign w:val="baseline"/>
        </w:rPr>
        <w:t xml:space="preserve"> (2021). Vol. 49. Pg D192-D200.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[48].Kalvari, I. Non-Coding RNA Analysis Using the Rfam Database</w:t>
      </w:r>
      <w:r>
        <w:rPr>
          <w:rFonts w:ascii="arial" w:eastAsia="arial" w:hAnsi="arial" w:cs="arial"/>
          <w:b w:val="0"/>
          <w:i/>
          <w:strike w:val="0"/>
          <w:noProof w:val="0"/>
          <w:color w:val="000000"/>
          <w:position w:val="0"/>
          <w:sz w:val="20"/>
          <w:u w:val="none"/>
          <w:vertAlign w:val="baseline"/>
        </w:rPr>
        <w:t>Current protocols in bioinformatics</w:t>
      </w:r>
      <w:r>
        <w:rPr>
          <w:rFonts w:ascii="arial" w:eastAsia="arial" w:hAnsi="arial" w:cs="arial"/>
          <w:b w:val="0"/>
          <w:i w:val="0"/>
          <w:strike w:val="0"/>
          <w:noProof w:val="0"/>
          <w:color w:val="000000"/>
          <w:position w:val="0"/>
          <w:sz w:val="20"/>
          <w:u w:val="none"/>
          <w:vertAlign w:val="baseline"/>
        </w:rPr>
        <w:t xml:space="preserve"> (2018). Vol. 62.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[49].Nawrocki, EP. Kolbe, DL. Eddy, SR. Infernal 1.0: inference of RNA alignments</w:t>
      </w:r>
      <w:r>
        <w:rPr>
          <w:rFonts w:ascii="arial" w:eastAsia="arial" w:hAnsi="arial" w:cs="arial"/>
          <w:b w:val="0"/>
          <w:i/>
          <w:strike w:val="0"/>
          <w:noProof w:val="0"/>
          <w:color w:val="000000"/>
          <w:position w:val="0"/>
          <w:sz w:val="20"/>
          <w:u w:val="none"/>
          <w:vertAlign w:val="baseline"/>
        </w:rPr>
        <w:t>Bioinformatics</w:t>
      </w:r>
      <w:r>
        <w:rPr>
          <w:rFonts w:ascii="arial" w:eastAsia="arial" w:hAnsi="arial" w:cs="arial"/>
          <w:b w:val="0"/>
          <w:i w:val="0"/>
          <w:strike w:val="0"/>
          <w:noProof w:val="0"/>
          <w:color w:val="000000"/>
          <w:position w:val="0"/>
          <w:sz w:val="20"/>
          <w:u w:val="none"/>
          <w:vertAlign w:val="baseline"/>
        </w:rPr>
        <w:t xml:space="preserve"> (2009). Vol. 25. Pg 1335-1337.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[50].Lagesen, K. RNAmmer: consistent and rapid annotation of ribosomal RNA genes</w:t>
      </w:r>
      <w:r>
        <w:rPr>
          <w:rFonts w:ascii="arial" w:eastAsia="arial" w:hAnsi="arial" w:cs="arial"/>
          <w:b w:val="0"/>
          <w:i/>
          <w:strike w:val="0"/>
          <w:noProof w:val="0"/>
          <w:color w:val="000000"/>
          <w:position w:val="0"/>
          <w:sz w:val="20"/>
          <w:u w:val="none"/>
          <w:vertAlign w:val="baseline"/>
        </w:rPr>
        <w:t>Nucleic Acids Res</w:t>
      </w:r>
      <w:r>
        <w:rPr>
          <w:rFonts w:ascii="arial" w:eastAsia="arial" w:hAnsi="arial" w:cs="arial"/>
          <w:b w:val="0"/>
          <w:i w:val="0"/>
          <w:strike w:val="0"/>
          <w:noProof w:val="0"/>
          <w:color w:val="000000"/>
          <w:position w:val="0"/>
          <w:sz w:val="20"/>
          <w:u w:val="none"/>
          <w:vertAlign w:val="baseline"/>
        </w:rPr>
        <w:t xml:space="preserve"> (2007). Vol. 35. Pg 3100-3108.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[51].Lowe, TM. Eddy, SR. tRNAscan-SE: a program for improved detection of transfer RNA genes in genomic sequence</w:t>
      </w:r>
      <w:r>
        <w:rPr>
          <w:rFonts w:ascii="arial" w:eastAsia="arial" w:hAnsi="arial" w:cs="arial"/>
          <w:b w:val="0"/>
          <w:i/>
          <w:strike w:val="0"/>
          <w:noProof w:val="0"/>
          <w:color w:val="000000"/>
          <w:position w:val="0"/>
          <w:sz w:val="20"/>
          <w:u w:val="none"/>
          <w:vertAlign w:val="baseline"/>
        </w:rPr>
        <w:t>Nucleic Acids Res</w:t>
      </w:r>
      <w:r>
        <w:rPr>
          <w:rFonts w:ascii="arial" w:eastAsia="arial" w:hAnsi="arial" w:cs="arial"/>
          <w:b w:val="0"/>
          <w:i w:val="0"/>
          <w:strike w:val="0"/>
          <w:noProof w:val="0"/>
          <w:color w:val="000000"/>
          <w:position w:val="0"/>
          <w:sz w:val="20"/>
          <w:u w:val="none"/>
          <w:vertAlign w:val="baseline"/>
        </w:rPr>
        <w:t xml:space="preserve"> (1997). Vol. 25. Pg 955-964.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[52].Cantalapiedra, CP. Hernández-Plaza, A. Letunic, I. Bork, P. Huerta-Cepas, J. eggNOG-mapper v2: Functional Annotation, Orthology Assignments, and Domain Prediction at the Metagenomic Scale</w:t>
      </w:r>
      <w:r>
        <w:rPr>
          <w:rFonts w:ascii="arial" w:eastAsia="arial" w:hAnsi="arial" w:cs="arial"/>
          <w:b w:val="0"/>
          <w:i/>
          <w:strike w:val="0"/>
          <w:noProof w:val="0"/>
          <w:color w:val="000000"/>
          <w:position w:val="0"/>
          <w:sz w:val="20"/>
          <w:u w:val="none"/>
          <w:vertAlign w:val="baseline"/>
        </w:rPr>
        <w:t>Mol Biol Evol</w:t>
      </w:r>
      <w:r>
        <w:rPr>
          <w:rFonts w:ascii="arial" w:eastAsia="arial" w:hAnsi="arial" w:cs="arial"/>
          <w:b w:val="0"/>
          <w:i w:val="0"/>
          <w:strike w:val="0"/>
          <w:noProof w:val="0"/>
          <w:color w:val="000000"/>
          <w:position w:val="0"/>
          <w:sz w:val="20"/>
          <w:u w:val="none"/>
          <w:vertAlign w:val="baseline"/>
        </w:rPr>
        <w:t xml:space="preserve"> (2021). Vol. 38. Pg 5825-5829.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[53].Buchfink, B. Xie, C. Huson, DH. Fast and sensitive protein alignment using DIAMOND</w:t>
      </w:r>
      <w:r>
        <w:rPr>
          <w:rFonts w:ascii="arial" w:eastAsia="arial" w:hAnsi="arial" w:cs="arial"/>
          <w:b w:val="0"/>
          <w:i/>
          <w:strike w:val="0"/>
          <w:noProof w:val="0"/>
          <w:color w:val="000000"/>
          <w:position w:val="0"/>
          <w:sz w:val="20"/>
          <w:u w:val="none"/>
          <w:vertAlign w:val="baseline"/>
        </w:rPr>
        <w:t>Nat. Methods</w:t>
      </w:r>
      <w:r>
        <w:rPr>
          <w:rFonts w:ascii="arial" w:eastAsia="arial" w:hAnsi="arial" w:cs="arial"/>
          <w:b w:val="0"/>
          <w:i w:val="0"/>
          <w:strike w:val="0"/>
          <w:noProof w:val="0"/>
          <w:color w:val="000000"/>
          <w:position w:val="0"/>
          <w:sz w:val="20"/>
          <w:u w:val="none"/>
          <w:vertAlign w:val="baseline"/>
        </w:rPr>
        <w:t xml:space="preserve"> (2015). Vol. 12. Pg 59-60.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[54].Eddy, R. Accelerated profile HMM searches</w:t>
      </w:r>
      <w:r>
        <w:rPr>
          <w:rFonts w:ascii="arial" w:eastAsia="arial" w:hAnsi="arial" w:cs="arial"/>
          <w:b w:val="0"/>
          <w:i/>
          <w:strike w:val="0"/>
          <w:noProof w:val="0"/>
          <w:color w:val="000000"/>
          <w:position w:val="0"/>
          <w:sz w:val="20"/>
          <w:u w:val="none"/>
          <w:vertAlign w:val="baseline"/>
        </w:rPr>
        <w:t>PLoS Comput. Biol.</w:t>
      </w:r>
      <w:r>
        <w:rPr>
          <w:rFonts w:ascii="arial" w:eastAsia="arial" w:hAnsi="arial" w:cs="arial"/>
          <w:b w:val="0"/>
          <w:i w:val="0"/>
          <w:strike w:val="0"/>
          <w:noProof w:val="0"/>
          <w:color w:val="000000"/>
          <w:position w:val="0"/>
          <w:sz w:val="20"/>
          <w:u w:val="none"/>
          <w:vertAlign w:val="baseline"/>
        </w:rPr>
        <w:t xml:space="preserve"> (2011). Vol. 7.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[55].Kanehisa, M. Furumichi, M. Tanabe, M. Sato, Y. Morishima, K. KEGG: new perspectives on genomes, pathways, diseases and drugs</w:t>
      </w:r>
      <w:r>
        <w:rPr>
          <w:rFonts w:ascii="arial" w:eastAsia="arial" w:hAnsi="arial" w:cs="arial"/>
          <w:b w:val="0"/>
          <w:i/>
          <w:strike w:val="0"/>
          <w:noProof w:val="0"/>
          <w:color w:val="000000"/>
          <w:position w:val="0"/>
          <w:sz w:val="20"/>
          <w:u w:val="none"/>
          <w:vertAlign w:val="baseline"/>
        </w:rPr>
        <w:t>Nucleic Acids Res</w:t>
      </w:r>
      <w:r>
        <w:rPr>
          <w:rFonts w:ascii="arial" w:eastAsia="arial" w:hAnsi="arial" w:cs="arial"/>
          <w:b w:val="0"/>
          <w:i w:val="0"/>
          <w:strike w:val="0"/>
          <w:noProof w:val="0"/>
          <w:color w:val="000000"/>
          <w:position w:val="0"/>
          <w:sz w:val="20"/>
          <w:u w:val="none"/>
          <w:vertAlign w:val="baseline"/>
        </w:rPr>
        <w:t xml:space="preserve"> (2017). Vol. 45. Pg D353-D361.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[56].The Gene Ontology knowledgebase in 2023</w:t>
      </w:r>
      <w:r>
        <w:rPr>
          <w:rFonts w:ascii="arial" w:eastAsia="arial" w:hAnsi="arial" w:cs="arial"/>
          <w:b w:val="0"/>
          <w:i/>
          <w:strike w:val="0"/>
          <w:noProof w:val="0"/>
          <w:color w:val="000000"/>
          <w:position w:val="0"/>
          <w:sz w:val="20"/>
          <w:u w:val="none"/>
          <w:vertAlign w:val="baseline"/>
        </w:rPr>
        <w:t>Genetics</w:t>
      </w:r>
      <w:r>
        <w:rPr>
          <w:rFonts w:ascii="arial" w:eastAsia="arial" w:hAnsi="arial" w:cs="arial"/>
          <w:b w:val="0"/>
          <w:i w:val="0"/>
          <w:strike w:val="0"/>
          <w:noProof w:val="0"/>
          <w:color w:val="000000"/>
          <w:position w:val="0"/>
          <w:sz w:val="20"/>
          <w:u w:val="none"/>
          <w:vertAlign w:val="baseline"/>
        </w:rPr>
        <w:t xml:space="preserve"> (2023). Vol. 224.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[57].Blum, M. The InterPro protein families and domains database: 20 years on</w:t>
      </w:r>
      <w:r>
        <w:rPr>
          <w:rFonts w:ascii="arial" w:eastAsia="arial" w:hAnsi="arial" w:cs="arial"/>
          <w:b w:val="0"/>
          <w:i/>
          <w:strike w:val="0"/>
          <w:noProof w:val="0"/>
          <w:color w:val="000000"/>
          <w:position w:val="0"/>
          <w:sz w:val="20"/>
          <w:u w:val="none"/>
          <w:vertAlign w:val="baseline"/>
        </w:rPr>
        <w:t>Nucleic Acids Res</w:t>
      </w:r>
      <w:r>
        <w:rPr>
          <w:rFonts w:ascii="arial" w:eastAsia="arial" w:hAnsi="arial" w:cs="arial"/>
          <w:b w:val="0"/>
          <w:i w:val="0"/>
          <w:strike w:val="0"/>
          <w:noProof w:val="0"/>
          <w:color w:val="000000"/>
          <w:position w:val="0"/>
          <w:sz w:val="20"/>
          <w:u w:val="none"/>
          <w:vertAlign w:val="baseline"/>
        </w:rPr>
        <w:t xml:space="preserve"> (2021). Vol. 49. Pg D344-D354.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[58].Bairoch, A. Apweiler, R. The SWISS-PROT protein sequence data bank and its supplement TrEMBL in 1999</w:t>
      </w:r>
      <w:r>
        <w:rPr>
          <w:rFonts w:ascii="arial" w:eastAsia="arial" w:hAnsi="arial" w:cs="arial"/>
          <w:b w:val="0"/>
          <w:i/>
          <w:strike w:val="0"/>
          <w:noProof w:val="0"/>
          <w:color w:val="000000"/>
          <w:position w:val="0"/>
          <w:sz w:val="20"/>
          <w:u w:val="none"/>
          <w:vertAlign w:val="baseline"/>
        </w:rPr>
        <w:t>Nucleic Acids Res</w:t>
      </w:r>
      <w:r>
        <w:rPr>
          <w:rFonts w:ascii="arial" w:eastAsia="arial" w:hAnsi="arial" w:cs="arial"/>
          <w:b w:val="0"/>
          <w:i w:val="0"/>
          <w:strike w:val="0"/>
          <w:noProof w:val="0"/>
          <w:color w:val="000000"/>
          <w:position w:val="0"/>
          <w:sz w:val="20"/>
          <w:u w:val="none"/>
          <w:vertAlign w:val="baseline"/>
        </w:rPr>
        <w:t xml:space="preserve"> (1999). Vol. 27. Pg 49-54.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[59].</w:t>
      </w:r>
      <w:r>
        <w:rPr>
          <w:rFonts w:ascii="arial" w:eastAsia="arial" w:hAnsi="arial" w:cs="arial"/>
          <w:b w:val="0"/>
          <w:i/>
          <w:strike w:val="0"/>
          <w:noProof w:val="0"/>
          <w:color w:val="000000"/>
          <w:position w:val="0"/>
          <w:sz w:val="20"/>
          <w:u w:val="none"/>
          <w:vertAlign w:val="baseline"/>
        </w:rPr>
        <w:t>NCBI Sequence Read Archive</w:t>
      </w:r>
      <w:r>
        <w:rPr>
          <w:rFonts w:ascii="arial" w:eastAsia="arial" w:hAnsi="arial" w:cs="arial"/>
          <w:b w:val="0"/>
          <w:i w:val="0"/>
          <w:strike w:val="0"/>
          <w:noProof w:val="0"/>
          <w:color w:val="000000"/>
          <w:position w:val="0"/>
          <w:sz w:val="20"/>
          <w:u w:val="none"/>
          <w:vertAlign w:val="baseline"/>
        </w:rPr>
        <w:t xml:space="preserve"> (2025).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[60].NCBI GenBank</w:t>
      </w:r>
      <w:hyperlink r:id="rId20" w:history="1">
        <w:r>
          <w:rPr>
            <w:rFonts w:ascii="arial" w:eastAsia="arial" w:hAnsi="arial" w:cs="arial"/>
            <w:b w:val="0"/>
            <w:i/>
            <w:strike w:val="0"/>
            <w:noProof w:val="0"/>
            <w:color w:val="0077CC"/>
            <w:position w:val="0"/>
            <w:sz w:val="20"/>
            <w:u w:val="single"/>
            <w:vertAlign w:val="baseline"/>
          </w:rPr>
          <w:t>https://identifiers.org/ncbi/insdc.gca:GCA_048544155.1</w:t>
        </w:r>
      </w:hyperlink>
      <w:r>
        <w:rPr>
          <w:rFonts w:ascii="arial" w:eastAsia="arial" w:hAnsi="arial" w:cs="arial"/>
          <w:b w:val="0"/>
          <w:i w:val="0"/>
          <w:strike w:val="0"/>
          <w:noProof w:val="0"/>
          <w:color w:val="000000"/>
          <w:position w:val="0"/>
          <w:sz w:val="20"/>
          <w:u w:val="none"/>
          <w:vertAlign w:val="baseline"/>
        </w:rPr>
        <w:t xml:space="preserve"> (2025).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[61].Han, W. Chang, X. </w:t>
      </w:r>
      <w:r>
        <w:rPr>
          <w:rFonts w:ascii="arial" w:eastAsia="arial" w:hAnsi="arial" w:cs="arial"/>
          <w:b w:val="0"/>
          <w:i/>
          <w:strike w:val="0"/>
          <w:noProof w:val="0"/>
          <w:color w:val="000000"/>
          <w:position w:val="0"/>
          <w:sz w:val="20"/>
          <w:u w:val="none"/>
          <w:vertAlign w:val="baseline"/>
        </w:rPr>
        <w:t>Figshare</w:t>
      </w:r>
      <w:r>
        <w:rPr>
          <w:rFonts w:ascii="arial" w:eastAsia="arial" w:hAnsi="arial" w:cs="arial"/>
          <w:b w:val="0"/>
          <w:i w:val="0"/>
          <w:strike w:val="0"/>
          <w:noProof w:val="0"/>
          <w:color w:val="000000"/>
          <w:position w:val="0"/>
          <w:sz w:val="20"/>
          <w:u w:val="none"/>
          <w:vertAlign w:val="baseline"/>
        </w:rPr>
        <w:t xml:space="preserve"> (2025). </w:t>
      </w:r>
    </w:p>
    <w:p>
      <w:pPr>
        <w:keepNext/>
        <w:spacing w:before="240" w:after="0" w:line="340" w:lineRule="atLeast"/>
        <w:ind w:left="0" w:right="0" w:firstLine="0"/>
        <w:jc w:val="left"/>
      </w:pPr>
      <w:bookmarkStart w:id="3" w:name="Classification"/>
      <w:bookmarkEnd w:id="3"/>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8" style="position:absolute;z-index:251661312"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Magazine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41597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(89%); MARINE RESOURCES MANAGEMENT (78%); LIFE FORMS (89%); EVOLUTION THEORY (73%); COASTAL CONSERVATION (71%); MARINE BIOLOGY (90%); SEAS (73%); COASTAL AREAS (77%); ISLANDS &amp; REEFS (89%); WATER RESOURCES (73%); WILDLIFE CONSERVATION (78%); CLIMATE CHANGE (78%); SCIENCE &amp; TECHNOLOGY (78%); ECOSYSTEMS &amp; HABITATS (93%); GENES &amp; CHROMOSOMES (76%); BENCHMARKING (76%); ECOLOGY &amp; ENVIRONMENTAL SCIENCE (89%); SALTWATER ECOSYSTEMS (89%); CONSERVATION (78%); CLIMATE CHANGE REGULATION &amp; POLICY (78%);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(78%)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SEA LTD (52%)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xml:space="preserve"> Key Laboratory of Tropical Aquatic Germplasm of Hainan Province &amp; Fang Zongxi Center for Marine Evo-Devo, MOE Key Laboratory of Marine Genetics and Breeding;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University of China; Southern Marine Science and Engineering Guangdong Laboratory (Guangzhou); Laboratory for Marine Biology and Biotechnology; Qingdao Marine Science and Technology Center; Hainan South China Sea of Institute Tropical Oceanography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SE (NYSE) (52%)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NAICS519290 WEB SEARCH PORTALS AND ALL OTHER INFORMATION SERVICES (52%); MARINE RESOURCES MANAGEMENT (78%)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xml:space="preserve"> GUANGZHOU, GUANGDONG, CHINA (71%); INDIAN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(79%); HAINAN, CHINA (90%); PACIFIC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(93%); GUANGDONG, CHINA (76%); SOUTH CHINA SEA (79%); SOUTH CHINA (99%); RED SEA (79%); CARIBBEAN ISLANDS (79%); CHINA (99%)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28, 2025</w:t>
      </w:r>
    </w:p>
    <w:p/>
    <w:p>
      <w:pPr>
        <w:ind w:left="200"/>
      </w:pPr>
      <w:r>
        <w:br/>
      </w:r>
      <w:r>
        <w:pict>
          <v:line id="_x0000_s1029" style="position:absolute;z-index:251662336"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r>
        <w:rPr>
          <w:rFonts w:ascii="arial" w:eastAsia="arial" w:hAnsi="arial" w:cs="arial"/>
          <w:b w:val="0"/>
          <w:i w:val="0"/>
          <w:strike w:val="0"/>
          <w:noProof w:val="0"/>
          <w:color w:val="000000"/>
          <w:position w:val="0"/>
          <w:sz w:val="18"/>
          <w:u w:val="none"/>
          <w:vertAlign w:val="baseline"/>
        </w:rPr>
        <w:t xml:space="preserve">Key Laboratory of Tropical Aquatic Germplasm of Hainan Province &amp; Fang Zongxi Center for Marine Evo-Devo, MOE Key Laboratory of Marine Genetics and Breeding, </w:t>
      </w:r>
      <w:r>
        <w:rPr>
          <w:rFonts w:ascii="arial" w:eastAsia="arial" w:hAnsi="arial" w:cs="arial"/>
          <w:b/>
          <w:i/>
          <w:strike w:val="0"/>
          <w:noProof w:val="0"/>
          <w:color w:val="000000"/>
          <w:position w:val="0"/>
          <w:sz w:val="18"/>
          <w:u w:val="single"/>
          <w:vertAlign w:val="baseline"/>
        </w:rPr>
        <w:t>Ocean</w:t>
      </w:r>
      <w:r>
        <w:rPr>
          <w:rFonts w:ascii="arial" w:eastAsia="arial" w:hAnsi="arial" w:cs="arial"/>
          <w:b w:val="0"/>
          <w:i w:val="0"/>
          <w:strike w:val="0"/>
          <w:noProof w:val="0"/>
          <w:color w:val="000000"/>
          <w:position w:val="0"/>
          <w:sz w:val="18"/>
          <w:u w:val="none"/>
          <w:vertAlign w:val="baseline"/>
        </w:rPr>
        <w:t xml:space="preserve"> University of China, Sanya, Qingdao, China, 0000 0001 2152 3263, grid.4422.0,</w:t>
      </w:r>
      <w:hyperlink r:id="rId1" w:history="1">
        <w:r>
          <w:rPr>
            <w:rFonts w:ascii="arial" w:eastAsia="arial" w:hAnsi="arial" w:cs="arial"/>
            <w:b w:val="0"/>
            <w:i/>
            <w:strike w:val="0"/>
            <w:noProof w:val="0"/>
            <w:color w:val="0077CC"/>
            <w:position w:val="0"/>
            <w:sz w:val="18"/>
            <w:u w:val="single"/>
            <w:vertAlign w:val="baseline"/>
          </w:rPr>
          <w:t>https://ror.org/04rdtx186</w:t>
        </w:r>
      </w:hyperlink>
    </w:p>
  </w:footnote>
  <w:footnote w:id="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r>
        <w:rPr>
          <w:rFonts w:ascii="arial" w:eastAsia="arial" w:hAnsi="arial" w:cs="arial"/>
          <w:b w:val="0"/>
          <w:i w:val="0"/>
          <w:strike w:val="0"/>
          <w:noProof w:val="0"/>
          <w:color w:val="000000"/>
          <w:position w:val="0"/>
          <w:sz w:val="18"/>
          <w:u w:val="none"/>
          <w:vertAlign w:val="baseline"/>
        </w:rPr>
        <w:t>, Southern Marine Science and Engineering Guangdong Laboratory (Guangzhou), Guangzhou, , China, , grid.511004.1,</w:t>
      </w:r>
      <w:hyperlink r:id="rId2" w:history="1">
        <w:r>
          <w:rPr>
            <w:rFonts w:ascii="arial" w:eastAsia="arial" w:hAnsi="arial" w:cs="arial"/>
            <w:b w:val="0"/>
            <w:i/>
            <w:strike w:val="0"/>
            <w:noProof w:val="0"/>
            <w:color w:val="0077CC"/>
            <w:position w:val="0"/>
            <w:sz w:val="18"/>
            <w:u w:val="single"/>
            <w:vertAlign w:val="baseline"/>
          </w:rPr>
          <w:t>https://ror.org/00y7mag53</w:t>
        </w:r>
      </w:hyperlink>
    </w:p>
  </w:footnote>
  <w:footnote w:id="4">
    <w:p>
      <w:pPr>
        <w:spacing w:before="120" w:line="240" w:lineRule="atLeast"/>
        <w:jc w:val="both"/>
      </w:pPr>
      <w:r>
        <w:rPr>
          <w:rFonts w:ascii="arial" w:eastAsia="arial" w:hAnsi="arial" w:cs="arial"/>
          <w:b w:val="0"/>
          <w:i w:val="0"/>
          <w:strike w:val="0"/>
          <w:noProof w:val="0"/>
          <w:color w:val="000000"/>
          <w:position w:val="0"/>
          <w:sz w:val="18"/>
          <w:u w:val="none"/>
          <w:vertAlign w:val="superscript"/>
        </w:rPr>
        <w:t>1 </w:t>
      </w:r>
      <w:r>
        <w:rPr>
          <w:rFonts w:ascii="arial" w:eastAsia="arial" w:hAnsi="arial" w:cs="arial"/>
          <w:b w:val="0"/>
          <w:i w:val="0"/>
          <w:strike w:val="0"/>
          <w:noProof w:val="0"/>
          <w:color w:val="000000"/>
          <w:position w:val="0"/>
          <w:sz w:val="18"/>
          <w:u w:val="none"/>
          <w:vertAlign w:val="baseline"/>
        </w:rPr>
        <w:t>These authors contributed equally: Xinyao Chang, Wentao Han.</w:t>
      </w:r>
    </w:p>
  </w:footnote>
  <w:footnote w:id="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r>
        <w:rPr>
          <w:rFonts w:ascii="arial" w:eastAsia="arial" w:hAnsi="arial" w:cs="arial"/>
          <w:b w:val="0"/>
          <w:i w:val="0"/>
          <w:strike w:val="0"/>
          <w:noProof w:val="0"/>
          <w:color w:val="000000"/>
          <w:position w:val="0"/>
          <w:sz w:val="18"/>
          <w:u w:val="none"/>
          <w:vertAlign w:val="baseline"/>
        </w:rPr>
        <w:t xml:space="preserve">Key Laboratory of Tropical Aquatic Germplasm of Hainan Province &amp; Fang Zongxi Center for Marine Evo-Devo, MOE Key Laboratory of Marine Genetics and Breeding, </w:t>
      </w:r>
      <w:r>
        <w:rPr>
          <w:rFonts w:ascii="arial" w:eastAsia="arial" w:hAnsi="arial" w:cs="arial"/>
          <w:b/>
          <w:i/>
          <w:strike w:val="0"/>
          <w:noProof w:val="0"/>
          <w:color w:val="000000"/>
          <w:position w:val="0"/>
          <w:sz w:val="18"/>
          <w:u w:val="single"/>
          <w:vertAlign w:val="baseline"/>
        </w:rPr>
        <w:t>Ocean</w:t>
      </w:r>
      <w:r>
        <w:rPr>
          <w:rFonts w:ascii="arial" w:eastAsia="arial" w:hAnsi="arial" w:cs="arial"/>
          <w:b w:val="0"/>
          <w:i w:val="0"/>
          <w:strike w:val="0"/>
          <w:noProof w:val="0"/>
          <w:color w:val="000000"/>
          <w:position w:val="0"/>
          <w:sz w:val="18"/>
          <w:u w:val="none"/>
          <w:vertAlign w:val="baseline"/>
        </w:rPr>
        <w:t xml:space="preserve"> University of China, Sanya, Qingdao, China, 0000 0001 2152 3263, grid.4422.0,</w:t>
      </w:r>
      <w:hyperlink r:id="rId3" w:history="1">
        <w:r>
          <w:rPr>
            <w:rFonts w:ascii="arial" w:eastAsia="arial" w:hAnsi="arial" w:cs="arial"/>
            <w:b w:val="0"/>
            <w:i/>
            <w:strike w:val="0"/>
            <w:noProof w:val="0"/>
            <w:color w:val="0077CC"/>
            <w:position w:val="0"/>
            <w:sz w:val="18"/>
            <w:u w:val="single"/>
            <w:vertAlign w:val="baseline"/>
          </w:rPr>
          <w:t>https://ror.org/04rdtx186</w:t>
        </w:r>
      </w:hyperlink>
    </w:p>
  </w:footnote>
  <w:footnote w:id="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r>
        <w:rPr>
          <w:rFonts w:ascii="arial" w:eastAsia="arial" w:hAnsi="arial" w:cs="arial"/>
          <w:b w:val="0"/>
          <w:i w:val="0"/>
          <w:strike w:val="0"/>
          <w:noProof w:val="0"/>
          <w:color w:val="000000"/>
          <w:position w:val="0"/>
          <w:sz w:val="18"/>
          <w:u w:val="none"/>
          <w:vertAlign w:val="baseline"/>
        </w:rPr>
        <w:t>, Southern Marine Science and Engineering Guangdong Laboratory (Guangzhou), Guangzhou, , China, , grid.511004.1,</w:t>
      </w:r>
      <w:hyperlink r:id="rId4" w:history="1">
        <w:r>
          <w:rPr>
            <w:rFonts w:ascii="arial" w:eastAsia="arial" w:hAnsi="arial" w:cs="arial"/>
            <w:b w:val="0"/>
            <w:i/>
            <w:strike w:val="0"/>
            <w:noProof w:val="0"/>
            <w:color w:val="0077CC"/>
            <w:position w:val="0"/>
            <w:sz w:val="18"/>
            <w:u w:val="single"/>
            <w:vertAlign w:val="baseline"/>
          </w:rPr>
          <w:t>https://ror.org/00y7mag53</w:t>
        </w:r>
      </w:hyperlink>
    </w:p>
  </w:footnote>
  <w:footnote w:id="7">
    <w:p>
      <w:pPr>
        <w:spacing w:before="120" w:line="240" w:lineRule="atLeast"/>
        <w:jc w:val="both"/>
      </w:pPr>
      <w:r>
        <w:rPr>
          <w:rFonts w:ascii="arial" w:eastAsia="arial" w:hAnsi="arial" w:cs="arial"/>
          <w:b w:val="0"/>
          <w:i w:val="0"/>
          <w:strike w:val="0"/>
          <w:noProof w:val="0"/>
          <w:color w:val="000000"/>
          <w:position w:val="0"/>
          <w:sz w:val="18"/>
          <w:u w:val="none"/>
          <w:vertAlign w:val="superscript"/>
        </w:rPr>
        <w:t>3 </w:t>
      </w:r>
      <w:r>
        <w:rPr>
          <w:rFonts w:ascii="arial" w:eastAsia="arial" w:hAnsi="arial" w:cs="arial"/>
          <w:b w:val="0"/>
          <w:i w:val="0"/>
          <w:strike w:val="0"/>
          <w:noProof w:val="0"/>
          <w:color w:val="000000"/>
          <w:position w:val="0"/>
          <w:sz w:val="18"/>
          <w:u w:val="none"/>
          <w:vertAlign w:val="baseline"/>
        </w:rPr>
        <w:t>Laboratory for Marine Biology and Biotechnology, Qingdao Marine Science and Technology Center, Qingdao, , China, , ,</w:t>
      </w:r>
    </w:p>
  </w:footnote>
  <w:footnote w:id="8">
    <w:p>
      <w:pPr>
        <w:spacing w:before="120" w:line="240" w:lineRule="atLeast"/>
        <w:jc w:val="both"/>
      </w:pPr>
      <w:r>
        <w:rPr>
          <w:rFonts w:ascii="arial" w:eastAsia="arial" w:hAnsi="arial" w:cs="arial"/>
          <w:b w:val="0"/>
          <w:i w:val="0"/>
          <w:strike w:val="0"/>
          <w:noProof w:val="0"/>
          <w:color w:val="000000"/>
          <w:position w:val="0"/>
          <w:sz w:val="18"/>
          <w:u w:val="none"/>
          <w:vertAlign w:val="superscript"/>
        </w:rPr>
        <w:t>1 </w:t>
      </w:r>
      <w:r>
        <w:rPr>
          <w:rFonts w:ascii="arial" w:eastAsia="arial" w:hAnsi="arial" w:cs="arial"/>
          <w:b w:val="0"/>
          <w:i w:val="0"/>
          <w:strike w:val="0"/>
          <w:noProof w:val="0"/>
          <w:color w:val="000000"/>
          <w:position w:val="0"/>
          <w:sz w:val="18"/>
          <w:u w:val="none"/>
          <w:vertAlign w:val="baseline"/>
        </w:rPr>
        <w:t>These authors contributed equally: Xinyao Chang, Wentao Han.</w:t>
      </w:r>
    </w:p>
  </w:footnote>
  <w:footnote w:id="9">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r>
        <w:rPr>
          <w:rFonts w:ascii="arial" w:eastAsia="arial" w:hAnsi="arial" w:cs="arial"/>
          <w:b w:val="0"/>
          <w:i w:val="0"/>
          <w:strike w:val="0"/>
          <w:noProof w:val="0"/>
          <w:color w:val="000000"/>
          <w:position w:val="0"/>
          <w:sz w:val="18"/>
          <w:u w:val="none"/>
          <w:vertAlign w:val="baseline"/>
        </w:rPr>
        <w:t xml:space="preserve">Key Laboratory of Tropical Aquatic Germplasm of Hainan Province &amp; Fang Zongxi Center for Marine Evo-Devo, MOE Key Laboratory of Marine Genetics and Breeding, </w:t>
      </w:r>
      <w:r>
        <w:rPr>
          <w:rFonts w:ascii="arial" w:eastAsia="arial" w:hAnsi="arial" w:cs="arial"/>
          <w:b/>
          <w:i/>
          <w:strike w:val="0"/>
          <w:noProof w:val="0"/>
          <w:color w:val="000000"/>
          <w:position w:val="0"/>
          <w:sz w:val="18"/>
          <w:u w:val="single"/>
          <w:vertAlign w:val="baseline"/>
        </w:rPr>
        <w:t>Ocean</w:t>
      </w:r>
      <w:r>
        <w:rPr>
          <w:rFonts w:ascii="arial" w:eastAsia="arial" w:hAnsi="arial" w:cs="arial"/>
          <w:b w:val="0"/>
          <w:i w:val="0"/>
          <w:strike w:val="0"/>
          <w:noProof w:val="0"/>
          <w:color w:val="000000"/>
          <w:position w:val="0"/>
          <w:sz w:val="18"/>
          <w:u w:val="none"/>
          <w:vertAlign w:val="baseline"/>
        </w:rPr>
        <w:t xml:space="preserve"> University of China, Sanya, Qingdao, China, 0000 0001 2152 3263, grid.4422.0,</w:t>
      </w:r>
      <w:hyperlink r:id="rId5" w:history="1">
        <w:r>
          <w:rPr>
            <w:rFonts w:ascii="arial" w:eastAsia="arial" w:hAnsi="arial" w:cs="arial"/>
            <w:b w:val="0"/>
            <w:i/>
            <w:strike w:val="0"/>
            <w:noProof w:val="0"/>
            <w:color w:val="0077CC"/>
            <w:position w:val="0"/>
            <w:sz w:val="18"/>
            <w:u w:val="single"/>
            <w:vertAlign w:val="baseline"/>
          </w:rPr>
          <w:t>https://ror.org/04rdtx186</w:t>
        </w:r>
      </w:hyperlink>
    </w:p>
  </w:footnote>
  <w:footnote w:id="10">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r>
        <w:rPr>
          <w:rFonts w:ascii="arial" w:eastAsia="arial" w:hAnsi="arial" w:cs="arial"/>
          <w:b w:val="0"/>
          <w:i w:val="0"/>
          <w:strike w:val="0"/>
          <w:noProof w:val="0"/>
          <w:color w:val="000000"/>
          <w:position w:val="0"/>
          <w:sz w:val="18"/>
          <w:u w:val="none"/>
          <w:vertAlign w:val="baseline"/>
        </w:rPr>
        <w:t>, Southern Marine Science and Engineering Guangdong Laboratory (Guangzhou), Guangzhou, , China, , grid.511004.1,</w:t>
      </w:r>
      <w:hyperlink r:id="rId6" w:history="1">
        <w:r>
          <w:rPr>
            <w:rFonts w:ascii="arial" w:eastAsia="arial" w:hAnsi="arial" w:cs="arial"/>
            <w:b w:val="0"/>
            <w:i/>
            <w:strike w:val="0"/>
            <w:noProof w:val="0"/>
            <w:color w:val="0077CC"/>
            <w:position w:val="0"/>
            <w:sz w:val="18"/>
            <w:u w:val="single"/>
            <w:vertAlign w:val="baseline"/>
          </w:rPr>
          <w:t>https://ror.org/00y7mag53</w:t>
        </w:r>
      </w:hyperlink>
    </w:p>
  </w:footnote>
  <w:footnote w:id="11">
    <w:p>
      <w:pPr>
        <w:spacing w:before="120" w:line="240" w:lineRule="atLeast"/>
        <w:jc w:val="both"/>
      </w:pPr>
      <w:r>
        <w:rPr>
          <w:rFonts w:ascii="arial" w:eastAsia="arial" w:hAnsi="arial" w:cs="arial"/>
          <w:b w:val="0"/>
          <w:i w:val="0"/>
          <w:strike w:val="0"/>
          <w:noProof w:val="0"/>
          <w:color w:val="000000"/>
          <w:position w:val="0"/>
          <w:sz w:val="18"/>
          <w:u w:val="none"/>
          <w:vertAlign w:val="superscript"/>
        </w:rPr>
        <w:t>3 </w:t>
      </w:r>
      <w:r>
        <w:rPr>
          <w:rFonts w:ascii="arial" w:eastAsia="arial" w:hAnsi="arial" w:cs="arial"/>
          <w:b w:val="0"/>
          <w:i w:val="0"/>
          <w:strike w:val="0"/>
          <w:noProof w:val="0"/>
          <w:color w:val="000000"/>
          <w:position w:val="0"/>
          <w:sz w:val="18"/>
          <w:u w:val="none"/>
          <w:vertAlign w:val="baseline"/>
        </w:rPr>
        <w:t>Laboratory for Marine Biology and Biotechnology, Qingdao Marine Science and Technology Center, Qingdao, , China, , ,</w:t>
      </w:r>
    </w:p>
  </w:footnote>
  <w:footnote w:id="1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r>
        <w:rPr>
          <w:rFonts w:ascii="arial" w:eastAsia="arial" w:hAnsi="arial" w:cs="arial"/>
          <w:b w:val="0"/>
          <w:i w:val="0"/>
          <w:strike w:val="0"/>
          <w:noProof w:val="0"/>
          <w:color w:val="000000"/>
          <w:position w:val="0"/>
          <w:sz w:val="18"/>
          <w:u w:val="none"/>
          <w:vertAlign w:val="baseline"/>
        </w:rPr>
        <w:t xml:space="preserve">Key Laboratory of Tropical Aquatic Germplasm of Hainan Province &amp; Fang Zongxi Center for Marine Evo-Devo, MOE Key Laboratory of Marine Genetics and Breeding, </w:t>
      </w:r>
      <w:r>
        <w:rPr>
          <w:rFonts w:ascii="arial" w:eastAsia="arial" w:hAnsi="arial" w:cs="arial"/>
          <w:b/>
          <w:i/>
          <w:strike w:val="0"/>
          <w:noProof w:val="0"/>
          <w:color w:val="000000"/>
          <w:position w:val="0"/>
          <w:sz w:val="18"/>
          <w:u w:val="single"/>
          <w:vertAlign w:val="baseline"/>
        </w:rPr>
        <w:t>Ocean</w:t>
      </w:r>
      <w:r>
        <w:rPr>
          <w:rFonts w:ascii="arial" w:eastAsia="arial" w:hAnsi="arial" w:cs="arial"/>
          <w:b w:val="0"/>
          <w:i w:val="0"/>
          <w:strike w:val="0"/>
          <w:noProof w:val="0"/>
          <w:color w:val="000000"/>
          <w:position w:val="0"/>
          <w:sz w:val="18"/>
          <w:u w:val="none"/>
          <w:vertAlign w:val="baseline"/>
        </w:rPr>
        <w:t xml:space="preserve"> University of China, Sanya, Qingdao, China, 0000 0001 2152 3263, grid.4422.0,</w:t>
      </w:r>
      <w:hyperlink r:id="rId7" w:history="1">
        <w:r>
          <w:rPr>
            <w:rFonts w:ascii="arial" w:eastAsia="arial" w:hAnsi="arial" w:cs="arial"/>
            <w:b w:val="0"/>
            <w:i/>
            <w:strike w:val="0"/>
            <w:noProof w:val="0"/>
            <w:color w:val="0077CC"/>
            <w:position w:val="0"/>
            <w:sz w:val="18"/>
            <w:u w:val="single"/>
            <w:vertAlign w:val="baseline"/>
          </w:rPr>
          <w:t>https://ror.org/04rdtx186</w:t>
        </w:r>
      </w:hyperlink>
    </w:p>
  </w:footnote>
  <w:footnote w:id="1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r>
        <w:rPr>
          <w:rFonts w:ascii="arial" w:eastAsia="arial" w:hAnsi="arial" w:cs="arial"/>
          <w:b w:val="0"/>
          <w:i w:val="0"/>
          <w:strike w:val="0"/>
          <w:noProof w:val="0"/>
          <w:color w:val="000000"/>
          <w:position w:val="0"/>
          <w:sz w:val="18"/>
          <w:u w:val="none"/>
          <w:vertAlign w:val="baseline"/>
        </w:rPr>
        <w:t>, Southern Marine Science and Engineering Guangdong Laboratory (Guangzhou), Guangzhou, , China, , grid.511004.1,</w:t>
      </w:r>
      <w:hyperlink r:id="rId8" w:history="1">
        <w:r>
          <w:rPr>
            <w:rFonts w:ascii="arial" w:eastAsia="arial" w:hAnsi="arial" w:cs="arial"/>
            <w:b w:val="0"/>
            <w:i/>
            <w:strike w:val="0"/>
            <w:noProof w:val="0"/>
            <w:color w:val="0077CC"/>
            <w:position w:val="0"/>
            <w:sz w:val="18"/>
            <w:u w:val="single"/>
            <w:vertAlign w:val="baseline"/>
          </w:rPr>
          <w:t>https://ror.org/00y7mag53</w:t>
        </w:r>
      </w:hyperlink>
    </w:p>
  </w:footnote>
  <w:footnote w:id="1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r>
        <w:rPr>
          <w:rFonts w:ascii="arial" w:eastAsia="arial" w:hAnsi="arial" w:cs="arial"/>
          <w:b w:val="0"/>
          <w:i w:val="0"/>
          <w:strike w:val="0"/>
          <w:noProof w:val="0"/>
          <w:color w:val="000000"/>
          <w:position w:val="0"/>
          <w:sz w:val="18"/>
          <w:u w:val="none"/>
          <w:vertAlign w:val="baseline"/>
        </w:rPr>
        <w:t>, Southern Marine Science and Engineering Guangdong Laboratory (Guangzhou), Guangzhou, , China, , grid.511004.1,</w:t>
      </w:r>
      <w:hyperlink r:id="rId9" w:history="1">
        <w:r>
          <w:rPr>
            <w:rFonts w:ascii="arial" w:eastAsia="arial" w:hAnsi="arial" w:cs="arial"/>
            <w:b w:val="0"/>
            <w:i/>
            <w:strike w:val="0"/>
            <w:noProof w:val="0"/>
            <w:color w:val="0077CC"/>
            <w:position w:val="0"/>
            <w:sz w:val="18"/>
            <w:u w:val="single"/>
            <w:vertAlign w:val="baseline"/>
          </w:rPr>
          <w:t>https://ror.org/00y7mag53</w:t>
        </w:r>
      </w:hyperlink>
    </w:p>
  </w:footnote>
  <w:footnote w:id="1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r>
        <w:rPr>
          <w:rFonts w:ascii="arial" w:eastAsia="arial" w:hAnsi="arial" w:cs="arial"/>
          <w:b w:val="0"/>
          <w:i w:val="0"/>
          <w:strike w:val="0"/>
          <w:noProof w:val="0"/>
          <w:color w:val="000000"/>
          <w:position w:val="0"/>
          <w:sz w:val="18"/>
          <w:u w:val="none"/>
          <w:vertAlign w:val="baseline"/>
        </w:rPr>
        <w:t xml:space="preserve">Key Laboratory of Tropical Aquatic Germplasm of Hainan Province &amp; Fang Zongxi Center for Marine Evo-Devo, MOE Key Laboratory of Marine Genetics and Breeding, </w:t>
      </w:r>
      <w:r>
        <w:rPr>
          <w:rFonts w:ascii="arial" w:eastAsia="arial" w:hAnsi="arial" w:cs="arial"/>
          <w:b/>
          <w:i/>
          <w:strike w:val="0"/>
          <w:noProof w:val="0"/>
          <w:color w:val="000000"/>
          <w:position w:val="0"/>
          <w:sz w:val="18"/>
          <w:u w:val="single"/>
          <w:vertAlign w:val="baseline"/>
        </w:rPr>
        <w:t>Ocean</w:t>
      </w:r>
      <w:r>
        <w:rPr>
          <w:rFonts w:ascii="arial" w:eastAsia="arial" w:hAnsi="arial" w:cs="arial"/>
          <w:b w:val="0"/>
          <w:i w:val="0"/>
          <w:strike w:val="0"/>
          <w:noProof w:val="0"/>
          <w:color w:val="000000"/>
          <w:position w:val="0"/>
          <w:sz w:val="18"/>
          <w:u w:val="none"/>
          <w:vertAlign w:val="baseline"/>
        </w:rPr>
        <w:t xml:space="preserve"> University of China, Sanya, Qingdao, China, 0000 0001 2152 3263, grid.4422.0,</w:t>
      </w:r>
      <w:hyperlink r:id="rId10" w:history="1">
        <w:r>
          <w:rPr>
            <w:rFonts w:ascii="arial" w:eastAsia="arial" w:hAnsi="arial" w:cs="arial"/>
            <w:b w:val="0"/>
            <w:i/>
            <w:strike w:val="0"/>
            <w:noProof w:val="0"/>
            <w:color w:val="0077CC"/>
            <w:position w:val="0"/>
            <w:sz w:val="18"/>
            <w:u w:val="single"/>
            <w:vertAlign w:val="baseline"/>
          </w:rPr>
          <w:t>https://ror.org/04rdtx186</w:t>
        </w:r>
      </w:hyperlink>
    </w:p>
  </w:footnote>
  <w:footnote w:id="1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r>
        <w:rPr>
          <w:rFonts w:ascii="arial" w:eastAsia="arial" w:hAnsi="arial" w:cs="arial"/>
          <w:b w:val="0"/>
          <w:i w:val="0"/>
          <w:strike w:val="0"/>
          <w:noProof w:val="0"/>
          <w:color w:val="000000"/>
          <w:position w:val="0"/>
          <w:sz w:val="18"/>
          <w:u w:val="none"/>
          <w:vertAlign w:val="baseline"/>
        </w:rPr>
        <w:t xml:space="preserve">Key Laboratory of Tropical Aquatic Germplasm of Hainan Province &amp; Fang Zongxi Center for Marine Evo-Devo, MOE Key Laboratory of Marine Genetics and Breeding, </w:t>
      </w:r>
      <w:r>
        <w:rPr>
          <w:rFonts w:ascii="arial" w:eastAsia="arial" w:hAnsi="arial" w:cs="arial"/>
          <w:b/>
          <w:i/>
          <w:strike w:val="0"/>
          <w:noProof w:val="0"/>
          <w:color w:val="000000"/>
          <w:position w:val="0"/>
          <w:sz w:val="18"/>
          <w:u w:val="single"/>
          <w:vertAlign w:val="baseline"/>
        </w:rPr>
        <w:t>Ocean</w:t>
      </w:r>
      <w:r>
        <w:rPr>
          <w:rFonts w:ascii="arial" w:eastAsia="arial" w:hAnsi="arial" w:cs="arial"/>
          <w:b w:val="0"/>
          <w:i w:val="0"/>
          <w:strike w:val="0"/>
          <w:noProof w:val="0"/>
          <w:color w:val="000000"/>
          <w:position w:val="0"/>
          <w:sz w:val="18"/>
          <w:u w:val="none"/>
          <w:vertAlign w:val="baseline"/>
        </w:rPr>
        <w:t xml:space="preserve"> University of China, Sanya, Qingdao, China, 0000 0001 2152 3263, grid.4422.0,</w:t>
      </w:r>
      <w:hyperlink r:id="rId11" w:history="1">
        <w:r>
          <w:rPr>
            <w:rFonts w:ascii="arial" w:eastAsia="arial" w:hAnsi="arial" w:cs="arial"/>
            <w:b w:val="0"/>
            <w:i/>
            <w:strike w:val="0"/>
            <w:noProof w:val="0"/>
            <w:color w:val="0077CC"/>
            <w:position w:val="0"/>
            <w:sz w:val="18"/>
            <w:u w:val="single"/>
            <w:vertAlign w:val="baseline"/>
          </w:rPr>
          <w:t>https://ror.org/04rdtx186</w:t>
        </w:r>
      </w:hyperlink>
    </w:p>
  </w:footnote>
  <w:footnote w:id="1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r>
        <w:rPr>
          <w:rFonts w:ascii="arial" w:eastAsia="arial" w:hAnsi="arial" w:cs="arial"/>
          <w:b w:val="0"/>
          <w:i w:val="0"/>
          <w:strike w:val="0"/>
          <w:noProof w:val="0"/>
          <w:color w:val="000000"/>
          <w:position w:val="0"/>
          <w:sz w:val="18"/>
          <w:u w:val="none"/>
          <w:vertAlign w:val="baseline"/>
        </w:rPr>
        <w:t>, Southern Marine Science and Engineering Guangdong Laboratory (Guangzhou), Guangzhou, , China, , grid.511004.1,</w:t>
      </w:r>
      <w:hyperlink r:id="rId12" w:history="1">
        <w:r>
          <w:rPr>
            <w:rFonts w:ascii="arial" w:eastAsia="arial" w:hAnsi="arial" w:cs="arial"/>
            <w:b w:val="0"/>
            <w:i/>
            <w:strike w:val="0"/>
            <w:noProof w:val="0"/>
            <w:color w:val="0077CC"/>
            <w:position w:val="0"/>
            <w:sz w:val="18"/>
            <w:u w:val="single"/>
            <w:vertAlign w:val="baseline"/>
          </w:rPr>
          <w:t>https://ror.org/00y7mag53</w:t>
        </w:r>
      </w:hyperlink>
    </w:p>
  </w:footnote>
  <w:footnote w:id="18">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r>
        <w:rPr>
          <w:rFonts w:ascii="arial" w:eastAsia="arial" w:hAnsi="arial" w:cs="arial"/>
          <w:b w:val="0"/>
          <w:i w:val="0"/>
          <w:strike w:val="0"/>
          <w:noProof w:val="0"/>
          <w:color w:val="000000"/>
          <w:position w:val="0"/>
          <w:sz w:val="18"/>
          <w:u w:val="none"/>
          <w:vertAlign w:val="baseline"/>
        </w:rPr>
        <w:t>, Southern Marine Science and Engineering Guangdong Laboratory (Guangzhou), Guangzhou, , China, , grid.511004.1,</w:t>
      </w:r>
      <w:hyperlink r:id="rId13" w:history="1">
        <w:r>
          <w:rPr>
            <w:rFonts w:ascii="arial" w:eastAsia="arial" w:hAnsi="arial" w:cs="arial"/>
            <w:b w:val="0"/>
            <w:i/>
            <w:strike w:val="0"/>
            <w:noProof w:val="0"/>
            <w:color w:val="0077CC"/>
            <w:position w:val="0"/>
            <w:sz w:val="18"/>
            <w:u w:val="single"/>
            <w:vertAlign w:val="baseline"/>
          </w:rPr>
          <w:t>https://ror.org/00y7mag53</w:t>
        </w:r>
      </w:hyperlink>
    </w:p>
  </w:footnote>
  <w:footnote w:id="19">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r>
        <w:rPr>
          <w:rFonts w:ascii="arial" w:eastAsia="arial" w:hAnsi="arial" w:cs="arial"/>
          <w:b w:val="0"/>
          <w:i w:val="0"/>
          <w:strike w:val="0"/>
          <w:noProof w:val="0"/>
          <w:color w:val="000000"/>
          <w:position w:val="0"/>
          <w:sz w:val="18"/>
          <w:u w:val="none"/>
          <w:vertAlign w:val="baseline"/>
        </w:rPr>
        <w:t xml:space="preserve">Key Laboratory of Tropical Aquatic Germplasm of Hainan Province &amp; Fang Zongxi Center for Marine Evo-Devo, MOE Key Laboratory of Marine Genetics and Breeding, </w:t>
      </w:r>
      <w:r>
        <w:rPr>
          <w:rFonts w:ascii="arial" w:eastAsia="arial" w:hAnsi="arial" w:cs="arial"/>
          <w:b/>
          <w:i/>
          <w:strike w:val="0"/>
          <w:noProof w:val="0"/>
          <w:color w:val="000000"/>
          <w:position w:val="0"/>
          <w:sz w:val="18"/>
          <w:u w:val="single"/>
          <w:vertAlign w:val="baseline"/>
        </w:rPr>
        <w:t>Ocean</w:t>
      </w:r>
      <w:r>
        <w:rPr>
          <w:rFonts w:ascii="arial" w:eastAsia="arial" w:hAnsi="arial" w:cs="arial"/>
          <w:b w:val="0"/>
          <w:i w:val="0"/>
          <w:strike w:val="0"/>
          <w:noProof w:val="0"/>
          <w:color w:val="000000"/>
          <w:position w:val="0"/>
          <w:sz w:val="18"/>
          <w:u w:val="none"/>
          <w:vertAlign w:val="baseline"/>
        </w:rPr>
        <w:t xml:space="preserve"> University of China, Sanya, Qingdao, China, 0000 0001 2152 3263, grid.4422.0,</w:t>
      </w:r>
      <w:hyperlink r:id="rId14" w:history="1">
        <w:r>
          <w:rPr>
            <w:rFonts w:ascii="arial" w:eastAsia="arial" w:hAnsi="arial" w:cs="arial"/>
            <w:b w:val="0"/>
            <w:i/>
            <w:strike w:val="0"/>
            <w:noProof w:val="0"/>
            <w:color w:val="0077CC"/>
            <w:position w:val="0"/>
            <w:sz w:val="18"/>
            <w:u w:val="single"/>
            <w:vertAlign w:val="baseline"/>
          </w:rPr>
          <w:t>https://ror.org/04rdtx186</w:t>
        </w:r>
      </w:hyperlink>
    </w:p>
  </w:footnote>
  <w:footnote w:id="20">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r>
        <w:rPr>
          <w:rFonts w:ascii="arial" w:eastAsia="arial" w:hAnsi="arial" w:cs="arial"/>
          <w:b w:val="0"/>
          <w:i w:val="0"/>
          <w:strike w:val="0"/>
          <w:noProof w:val="0"/>
          <w:color w:val="000000"/>
          <w:position w:val="0"/>
          <w:sz w:val="18"/>
          <w:u w:val="none"/>
          <w:vertAlign w:val="baseline"/>
        </w:rPr>
        <w:t>, Southern Marine Science and Engineering Guangdong Laboratory (Guangzhou), Guangzhou, , China, , grid.511004.1,</w:t>
      </w:r>
      <w:hyperlink r:id="rId15" w:history="1">
        <w:r>
          <w:rPr>
            <w:rFonts w:ascii="arial" w:eastAsia="arial" w:hAnsi="arial" w:cs="arial"/>
            <w:b w:val="0"/>
            <w:i/>
            <w:strike w:val="0"/>
            <w:noProof w:val="0"/>
            <w:color w:val="0077CC"/>
            <w:position w:val="0"/>
            <w:sz w:val="18"/>
            <w:u w:val="single"/>
            <w:vertAlign w:val="baseline"/>
          </w:rPr>
          <w:t>https://ror.org/00y7mag53</w:t>
        </w:r>
      </w:hyperlink>
    </w:p>
  </w:footnote>
  <w:footnote w:id="21">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r>
        <w:rPr>
          <w:rFonts w:ascii="arial" w:eastAsia="arial" w:hAnsi="arial" w:cs="arial"/>
          <w:b w:val="0"/>
          <w:i w:val="0"/>
          <w:strike w:val="0"/>
          <w:noProof w:val="0"/>
          <w:color w:val="000000"/>
          <w:position w:val="0"/>
          <w:sz w:val="18"/>
          <w:u w:val="none"/>
          <w:vertAlign w:val="baseline"/>
        </w:rPr>
        <w:t xml:space="preserve">Key Laboratory of Tropical Aquatic Germplasm of Hainan Province &amp; Fang Zongxi Center for Marine Evo-Devo, MOE Key Laboratory of Marine Genetics and Breeding, </w:t>
      </w:r>
      <w:r>
        <w:rPr>
          <w:rFonts w:ascii="arial" w:eastAsia="arial" w:hAnsi="arial" w:cs="arial"/>
          <w:b/>
          <w:i/>
          <w:strike w:val="0"/>
          <w:noProof w:val="0"/>
          <w:color w:val="000000"/>
          <w:position w:val="0"/>
          <w:sz w:val="18"/>
          <w:u w:val="single"/>
          <w:vertAlign w:val="baseline"/>
        </w:rPr>
        <w:t>Ocean</w:t>
      </w:r>
      <w:r>
        <w:rPr>
          <w:rFonts w:ascii="arial" w:eastAsia="arial" w:hAnsi="arial" w:cs="arial"/>
          <w:b w:val="0"/>
          <w:i w:val="0"/>
          <w:strike w:val="0"/>
          <w:noProof w:val="0"/>
          <w:color w:val="000000"/>
          <w:position w:val="0"/>
          <w:sz w:val="18"/>
          <w:u w:val="none"/>
          <w:vertAlign w:val="baseline"/>
        </w:rPr>
        <w:t xml:space="preserve"> University of China, Sanya, Qingdao, China, 0000 0001 2152 3263, grid.4422.0,</w:t>
      </w:r>
      <w:hyperlink r:id="rId16" w:history="1">
        <w:r>
          <w:rPr>
            <w:rFonts w:ascii="arial" w:eastAsia="arial" w:hAnsi="arial" w:cs="arial"/>
            <w:b w:val="0"/>
            <w:i/>
            <w:strike w:val="0"/>
            <w:noProof w:val="0"/>
            <w:color w:val="0077CC"/>
            <w:position w:val="0"/>
            <w:sz w:val="18"/>
            <w:u w:val="single"/>
            <w:vertAlign w:val="baseline"/>
          </w:rPr>
          <w:t>https://ror.org/04rdtx186</w:t>
        </w:r>
      </w:hyperlink>
    </w:p>
  </w:footnote>
  <w:footnote w:id="2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r>
        <w:rPr>
          <w:rFonts w:ascii="arial" w:eastAsia="arial" w:hAnsi="arial" w:cs="arial"/>
          <w:b w:val="0"/>
          <w:i w:val="0"/>
          <w:strike w:val="0"/>
          <w:noProof w:val="0"/>
          <w:color w:val="000000"/>
          <w:position w:val="0"/>
          <w:sz w:val="18"/>
          <w:u w:val="none"/>
          <w:vertAlign w:val="baseline"/>
        </w:rPr>
        <w:t>, Southern Marine Science and Engineering Guangdong Laboratory (Guangzhou), Guangzhou, , China, , grid.511004.1,</w:t>
      </w:r>
      <w:hyperlink r:id="rId17" w:history="1">
        <w:r>
          <w:rPr>
            <w:rFonts w:ascii="arial" w:eastAsia="arial" w:hAnsi="arial" w:cs="arial"/>
            <w:b w:val="0"/>
            <w:i/>
            <w:strike w:val="0"/>
            <w:noProof w:val="0"/>
            <w:color w:val="0077CC"/>
            <w:position w:val="0"/>
            <w:sz w:val="18"/>
            <w:u w:val="single"/>
            <w:vertAlign w:val="baseline"/>
          </w:rPr>
          <w:t>https://ror.org/00y7mag53</w:t>
        </w:r>
      </w:hyperlink>
    </w:p>
  </w:footnote>
  <w:footnote w:id="23">
    <w:p>
      <w:pPr>
        <w:spacing w:before="120" w:line="240" w:lineRule="atLeast"/>
        <w:jc w:val="both"/>
      </w:pPr>
      <w:r>
        <w:rPr>
          <w:rFonts w:ascii="arial" w:eastAsia="arial" w:hAnsi="arial" w:cs="arial"/>
          <w:b w:val="0"/>
          <w:i w:val="0"/>
          <w:strike w:val="0"/>
          <w:noProof w:val="0"/>
          <w:color w:val="000000"/>
          <w:position w:val="0"/>
          <w:sz w:val="18"/>
          <w:u w:val="none"/>
          <w:vertAlign w:val="superscript"/>
        </w:rPr>
        <w:t>4 </w:t>
      </w:r>
      <w:r>
        <w:rPr>
          <w:rFonts w:ascii="arial" w:eastAsia="arial" w:hAnsi="arial" w:cs="arial"/>
          <w:b w:val="0"/>
          <w:i w:val="0"/>
          <w:strike w:val="0"/>
          <w:noProof w:val="0"/>
          <w:color w:val="000000"/>
          <w:position w:val="0"/>
          <w:sz w:val="18"/>
          <w:u w:val="none"/>
          <w:vertAlign w:val="baseline"/>
        </w:rPr>
        <w:t>, Hainan South China Sea of Institute Tropical Oceanography, Sanya, , China, , ,</w:t>
      </w:r>
    </w:p>
  </w:footnote>
  <w:footnote w:id="2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 </w:t>
      </w:r>
      <w:hyperlink r:id="rId18" w:history="1">
        <w:r>
          <w:rPr>
            <w:rFonts w:ascii="arial" w:eastAsia="arial" w:hAnsi="arial" w:cs="arial"/>
            <w:b w:val="0"/>
            <w:i/>
            <w:strike w:val="0"/>
            <w:noProof w:val="0"/>
            <w:color w:val="0077CC"/>
            <w:position w:val="0"/>
            <w:sz w:val="18"/>
            <w:u w:val="single"/>
            <w:vertAlign w:val="baseline"/>
          </w:rPr>
          <w:t>chenhong68@vip.163.com</w:t>
        </w:r>
      </w:hyperlink>
    </w:p>
  </w:footnote>
  <w:footnote w:id="2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r>
        <w:rPr>
          <w:rFonts w:ascii="arial" w:eastAsia="arial" w:hAnsi="arial" w:cs="arial"/>
          <w:b w:val="0"/>
          <w:i w:val="0"/>
          <w:strike w:val="0"/>
          <w:noProof w:val="0"/>
          <w:color w:val="000000"/>
          <w:position w:val="0"/>
          <w:sz w:val="18"/>
          <w:u w:val="none"/>
          <w:vertAlign w:val="baseline"/>
        </w:rPr>
        <w:t xml:space="preserve">Key Laboratory of Tropical Aquatic Germplasm of Hainan Province &amp; Fang Zongxi Center for Marine Evo-Devo, MOE Key Laboratory of Marine Genetics and Breeding, </w:t>
      </w:r>
      <w:r>
        <w:rPr>
          <w:rFonts w:ascii="arial" w:eastAsia="arial" w:hAnsi="arial" w:cs="arial"/>
          <w:b/>
          <w:i/>
          <w:strike w:val="0"/>
          <w:noProof w:val="0"/>
          <w:color w:val="000000"/>
          <w:position w:val="0"/>
          <w:sz w:val="18"/>
          <w:u w:val="single"/>
          <w:vertAlign w:val="baseline"/>
        </w:rPr>
        <w:t>Ocean</w:t>
      </w:r>
      <w:r>
        <w:rPr>
          <w:rFonts w:ascii="arial" w:eastAsia="arial" w:hAnsi="arial" w:cs="arial"/>
          <w:b w:val="0"/>
          <w:i w:val="0"/>
          <w:strike w:val="0"/>
          <w:noProof w:val="0"/>
          <w:color w:val="000000"/>
          <w:position w:val="0"/>
          <w:sz w:val="18"/>
          <w:u w:val="none"/>
          <w:vertAlign w:val="baseline"/>
        </w:rPr>
        <w:t xml:space="preserve"> University of China, Sanya, Qingdao, China, 0000 0001 2152 3263, grid.4422.0,</w:t>
      </w:r>
      <w:hyperlink r:id="rId19" w:history="1">
        <w:r>
          <w:rPr>
            <w:rFonts w:ascii="arial" w:eastAsia="arial" w:hAnsi="arial" w:cs="arial"/>
            <w:b w:val="0"/>
            <w:i/>
            <w:strike w:val="0"/>
            <w:noProof w:val="0"/>
            <w:color w:val="0077CC"/>
            <w:position w:val="0"/>
            <w:sz w:val="18"/>
            <w:u w:val="single"/>
            <w:vertAlign w:val="baseline"/>
          </w:rPr>
          <w:t>https://ror.org/04rdtx186</w:t>
        </w:r>
      </w:hyperlink>
    </w:p>
  </w:footnote>
  <w:footnote w:id="2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r>
        <w:rPr>
          <w:rFonts w:ascii="arial" w:eastAsia="arial" w:hAnsi="arial" w:cs="arial"/>
          <w:b w:val="0"/>
          <w:i w:val="0"/>
          <w:strike w:val="0"/>
          <w:noProof w:val="0"/>
          <w:color w:val="000000"/>
          <w:position w:val="0"/>
          <w:sz w:val="18"/>
          <w:u w:val="none"/>
          <w:vertAlign w:val="baseline"/>
        </w:rPr>
        <w:t>, Southern Marine Science and Engineering Guangdong Laboratory (Guangzhou), Guangzhou, , China, , grid.511004.1,</w:t>
      </w:r>
      <w:hyperlink r:id="rId20" w:history="1">
        <w:r>
          <w:rPr>
            <w:rFonts w:ascii="arial" w:eastAsia="arial" w:hAnsi="arial" w:cs="arial"/>
            <w:b w:val="0"/>
            <w:i/>
            <w:strike w:val="0"/>
            <w:noProof w:val="0"/>
            <w:color w:val="0077CC"/>
            <w:position w:val="0"/>
            <w:sz w:val="18"/>
            <w:u w:val="single"/>
            <w:vertAlign w:val="baseline"/>
          </w:rPr>
          <w:t>https://ror.org/00y7mag53</w:t>
        </w:r>
      </w:hyperlink>
    </w:p>
  </w:footnote>
  <w:footnote w:id="27">
    <w:p>
      <w:pPr>
        <w:spacing w:before="120" w:line="240" w:lineRule="atLeast"/>
        <w:jc w:val="both"/>
      </w:pPr>
      <w:r>
        <w:rPr>
          <w:rFonts w:ascii="arial" w:eastAsia="arial" w:hAnsi="arial" w:cs="arial"/>
          <w:b w:val="0"/>
          <w:i w:val="0"/>
          <w:strike w:val="0"/>
          <w:noProof w:val="0"/>
          <w:color w:val="000000"/>
          <w:position w:val="0"/>
          <w:sz w:val="18"/>
          <w:u w:val="none"/>
          <w:vertAlign w:val="superscript"/>
        </w:rPr>
        <w:t>3 </w:t>
      </w:r>
      <w:r>
        <w:rPr>
          <w:rFonts w:ascii="arial" w:eastAsia="arial" w:hAnsi="arial" w:cs="arial"/>
          <w:b w:val="0"/>
          <w:i w:val="0"/>
          <w:strike w:val="0"/>
          <w:noProof w:val="0"/>
          <w:color w:val="000000"/>
          <w:position w:val="0"/>
          <w:sz w:val="18"/>
          <w:u w:val="none"/>
          <w:vertAlign w:val="baseline"/>
        </w:rPr>
        <w:t>Laboratory for Marine Biology and Biotechnology, Qingdao Marine Science and Technology Center, Qingdao, , China, , ,</w:t>
      </w:r>
    </w:p>
  </w:footnote>
  <w:footnote w:id="28">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 </w:t>
      </w:r>
      <w:hyperlink r:id="rId21" w:history="1">
        <w:r>
          <w:rPr>
            <w:rFonts w:ascii="arial" w:eastAsia="arial" w:hAnsi="arial" w:cs="arial"/>
            <w:b w:val="0"/>
            <w:i/>
            <w:strike w:val="0"/>
            <w:noProof w:val="0"/>
            <w:color w:val="0077CC"/>
            <w:position w:val="0"/>
            <w:sz w:val="18"/>
            <w:u w:val="single"/>
            <w:vertAlign w:val="baseline"/>
          </w:rPr>
          <w:t>swang@ouc.edu.cn</w:t>
        </w:r>
      </w:hyperlink>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Re-annotation improved large-scale assembly of the reef-building coral Acropora intermedia</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genomescope.org" TargetMode="External" /><Relationship Id="rId11" Type="http://schemas.openxmlformats.org/officeDocument/2006/relationships/hyperlink" Target="https://github.com/hanwnetao/snailplot-assembly-stats" TargetMode="External" /><Relationship Id="rId12" Type="http://schemas.openxmlformats.org/officeDocument/2006/relationships/hyperlink" Target="https://identifiers.org/ncbi/insdc.sra:SRP566323" TargetMode="External" /><Relationship Id="rId13" Type="http://schemas.openxmlformats.org/officeDocument/2006/relationships/hyperlink" Target="https://identifiers.org/ncbi/insdc.gca:GCA_048544155.1" TargetMode="External" /><Relationship Id="rId14" Type="http://schemas.openxmlformats.org/officeDocument/2006/relationships/hyperlink" Target="https://doi.org/10.1201/9781003217503-10" TargetMode="External" /><Relationship Id="rId15" Type="http://schemas.openxmlformats.org/officeDocument/2006/relationships/hyperlink" Target="https://doi.org/10.1016/j.cub.2025.05.038" TargetMode="External" /><Relationship Id="rId16" Type="http://schemas.openxmlformats.org/officeDocument/2006/relationships/hyperlink" Target="https://doi.org/10.1111/mec.17615" TargetMode="External" /><Relationship Id="rId17" Type="http://schemas.openxmlformats.org/officeDocument/2006/relationships/hyperlink" Target="https://doi.org/10.1093/dnares/dsaf017" TargetMode="External" /><Relationship Id="rId18" Type="http://schemas.openxmlformats.org/officeDocument/2006/relationships/hyperlink" Target="https://doi.org/10.1016/0307-4412(83)90068-7" TargetMode="External" /><Relationship Id="rId19" Type="http://schemas.openxmlformats.org/officeDocument/2006/relationships/hyperlink" Target="http://www.genome.org/cgi/doi/10.1101/gr.214270.116" TargetMode="External" /><Relationship Id="rId2" Type="http://schemas.openxmlformats.org/officeDocument/2006/relationships/settings" Target="settings.xml" /><Relationship Id="rId20" Type="http://schemas.openxmlformats.org/officeDocument/2006/relationships/hyperlink" Target="https://identifiers.org/ncbi/insdc.gca:GCA_048544155.1" TargetMode="External" /><Relationship Id="rId21" Type="http://schemas.openxmlformats.org/officeDocument/2006/relationships/theme" Target="theme/theme1.xml" /><Relationship Id="rId22" Type="http://schemas.openxmlformats.org/officeDocument/2006/relationships/styles" Target="style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hyperlink" Target="https://advance.lexis.com/api/document?collection=news&amp;id=urn:contentItem:6GM1-F2Y3-RSBN-P0BP-00000-00&amp;context=1519360" TargetMode="External" /><Relationship Id="rId9" Type="http://schemas.openxmlformats.org/officeDocument/2006/relationships/hyperlink" Target="https://www.pacb.com/support/software-downloads/"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ror.org/04rdtx186" TargetMode="External" /><Relationship Id="rId10" Type="http://schemas.openxmlformats.org/officeDocument/2006/relationships/hyperlink" Target="https://ror.org/04rdtx186" TargetMode="External" /><Relationship Id="rId11" Type="http://schemas.openxmlformats.org/officeDocument/2006/relationships/hyperlink" Target="https://ror.org/04rdtx186" TargetMode="External" /><Relationship Id="rId12" Type="http://schemas.openxmlformats.org/officeDocument/2006/relationships/hyperlink" Target="https://ror.org/00y7mag53" TargetMode="External" /><Relationship Id="rId13" Type="http://schemas.openxmlformats.org/officeDocument/2006/relationships/hyperlink" Target="https://ror.org/00y7mag53" TargetMode="External" /><Relationship Id="rId14" Type="http://schemas.openxmlformats.org/officeDocument/2006/relationships/hyperlink" Target="https://ror.org/04rdtx186" TargetMode="External" /><Relationship Id="rId15" Type="http://schemas.openxmlformats.org/officeDocument/2006/relationships/hyperlink" Target="https://ror.org/00y7mag53" TargetMode="External" /><Relationship Id="rId16" Type="http://schemas.openxmlformats.org/officeDocument/2006/relationships/hyperlink" Target="https://ror.org/04rdtx186" TargetMode="External" /><Relationship Id="rId17" Type="http://schemas.openxmlformats.org/officeDocument/2006/relationships/hyperlink" Target="https://ror.org/00y7mag53" TargetMode="External" /><Relationship Id="rId18" Type="http://schemas.openxmlformats.org/officeDocument/2006/relationships/hyperlink" Target="mailto:chenhong68@vip.163.com" TargetMode="External" /><Relationship Id="rId19" Type="http://schemas.openxmlformats.org/officeDocument/2006/relationships/hyperlink" Target="https://ror.org/04rdtx186" TargetMode="External" /><Relationship Id="rId2" Type="http://schemas.openxmlformats.org/officeDocument/2006/relationships/hyperlink" Target="https://ror.org/00y7mag53" TargetMode="External" /><Relationship Id="rId20" Type="http://schemas.openxmlformats.org/officeDocument/2006/relationships/hyperlink" Target="https://ror.org/00y7mag53" TargetMode="External" /><Relationship Id="rId21" Type="http://schemas.openxmlformats.org/officeDocument/2006/relationships/hyperlink" Target="mailto:swang@ouc.edu.cn" TargetMode="External" /><Relationship Id="rId3" Type="http://schemas.openxmlformats.org/officeDocument/2006/relationships/hyperlink" Target="https://ror.org/04rdtx186" TargetMode="External" /><Relationship Id="rId4" Type="http://schemas.openxmlformats.org/officeDocument/2006/relationships/hyperlink" Target="https://ror.org/00y7mag53" TargetMode="External" /><Relationship Id="rId5" Type="http://schemas.openxmlformats.org/officeDocument/2006/relationships/hyperlink" Target="https://ror.org/04rdtx186" TargetMode="External" /><Relationship Id="rId6" Type="http://schemas.openxmlformats.org/officeDocument/2006/relationships/hyperlink" Target="https://ror.org/00y7mag53" TargetMode="External" /><Relationship Id="rId7" Type="http://schemas.openxmlformats.org/officeDocument/2006/relationships/hyperlink" Target="https://ror.org/04rdtx186" TargetMode="External" /><Relationship Id="rId8" Type="http://schemas.openxmlformats.org/officeDocument/2006/relationships/hyperlink" Target="https://ror.org/00y7mag53" TargetMode="External" /><Relationship Id="rId9" Type="http://schemas.openxmlformats.org/officeDocument/2006/relationships/hyperlink" Target="https://ror.org/00y7mag53"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Re-annotation improved large-scale assembly of the reef-building coral Acropora intermedia</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59">
    <vt:lpwstr>Doc::urn:hlct:16|contextualFeaturePermID::1519360</vt:lpwstr>
  </property>
  <property fmtid="{D5CDD505-2E9C-101B-9397-08002B2CF9AE}" pid="4" name="LNDeliveryID">
    <vt:lpwstr>283424838</vt:lpwstr>
  </property>
  <property fmtid="{D5CDD505-2E9C-101B-9397-08002B2CF9AE}" pid="5" name="UserPermID">
    <vt:lpwstr>urn:user:PA184731148</vt:lpwstr>
  </property>
</Properties>
</file>