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Interactive effects of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w:t>
        </w:r>
      </w:hyperlink>
      <w:hyperlink r:id="rId10" w:history="1">
        <w:r>
          <w:rPr>
            <w:rFonts w:ascii="arial" w:eastAsia="arial" w:hAnsi="arial" w:cs="arial"/>
            <w:b/>
            <w:i/>
            <w:strike w:val="0"/>
            <w:color w:val="0077CC"/>
            <w:sz w:val="28"/>
            <w:u w:val="single"/>
            <w:vertAlign w:val="baseline"/>
          </w:rPr>
          <w:t>acidification</w:t>
        </w:r>
      </w:hyperlink>
      <w:hyperlink r:id="rId11" w:history="1">
        <w:r>
          <w:rPr>
            <w:rFonts w:ascii="arial" w:eastAsia="arial" w:hAnsi="arial" w:cs="arial"/>
            <w:b/>
            <w:i/>
            <w:strike w:val="0"/>
            <w:color w:val="0077CC"/>
            <w:sz w:val="28"/>
            <w:u w:val="single"/>
            <w:vertAlign w:val="baseline"/>
          </w:rPr>
          <w:t xml:space="preserve"> and warming disrupt calcification and microbiome composition in bryozoans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Communications Biology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2025</w:t>
      </w:r>
    </w:p>
    <w:p>
      <w:pPr>
        <w:keepNext w:val="0"/>
        <w:spacing w:after="0" w:line="240" w:lineRule="atLeast"/>
        <w:ind w:right="0"/>
        <w:jc w:val="both"/>
      </w:pPr>
      <w:bookmarkStart w:id="0" w:name="Bookmark_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8; No. 1; ISSN: 2399-3642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habitat-forming species provide crucial ecosystem functions and services worldwide. Still, the individual and combined long-term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on bryozoan populations, structures, and microbiomes remain unexplored. Here, we investigate the skeletal properties, microbiome shifts, and population trends of two bryozoan species living inside and outside a volcanic CO2 vent, a natural analog to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conditions. We show that bryozoans can acclimatize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by adjusting skeletal properties and maintaining stable microbiomes. However, we document a decrease in microbial genera playing essential functions under acidified conditions. Moreover, we show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exacerbates bryozoan cover loss and mortality caused by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The observed shifts in the microbiome and cover suggest that, despite their morphological plasticity, bryozoan species will be heavily impacted by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conditions, posing a threat to many benthic ecosystems in which they play a pivotal role.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threaten bryozoan populations by altering skeletal properties, disrupting key microbial communities, and increasing mortality, with consequences for the benthic ecosystems they support.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 xml:space="preserve">Global environmental change brings multifaceted impacts to species worldwide1. In the marine realm, two major threats are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The combined effects of these stressors, in particular, threaten marine calcifiers, which build carbonate structures and often are habitat-forming species, such as corals2. Some calcifying species may experience increased skeletal fragility and elevated energetic demands to maintain calcification under reduced pH and increased temperatures. These effects are particularly strong in those species made from more soluble mineral phases, such as aragonite or high Mg-calcite, which are prone to dissolution in acidified conditions3, 4–5. Consequently, even in the most optimistic scenarios, temperatures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are projected to increase and may compromise many calcifying species at multiple levels, resulting in shifts in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functioning6, with adverse effects on other species and ecosystem services (e.g., pharmacological products). A better understanding and ability to predict the response of marine calcifiers is thus more urgent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Assessing responses of marine calcifiers to the multifaceted threats of climate change is challenging, as co-occurring environmental drivers can cause complex responses and sometimes unpredictable responses. Specifically, both drivers (seawater temperature and pH) can interact in synergistic or antagonistic ways—their combined effects being greater or lesser than the sum of their individual effects—or even show neutral responses under certain conditions, as demonstrated in species-specific studies7,8. Phenotypic plasticity, which includes physiological, developmental, mineralogical, and structural morphological adjustments, thus plays a key role in determining the ability of calcifiers to cope with such rapid environmental changes. For instance, species inhabiting dynamic coastal environments characterized by fluctuating pH and temperature regimes often display enhanced tolerance to these stressors. This suggests the potential for acclimatization—reversible, phenotypic adjustment of an individual to environmental change—and even local adaptation, which involves heritable genetic changes that enhance population fitness in specific environments9, 10, 11–12. However, whether such mechanisms can keep pace with the rate and magnitude of projected environmental change remains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host-associated microbiome—comprising bacteria, archaea, microbial eukaryotes, and viruses—is increasingly recognized as a key determinant of host physiology, health, and resilience. These microbial communities contribute to essential functions including nutrient recycling, structural maintenance, and pathogen defense. Their composition is dynamic and can shift in response to environmental changes, potentially impairing these functions and compromising host fitness or its ability to adjust to new environmental conditions—as evidenced in corals undergoing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disease under thermal stress13. However, microbial restructuring may also facilitate host acclimatization and adaptation to changing conditions14. For example, transplantation of corals to elevated temperature environments induced significant microbiome shifts that correlated with enhanced thermotolerance of the holobiont—the host and its associated microbial community—suggesting that microbiome shifts may contribute to the host’s acclimatization capacity15. Despite these insights, the interactive effects of increasing temperature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microbiome structure and function remain largely unexplored. The limited studies available reveal species-specific and often contrasting responses among calcifying species, e.g., ref. 16, highlighting our limited understanding of holobiont sensitivity under projected climate scenarios17.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studies on marine calcifiers are often limited to short-term, single-stressor laboratory assays, which provide valuable mechanistic insights (e.g., on calcification rates or metabolic responses), but they do not fully capture the complexity and variability inherent to natural systems. In contrast, long-term, in situ studies involving multiple co-occurring stressors are less common and often limited to a few taxa3,18, leaving large gaps in our understanding of other key calcifying groups. Expanding these studies to include a broader taxonomic scope and natural exposure systems is essential to assess the acclimatization and adaptive potential of the holobiont under near-future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scenarios.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Bryozoans, a phylum of colonial, filter-feeding aquatic invertebrates, are increasingly recognized as a promising model for studying the combined effects of global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marine calcifiers. Bryozoans are more diverse and widespread–occurring from poles to tropics and from shallow coasts to the deep sea19,20–than more well-studied calcifiers like corals21. Many species are habitat-forming organisms that contribute to sediment production, shoreline protection (e.g., Western Port bryozoan reefs), and even biotechnological applications through the production of bioactive products22,23. Their rich fossil record24 provides an exceptional context for reconstructing evolutionary responses to past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changes25. Unlike many invertebrates, bryozoans can secrete skeletons with either or both mineral forms (calcite and aragonite) of calcium carbonate, with varying Mg-calcite content. This mineralogical variability, influenced by environmental factors, such as pH, temperature, and salinity, as well as biological traits like growth rate24,26,27, though causality has not been definitively established, makes them particularly suitable for studying mineral-based responses to acidification28. Warmer temperatures, for instance, have been shown to correlate with higher Mg incorporation in some bryozoans, increasing skeletal solubility under acidified conditions29. Despite their potential as model holobionts to study the effects of global change, studies on their short-term responses to both combined stressors remain scarce30, 31–32, and research on their associated microbiomes is still in its early stages33, 34, 35–36. To date, no studies have examined the long-term, field-based impacts of combined global change drivers on bryozoan holobionts.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Shallow volcanic CO2 vents, such as those in Ischia Island (Naples, Italy), provide a unique natural laboratory to study such long-term effects. These vents naturally reduce seawater pH to levels projected by 2100, while maintaining other physicochemical parameters within natural ranges2,37. Moreover, their location in the Mediterranean Sea, which is warming 20% faster than the global average38, enables the investigation of the combined effects of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natural populations. These sites serve as analogs to assess holobiont plasticity, resilience, and potential adaptive responses in situ.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study, we investigate two co-occurring bryozoan species with contrasting life-history traits and skeletal properties, the encrusting </w:t>
      </w:r>
      <w:r>
        <w:rPr>
          <w:rFonts w:ascii="arial" w:eastAsia="arial" w:hAnsi="arial" w:cs="arial"/>
          <w:b w:val="0"/>
          <w:i/>
          <w:strike w:val="0"/>
          <w:noProof w:val="0"/>
          <w:color w:val="000000"/>
          <w:position w:val="0"/>
          <w:sz w:val="20"/>
          <w:u w:val="none"/>
          <w:vertAlign w:val="baseline"/>
        </w:rPr>
        <w:t>Pentapora ottomuelleriana</w:t>
      </w:r>
      <w:r>
        <w:rPr>
          <w:rFonts w:ascii="arial" w:eastAsia="arial" w:hAnsi="arial" w:cs="arial"/>
          <w:b w:val="0"/>
          <w:i w:val="0"/>
          <w:strike w:val="0"/>
          <w:noProof w:val="0"/>
          <w:color w:val="000000"/>
          <w:position w:val="0"/>
          <w:sz w:val="20"/>
          <w:u w:val="none"/>
          <w:vertAlign w:val="baseline"/>
        </w:rPr>
        <w:t xml:space="preserve"> (Moll, 1803) and the erect </w:t>
      </w:r>
      <w:r>
        <w:rPr>
          <w:rFonts w:ascii="arial" w:eastAsia="arial" w:hAnsi="arial" w:cs="arial"/>
          <w:b w:val="0"/>
          <w:i/>
          <w:strike w:val="0"/>
          <w:noProof w:val="0"/>
          <w:color w:val="000000"/>
          <w:position w:val="0"/>
          <w:sz w:val="20"/>
          <w:u w:val="none"/>
          <w:vertAlign w:val="baseline"/>
        </w:rPr>
        <w:t>Myriapora truncata</w:t>
      </w:r>
      <w:r>
        <w:rPr>
          <w:rFonts w:ascii="arial" w:eastAsia="arial" w:hAnsi="arial" w:cs="arial"/>
          <w:b w:val="0"/>
          <w:i w:val="0"/>
          <w:strike w:val="0"/>
          <w:noProof w:val="0"/>
          <w:color w:val="000000"/>
          <w:position w:val="0"/>
          <w:sz w:val="20"/>
          <w:u w:val="none"/>
          <w:vertAlign w:val="baseline"/>
        </w:rPr>
        <w:t xml:space="preserve"> (Pallas, 1766). We assess changes in skeletal structure, mineralogy, and microbiome composition in populations inhabiting inside and outside a volcanic CO2 vent on Ischia Island. Additionally, we examine the five-year trajectory of bryozoan cover post-summer of the encrusting species to understand the effects of long-term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its combination with warming. We expected that both bryozoan species living in the volcanic CO2 vent would exhibit signs of phenotypic plasticity through distinct compensatory mechanisms (e.g., mineralogical adjustments) to counter the low pH due to their different life-history traits and skeletal mineralogy32,39,40. In addition, we expected that both species would show host-specific microbiome stability at the low pH site, given the microbiome’s ability to shift its composition to environmental changes quickly14. We also hypothesized that the encrusting species would display signs of stress-related mortality due to low pH and the exceptional thermal conditions experienced in this region during summers, consistent with recent reports from other calcifying species, including bryozoans41. This is the first interdisciplinary study documenting long-term shifts in skeletal structure and microbiome in response to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bryozoan populations that naturally co-occur in volcanic CO2 vents.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Differing compensatory responses to cope with low pH by adjusting skeletal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Mineralogies determined for 12 samples reveal that the encrusting species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used in this study is bimineralic (calcite and aragonite), and the erect species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is entirely calcitic. </w:t>
      </w:r>
      <w:r>
        <w:rPr>
          <w:rFonts w:ascii="arial" w:eastAsia="arial" w:hAnsi="arial" w:cs="arial"/>
          <w:b w:val="0"/>
          <w:i/>
          <w:strike w:val="0"/>
          <w:noProof w:val="0"/>
          <w:color w:val="000000"/>
          <w:position w:val="0"/>
          <w:sz w:val="20"/>
          <w:u w:val="none"/>
          <w:vertAlign w:val="baseline"/>
        </w:rPr>
        <w:t>Pentapora ottomuelleriana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consist of high-Mg calcite (HMC) with a mean Mg-calcite content of 8.90 ± 0.71 mol% (mean ± SD) and intermediate-Mg calcite (IMC) with a mean Mg-calcite content of 5.90 ± 0.42 mol%, respectively (Supplementary Data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CO2 vent,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exhibits a significant decrease in Mg-calcite content (8.33 ± 0.45 mol% vs. 9.47 ± 0.32 mol%;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0.02), carbonate skeleton thickness (0.058 ± 0.003 mm vs 0.065 ± 0.003 mm;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and zooid volume (0.046 ± 0.016 mm2 vs 0.053 ± 0.017 mm2;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(Fig. 1; Supplementary Data 2 and 4). In contrast,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shows an increase in carbonate skeleton thickness at the CO2 vent (0.141 ± 0.010 mm vs 0.080 ± 0.012 mm;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and a decrease in zooid volume (0.110 ± 0.051 mm2 vs 0.126 ± 0.040  mm2;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(Fig. 1; Supplementary Data 3 and 4).Fig.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Micro-CT representative reconstruction of bryozoan species.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Detail 3D image of carbonate skeleton of </w:t>
      </w:r>
      <w:r>
        <w:rPr>
          <w:rFonts w:ascii="arial" w:eastAsia="arial" w:hAnsi="arial" w:cs="arial"/>
          <w:b w:val="0"/>
          <w:i/>
          <w:strike w:val="0"/>
          <w:noProof w:val="0"/>
          <w:color w:val="000000"/>
          <w:position w:val="0"/>
          <w:sz w:val="20"/>
          <w:u w:val="none"/>
          <w:vertAlign w:val="baseline"/>
        </w:rPr>
        <w:t>Pentapora ottomuelleriana</w:t>
      </w:r>
      <w:r>
        <w:rPr>
          <w:rFonts w:ascii="arial" w:eastAsia="arial" w:hAnsi="arial" w:cs="arial"/>
          <w:b w:val="0"/>
          <w:i w:val="0"/>
          <w:strike w:val="0"/>
          <w:noProof w:val="0"/>
          <w:color w:val="000000"/>
          <w:position w:val="0"/>
          <w:sz w:val="20"/>
          <w:u w:val="none"/>
          <w:vertAlign w:val="baseline"/>
        </w:rPr>
        <w:t xml:space="preserve"> (left) and zooid volumes reconstruction (right).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2D thickness map of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from the CO2 vent and the Ambient pH site, respectively.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Detail 3D images of carbonate skeleton of </w:t>
      </w:r>
      <w:r>
        <w:rPr>
          <w:rFonts w:ascii="arial" w:eastAsia="arial" w:hAnsi="arial" w:cs="arial"/>
          <w:b w:val="0"/>
          <w:i/>
          <w:strike w:val="0"/>
          <w:noProof w:val="0"/>
          <w:color w:val="000000"/>
          <w:position w:val="0"/>
          <w:sz w:val="20"/>
          <w:u w:val="none"/>
          <w:vertAlign w:val="baseline"/>
        </w:rPr>
        <w:t>Myriapora truncata</w:t>
      </w:r>
      <w:r>
        <w:rPr>
          <w:rFonts w:ascii="arial" w:eastAsia="arial" w:hAnsi="arial" w:cs="arial"/>
          <w:b w:val="0"/>
          <w:i w:val="0"/>
          <w:strike w:val="0"/>
          <w:noProof w:val="0"/>
          <w:color w:val="000000"/>
          <w:position w:val="0"/>
          <w:sz w:val="20"/>
          <w:u w:val="none"/>
          <w:vertAlign w:val="baseline"/>
        </w:rPr>
        <w:t xml:space="preserve"> (left) with a distal 2D slice and zoid volumes reconstruction (right).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 2D thickness map of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from the CO2 vent and the Ambient pH site.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insights on the identification of bryozoan stable microbial associates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3737 amplicon sequence variants (ASVs) are found to be retained in the dataset after quality filtering and discarding rare ASVs, representing 29 distinct microbial phyla. Community alpha diversity, measured by the Shannon index, is significantly different between the bryozoan microbiome and the surrounding seawater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whereas no significant difference is observed between bryozoan microbiomes from the two sites (two-sample Kolmogorov–Smirnov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Supplementary Fig. 5). Beta-diversity of the bacterial community differs significantly between species and sites (ANOSIM;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(Fig. 2; Supplementary Fig. 6). PCA indicates that differences between species are more pronounced than differences between sites within the same species (Fig. 2). The multivariate homogeneity of dispersion test shows no significant differences in dispersion between sites (</w:t>
      </w:r>
      <w:r>
        <w:rPr>
          <w:rFonts w:ascii="arial" w:eastAsia="arial" w:hAnsi="arial" w:cs="arial"/>
          <w:b w:val="0"/>
          <w:i/>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 = 0.0474,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0.839; Supplementary Fig. 7), indicating that the observed beta-diversity differences are not driven by within-group variability.Fig.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Principal component analysis (PCA) of the microbiome of both bryozoan species at the studied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of similarities (ANOSIM) was used to test for differences in beta-diversity between groups using Aitchison distance and 999 permutations. The beta-diversities of the bacterial communities between species and sites were significant (ANOSIM;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0.001). Seawater samples were excluded from the figure due to the limited number, but are shown in Supplementary Fig. 6 for reference. A multivariate homogeneity of dispersion test confirmed that the observed differences in beta-diversity were not due to unequal dispersion across sites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0.839; Supplementary Fig.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phylum level, the microbiome composition at both sites is found to be mostly composed of Proteobacteria, Bacteroidota, and Planctomycetota (Supplementary Figs. 8 and 9). Within Proteobacteria, the most abundant orders are Cellvibrionales, Rhizobiales, and Rhodobacterales. Among Bacteroidota, Flavobacteriales and Chitinophagales are most prevalent, while within Planctomycetota, Pirellulales dominate.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bryozoan species share nine abundant bacterial genera –BD1-7 clade, </w:t>
      </w:r>
      <w:r>
        <w:rPr>
          <w:rFonts w:ascii="arial" w:eastAsia="arial" w:hAnsi="arial" w:cs="arial"/>
          <w:b w:val="0"/>
          <w:i/>
          <w:strike w:val="0"/>
          <w:noProof w:val="0"/>
          <w:color w:val="000000"/>
          <w:position w:val="0"/>
          <w:sz w:val="20"/>
          <w:u w:val="none"/>
          <w:vertAlign w:val="baseline"/>
        </w:rPr>
        <w:t>Blastopirellula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Arenicella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Aquimarina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Pseudahrensia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Croceitalea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Aquibacter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Subgroup 10</w:t>
      </w:r>
      <w:r>
        <w:rPr>
          <w:rFonts w:ascii="arial" w:eastAsia="arial" w:hAnsi="arial" w:cs="arial"/>
          <w:b w:val="0"/>
          <w:i w:val="0"/>
          <w:strike w:val="0"/>
          <w:noProof w:val="0"/>
          <w:color w:val="000000"/>
          <w:position w:val="0"/>
          <w:sz w:val="20"/>
          <w:u w:val="none"/>
          <w:vertAlign w:val="baseline"/>
        </w:rPr>
        <w:t>– at both sites (Fig. 3). Two dominant bacterial genera, “</w:t>
      </w:r>
      <w:r>
        <w:rPr>
          <w:rFonts w:ascii="arial" w:eastAsia="arial" w:hAnsi="arial" w:cs="arial"/>
          <w:b w:val="0"/>
          <w:i/>
          <w:strike w:val="0"/>
          <w:noProof w:val="0"/>
          <w:color w:val="000000"/>
          <w:position w:val="0"/>
          <w:sz w:val="20"/>
          <w:u w:val="none"/>
          <w:vertAlign w:val="baseline"/>
        </w:rPr>
        <w:t>Candidatus</w:t>
      </w:r>
      <w:r>
        <w:rPr>
          <w:rFonts w:ascii="arial" w:eastAsia="arial" w:hAnsi="arial" w:cs="arial"/>
          <w:b w:val="0"/>
          <w:i w:val="0"/>
          <w:strike w:val="0"/>
          <w:noProof w:val="0"/>
          <w:color w:val="000000"/>
          <w:position w:val="0"/>
          <w:sz w:val="20"/>
          <w:u w:val="none"/>
          <w:vertAlign w:val="baseline"/>
        </w:rPr>
        <w:t xml:space="preserve"> Endobugula” and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are identified, with the former found exclusively in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(Fig. 3).Fig. 3</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Relative abundance of bacterial genera in the microbiome of both bryozoan species at the studied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 code indicates relative abundance, ranging from orange (low abundance) to dark blue (high abundance).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Novel patterns in microbiome shifts in response to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observe a trend towards bacteria involved in organic matter degradation (</w:t>
      </w:r>
      <w:r>
        <w:rPr>
          <w:rFonts w:ascii="arial" w:eastAsia="arial" w:hAnsi="arial" w:cs="arial"/>
          <w:b w:val="0"/>
          <w:i/>
          <w:strike w:val="0"/>
          <w:noProof w:val="0"/>
          <w:color w:val="000000"/>
          <w:position w:val="0"/>
          <w:sz w:val="20"/>
          <w:u w:val="none"/>
          <w:vertAlign w:val="baseline"/>
        </w:rPr>
        <w:t>Lutibacter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Ulvibacter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Zobellia</w:t>
      </w:r>
      <w:r>
        <w:rPr>
          <w:rFonts w:ascii="arial" w:eastAsia="arial" w:hAnsi="arial" w:cs="arial"/>
          <w:b w:val="0"/>
          <w:i w:val="0"/>
          <w:strike w:val="0"/>
          <w:noProof w:val="0"/>
          <w:color w:val="000000"/>
          <w:position w:val="0"/>
          <w:sz w:val="20"/>
          <w:u w:val="none"/>
          <w:vertAlign w:val="baseline"/>
        </w:rPr>
        <w:t xml:space="preserve">; Flavobacteriales) in both species under low pH conditions (Fig. 4). In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sulfate-reducing bacteria, strict anaerobes such as </w:t>
      </w:r>
      <w:r>
        <w:rPr>
          <w:rFonts w:ascii="arial" w:eastAsia="arial" w:hAnsi="arial" w:cs="arial"/>
          <w:b w:val="0"/>
          <w:i/>
          <w:strike w:val="0"/>
          <w:noProof w:val="0"/>
          <w:color w:val="000000"/>
          <w:position w:val="0"/>
          <w:sz w:val="20"/>
          <w:u w:val="none"/>
          <w:vertAlign w:val="baseline"/>
        </w:rPr>
        <w:t>Desulforhopalus</w:t>
      </w:r>
      <w:r>
        <w:rPr>
          <w:rFonts w:ascii="arial" w:eastAsia="arial" w:hAnsi="arial" w:cs="arial"/>
          <w:b w:val="0"/>
          <w:i w:val="0"/>
          <w:strike w:val="0"/>
          <w:noProof w:val="0"/>
          <w:color w:val="000000"/>
          <w:position w:val="0"/>
          <w:sz w:val="20"/>
          <w:u w:val="none"/>
          <w:vertAlign w:val="baseline"/>
        </w:rPr>
        <w:t xml:space="preserve"> (Desulfobulbales) and </w:t>
      </w:r>
      <w:r>
        <w:rPr>
          <w:rFonts w:ascii="arial" w:eastAsia="arial" w:hAnsi="arial" w:cs="arial"/>
          <w:b w:val="0"/>
          <w:i/>
          <w:strike w:val="0"/>
          <w:noProof w:val="0"/>
          <w:color w:val="000000"/>
          <w:position w:val="0"/>
          <w:sz w:val="20"/>
          <w:u w:val="none"/>
          <w:vertAlign w:val="baseline"/>
        </w:rPr>
        <w:t>Desulfofaba</w:t>
      </w:r>
      <w:r>
        <w:rPr>
          <w:rFonts w:ascii="arial" w:eastAsia="arial" w:hAnsi="arial" w:cs="arial"/>
          <w:b w:val="0"/>
          <w:i w:val="0"/>
          <w:strike w:val="0"/>
          <w:noProof w:val="0"/>
          <w:color w:val="000000"/>
          <w:position w:val="0"/>
          <w:sz w:val="20"/>
          <w:u w:val="none"/>
          <w:vertAlign w:val="baseline"/>
        </w:rPr>
        <w:t xml:space="preserve"> (Desulfobacterales) are enriched at the CO2 vent (Fig. 4).Fig. 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Abundance of bacterial genera in the microbiome of both bryozoan species that live in the CO2 vent site versus those that live in Ambient pH site according to ANCOMBC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log fold differences in abundance are shown with SD. A positive log fold change indicates a higher abundance in a bacterial genus in ambient pH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detect species-specific changes in response to low pH conditions in other genera involved in sulfur cycling, such as </w:t>
      </w:r>
      <w:r>
        <w:rPr>
          <w:rFonts w:ascii="arial" w:eastAsia="arial" w:hAnsi="arial" w:cs="arial"/>
          <w:b w:val="0"/>
          <w:i/>
          <w:strike w:val="0"/>
          <w:noProof w:val="0"/>
          <w:color w:val="000000"/>
          <w:position w:val="0"/>
          <w:sz w:val="20"/>
          <w:u w:val="none"/>
          <w:vertAlign w:val="baseline"/>
        </w:rPr>
        <w:t>Alteromonas</w:t>
      </w:r>
      <w:r>
        <w:rPr>
          <w:rFonts w:ascii="arial" w:eastAsia="arial" w:hAnsi="arial" w:cs="arial"/>
          <w:b w:val="0"/>
          <w:i w:val="0"/>
          <w:strike w:val="0"/>
          <w:noProof w:val="0"/>
          <w:color w:val="000000"/>
          <w:position w:val="0"/>
          <w:sz w:val="20"/>
          <w:u w:val="none"/>
          <w:vertAlign w:val="baseline"/>
        </w:rPr>
        <w:t xml:space="preserve"> (Alteromonadales), which is the dominant genus at the CO2 vent in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and is depleted in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(Oceanospirillaes), which is enriched in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and depleted in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at the CO2 vent.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Pseudoalteromonas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Candidatus Entotheonella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Cobetia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Halomonas, Marinobacter, SZB85</w:t>
      </w:r>
      <w:r>
        <w:rPr>
          <w:rFonts w:ascii="arial" w:eastAsia="arial" w:hAnsi="arial" w:cs="arial"/>
          <w:b w:val="0"/>
          <w:i w:val="0"/>
          <w:strike w:val="0"/>
          <w:noProof w:val="0"/>
          <w:color w:val="000000"/>
          <w:position w:val="0"/>
          <w:sz w:val="20"/>
          <w:u w:val="none"/>
          <w:vertAlign w:val="baseline"/>
        </w:rPr>
        <w:t xml:space="preserve"> are significantly depleted in both bryozoan species at the CO2 vent site (Fig. 4). The genus </w:t>
      </w:r>
      <w:r>
        <w:rPr>
          <w:rFonts w:ascii="arial" w:eastAsia="arial" w:hAnsi="arial" w:cs="arial"/>
          <w:b w:val="0"/>
          <w:i/>
          <w:strike w:val="0"/>
          <w:noProof w:val="0"/>
          <w:color w:val="000000"/>
          <w:position w:val="0"/>
          <w:sz w:val="20"/>
          <w:u w:val="none"/>
          <w:vertAlign w:val="baseline"/>
        </w:rPr>
        <w:t>subgroup 10</w:t>
      </w:r>
      <w:r>
        <w:rPr>
          <w:rFonts w:ascii="arial" w:eastAsia="arial" w:hAnsi="arial" w:cs="arial"/>
          <w:b w:val="0"/>
          <w:i w:val="0"/>
          <w:strike w:val="0"/>
          <w:noProof w:val="0"/>
          <w:color w:val="000000"/>
          <w:position w:val="0"/>
          <w:sz w:val="20"/>
          <w:u w:val="none"/>
          <w:vertAlign w:val="baseline"/>
        </w:rPr>
        <w:t xml:space="preserve"> belonging to the phylum Acidobacteriota is also depleted in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at the CO2 vent. </w:t>
      </w:r>
      <w:r>
        <w:rPr>
          <w:rFonts w:ascii="arial" w:eastAsia="arial" w:hAnsi="arial" w:cs="arial"/>
          <w:b w:val="0"/>
          <w:i/>
          <w:strike w:val="0"/>
          <w:noProof w:val="0"/>
          <w:color w:val="000000"/>
          <w:position w:val="0"/>
          <w:sz w:val="20"/>
          <w:u w:val="none"/>
          <w:vertAlign w:val="baseline"/>
        </w:rPr>
        <w:t>Acinetobacter</w:t>
      </w:r>
      <w:r>
        <w:rPr>
          <w:rFonts w:ascii="arial" w:eastAsia="arial" w:hAnsi="arial" w:cs="arial"/>
          <w:b w:val="0"/>
          <w:i w:val="0"/>
          <w:strike w:val="0"/>
          <w:noProof w:val="0"/>
          <w:color w:val="000000"/>
          <w:position w:val="0"/>
          <w:sz w:val="20"/>
          <w:u w:val="none"/>
          <w:vertAlign w:val="baseline"/>
        </w:rPr>
        <w:t xml:space="preserve"> is enriched in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(Fig. 4). In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Halioglobus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Oceanibulbus</w:t>
      </w:r>
      <w:r>
        <w:rPr>
          <w:rFonts w:ascii="arial" w:eastAsia="arial" w:hAnsi="arial" w:cs="arial"/>
          <w:b w:val="0"/>
          <w:i w:val="0"/>
          <w:strike w:val="0"/>
          <w:noProof w:val="0"/>
          <w:color w:val="000000"/>
          <w:position w:val="0"/>
          <w:sz w:val="20"/>
          <w:u w:val="none"/>
          <w:vertAlign w:val="baseline"/>
        </w:rPr>
        <w:t xml:space="preserve"> also increase at the CO2 vent.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i w:val="0"/>
          <w:strike w:val="0"/>
          <w:noProof w:val="0"/>
          <w:color w:val="000000"/>
          <w:position w:val="0"/>
          <w:sz w:val="20"/>
          <w:u w:val="none"/>
          <w:vertAlign w:val="baseline"/>
        </w:rPr>
        <w:t xml:space="preserve"> accelerated bryozoan mortality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model suggests that the increasing seawater temperature, by itself, drove a decline in the total area of bryozoan cover in both studied sites. We also observe that the combined effect of increasing seawater temperature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accelerated this area loss in the CO2 vent (Fig. 5a, b; Supplementary Data 6; Supplementary Fig. 9).Fig. 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Effects of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i w:val="0"/>
          <w:strike w:val="0"/>
          <w:noProof w:val="0"/>
          <w:color w:val="000000"/>
          <w:position w:val="0"/>
          <w:sz w:val="20"/>
          <w:u w:val="none"/>
          <w:vertAlign w:val="baseline"/>
        </w:rPr>
        <w:t xml:space="preserve"> and mean temperature on the total area and necrosis of </w:t>
      </w:r>
      <w:r>
        <w:rPr>
          <w:rFonts w:ascii="arial" w:eastAsia="arial" w:hAnsi="arial" w:cs="arial"/>
          <w:b/>
          <w:i/>
          <w:strike w:val="0"/>
          <w:noProof w:val="0"/>
          <w:color w:val="000000"/>
          <w:position w:val="0"/>
          <w:sz w:val="20"/>
          <w:u w:val="none"/>
          <w:vertAlign w:val="baseline"/>
        </w:rPr>
        <w:t>Pentapora ottomuelleriana.</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Effect of year, mean temperature,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their interactions –including year:</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year:temperature– on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the scaled value of total area (cm2) and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necrosis. The reported values are the highest posterior density median values (circles), with 50% (thickest bars), 80%, and 95% (thinnest bars) uncertainty intervals.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Temporal trends of the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scaled area and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necrosis in the CO2 vent and Ambient pH site. Time is shown as “scaled year”. The lines represent the predictions from the multilevel Bayesian models, where thin lines correspond to the predictions drawn from each of the 250 posterior samples of the model. Thick lines represent the mean outcome of the model. Coastal seawater temperature data from 5 m depth in Ischia between 2012 to 2023 were obtained from the T-MEDNet temperature database (</w:t>
      </w:r>
      <w:hyperlink r:id="rId12" w:history="1">
        <w:r>
          <w:rPr>
            <w:rFonts w:ascii="arial" w:eastAsia="arial" w:hAnsi="arial" w:cs="arial"/>
            <w:b w:val="0"/>
            <w:i/>
            <w:strike w:val="0"/>
            <w:noProof w:val="0"/>
            <w:color w:val="0077CC"/>
            <w:position w:val="0"/>
            <w:sz w:val="20"/>
            <w:u w:val="single"/>
            <w:vertAlign w:val="baseline"/>
          </w:rPr>
          <w:t>www.t-mednet.org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model also suggests the necrosis increased at a faster pace in the CO2 vent site than in the Ambient pH site (Fig. 5c, d; Supplementary Data 7). However, the specific effects of temperature on necrosis remain uncertain, likely due to the limited number of available monitoring data, restricting the model’s ability to isolate temperature-driven responses. These uncertainties underscore the need for caution when interpreting necrosis-related data (Fig. 5c, 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mineralogical and structural results reveal the compensatory responses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may be more complex and distinct than initially expected. At the CO2 vent, the encrusting species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appears to reduce the solubility of its skeleton by incorporating lower Mg-calcite content and reducing its investment in calcification and volume growth to counter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and/or lower Ωc and Ωa saturation states at the CO2 vent (Fig. 1; Supplementary Data 1, 2 and 4), consistent with previous results in other bryozoan species30,42. The production of weaker skeletons under low pH conditions, leading to reduced carbonate thickness, may also increase susceptibility to damage and compromise this species’ long-term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demonstrates an opposing strategy, forming thicker skeletons at the CO2 vent, likely due to energy reallocation to calcification to overcome the decrease in pH (Fig. 1; Supplementary Data 4). Consequently, this process could drive a reduction in zooid volume as energy trade-offs limit overall growth (Supplementary Data 3). The higher investment of energy into calcification supports previous findings, where colonies of the coral species </w:t>
      </w:r>
      <w:r>
        <w:rPr>
          <w:rFonts w:ascii="arial" w:eastAsia="arial" w:hAnsi="arial" w:cs="arial"/>
          <w:b w:val="0"/>
          <w:i/>
          <w:strike w:val="0"/>
          <w:noProof w:val="0"/>
          <w:color w:val="000000"/>
          <w:position w:val="0"/>
          <w:sz w:val="20"/>
          <w:u w:val="none"/>
          <w:vertAlign w:val="baseline"/>
        </w:rPr>
        <w:t>Astroides calycularis</w:t>
      </w:r>
      <w:r>
        <w:rPr>
          <w:rFonts w:ascii="arial" w:eastAsia="arial" w:hAnsi="arial" w:cs="arial"/>
          <w:b w:val="0"/>
          <w:i w:val="0"/>
          <w:strike w:val="0"/>
          <w:noProof w:val="0"/>
          <w:color w:val="000000"/>
          <w:position w:val="0"/>
          <w:sz w:val="20"/>
          <w:u w:val="none"/>
          <w:vertAlign w:val="baseline"/>
        </w:rPr>
        <w:t xml:space="preserve">, which naturally co-occur at the studied sites, also experienced a shift to less porous and denser skeletons at the CO2 vent site37. In addition, the calcitic and IMC skeleton of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is potentially less soluble than the bimineralic, HMC skeleton of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(Supplementary Data 1), which could confer to pH changes and contributes to explaining why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did not exhibit significant mineralogical changes between sites. Organisms with slow calcification/growth rates, like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may possess traits, such as lower metabolism rates that confer increased resilience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–an observation consistent with patterns seen in other marine calcifiers, including the scleractinian corals </w:t>
      </w:r>
      <w:r>
        <w:rPr>
          <w:rFonts w:ascii="arial" w:eastAsia="arial" w:hAnsi="arial" w:cs="arial"/>
          <w:b w:val="0"/>
          <w:i/>
          <w:strike w:val="0"/>
          <w:noProof w:val="0"/>
          <w:color w:val="000000"/>
          <w:position w:val="0"/>
          <w:sz w:val="20"/>
          <w:u w:val="none"/>
          <w:vertAlign w:val="baseline"/>
        </w:rPr>
        <w:t>Porites astreoides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Siderastrea siderea</w:t>
      </w:r>
      <w:r>
        <w:rPr>
          <w:rFonts w:ascii="arial" w:eastAsia="arial" w:hAnsi="arial" w:cs="arial"/>
          <w:b w:val="0"/>
          <w:i w:val="0"/>
          <w:strike w:val="0"/>
          <w:noProof w:val="0"/>
          <w:color w:val="000000"/>
          <w:position w:val="0"/>
          <w:sz w:val="20"/>
          <w:u w:val="none"/>
          <w:vertAlign w:val="baseline"/>
        </w:rPr>
        <w:t xml:space="preserve">43, as well as the red abalone </w:t>
      </w:r>
      <w:r>
        <w:rPr>
          <w:rFonts w:ascii="arial" w:eastAsia="arial" w:hAnsi="arial" w:cs="arial"/>
          <w:b w:val="0"/>
          <w:i/>
          <w:strike w:val="0"/>
          <w:noProof w:val="0"/>
          <w:color w:val="000000"/>
          <w:position w:val="0"/>
          <w:sz w:val="20"/>
          <w:u w:val="none"/>
          <w:vertAlign w:val="baseline"/>
        </w:rPr>
        <w:t>Haliotis rufescens</w:t>
      </w:r>
      <w:r>
        <w:rPr>
          <w:rFonts w:ascii="arial" w:eastAsia="arial" w:hAnsi="arial" w:cs="arial"/>
          <w:b w:val="0"/>
          <w:i w:val="0"/>
          <w:strike w:val="0"/>
          <w:noProof w:val="0"/>
          <w:color w:val="000000"/>
          <w:position w:val="0"/>
          <w:sz w:val="20"/>
          <w:u w:val="none"/>
          <w:vertAlign w:val="baseline"/>
        </w:rPr>
        <w:t xml:space="preserve">44. Supporting this explanation,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has shown higher thermal resistance compared to the faster-growing </w:t>
      </w:r>
      <w:r>
        <w:rPr>
          <w:rFonts w:ascii="arial" w:eastAsia="arial" w:hAnsi="arial" w:cs="arial"/>
          <w:b w:val="0"/>
          <w:i/>
          <w:strike w:val="0"/>
          <w:noProof w:val="0"/>
          <w:color w:val="000000"/>
          <w:position w:val="0"/>
          <w:sz w:val="20"/>
          <w:u w:val="none"/>
          <w:vertAlign w:val="baseline"/>
        </w:rPr>
        <w:t>P. fascialis</w:t>
      </w:r>
      <w:r>
        <w:rPr>
          <w:rFonts w:ascii="arial" w:eastAsia="arial" w:hAnsi="arial" w:cs="arial"/>
          <w:b w:val="0"/>
          <w:i w:val="0"/>
          <w:strike w:val="0"/>
          <w:noProof w:val="0"/>
          <w:color w:val="000000"/>
          <w:position w:val="0"/>
          <w:sz w:val="20"/>
          <w:u w:val="none"/>
          <w:vertAlign w:val="baseline"/>
        </w:rPr>
        <w:t>31, yet, as each growth habit is represented by only one species in our study, such interpretations remain tentative. Future research should disentangle the influence of life-history traits, phylogenetic constraints, and environmental conditions on bryozoan vulnerability.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best of our knowledge, this study provides the first microbiome characterization of these two bryozoan species and among the first in the phylum33, 34, 35–36. These results offer insights into identifying bryozoan-stable microbial associates and their potential functions within both calcifying holobionts. Notably,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did not significantly affect microbial alpha diversity in either bryozoan species. This contrasts with findings in some coral species, where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has been shown to reduce microbial alpha diversity, likely due to a diminished ability to regulate and/or exclude incoming microbial taxa from the surrounding environment13,45. While beta diversity differed significantly between species and sites, PCA showed that microbial community is more strongly influenced by host species than by site—that is, interspecific differences exceed intraspecific variation across sites. This pattern suggests a stable and host-specific core microbiome, underscoring the tight association between microbial communities and their bryozoan hosts. In addition, despite differences in beta diversity, microbiomes from both bryozoan species exhibit similar directional shifts under future pH conditions (Fig. 2; Supplementary Fig. 6), indicating a shared response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Altogether, these findings thus suggest that the microbial communities of both bryozoan species are stable and may be acclimatized or adapted to projected future pH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both sites, Proteobacteria dominated microbiomes (Supplementary Figs. 8 and 9), as previously found in the bryozoan species </w:t>
      </w:r>
      <w:r>
        <w:rPr>
          <w:rFonts w:ascii="arial" w:eastAsia="arial" w:hAnsi="arial" w:cs="arial"/>
          <w:b w:val="0"/>
          <w:i/>
          <w:strike w:val="0"/>
          <w:noProof w:val="0"/>
          <w:color w:val="000000"/>
          <w:position w:val="0"/>
          <w:sz w:val="20"/>
          <w:u w:val="none"/>
          <w:vertAlign w:val="baseline"/>
        </w:rPr>
        <w:t>Bugula neritina</w:t>
      </w:r>
      <w:r>
        <w:rPr>
          <w:rFonts w:ascii="arial" w:eastAsia="arial" w:hAnsi="arial" w:cs="arial"/>
          <w:b w:val="0"/>
          <w:i w:val="0"/>
          <w:strike w:val="0"/>
          <w:noProof w:val="0"/>
          <w:color w:val="000000"/>
          <w:position w:val="0"/>
          <w:sz w:val="20"/>
          <w:u w:val="none"/>
          <w:vertAlign w:val="baseline"/>
        </w:rPr>
        <w:t xml:space="preserve"> (Linnaeus, 1758)35,36. Within Proteobacteria, the dominant orders were Cellvibrionales, Rhizobiales, and Rhodobacterales, which are generally abundant in corals13. Members of Bacteroidota, particularly the order Flavobacteriales, which are suggested to be opportunistic pathogens involved in coral diseases46, were also abundant. Similarly, Planctomycetota was prevalent at both sites, with the microbiome dominated by the order Pirellulales (Supplementary Figs. 8 and 9), which consists of anaerobic ammonia-oxidizing bacteria and is also prominent in some coral species47. Members of this order are also likely involved in the removal of metabolic waste within the host48.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abundant bacterial genera were shared across both species and sites, which indicates they are intimately related to the host and are probably part of their core microbiome (Fig. 3). Consistent with this, two of these dominant bacterial genera (BD1-7 clade and </w:t>
      </w:r>
      <w:r>
        <w:rPr>
          <w:rFonts w:ascii="arial" w:eastAsia="arial" w:hAnsi="arial" w:cs="arial"/>
          <w:b w:val="0"/>
          <w:i/>
          <w:strike w:val="0"/>
          <w:noProof w:val="0"/>
          <w:color w:val="000000"/>
          <w:position w:val="0"/>
          <w:sz w:val="20"/>
          <w:u w:val="none"/>
          <w:vertAlign w:val="baseline"/>
        </w:rPr>
        <w:t>Aquimarina</w:t>
      </w:r>
      <w:r>
        <w:rPr>
          <w:rFonts w:ascii="arial" w:eastAsia="arial" w:hAnsi="arial" w:cs="arial"/>
          <w:b w:val="0"/>
          <w:i w:val="0"/>
          <w:strike w:val="0"/>
          <w:noProof w:val="0"/>
          <w:color w:val="000000"/>
          <w:position w:val="0"/>
          <w:sz w:val="20"/>
          <w:u w:val="none"/>
          <w:vertAlign w:val="baseline"/>
        </w:rPr>
        <w:t xml:space="preserve">) and the genus </w:t>
      </w:r>
      <w:r>
        <w:rPr>
          <w:rFonts w:ascii="arial" w:eastAsia="arial" w:hAnsi="arial" w:cs="arial"/>
          <w:b w:val="0"/>
          <w:i/>
          <w:strike w:val="0"/>
          <w:noProof w:val="0"/>
          <w:color w:val="000000"/>
          <w:position w:val="0"/>
          <w:sz w:val="20"/>
          <w:u w:val="none"/>
          <w:vertAlign w:val="baseline"/>
        </w:rPr>
        <w:t>Mycoplasma</w:t>
      </w:r>
      <w:r>
        <w:rPr>
          <w:rFonts w:ascii="arial" w:eastAsia="arial" w:hAnsi="arial" w:cs="arial"/>
          <w:b w:val="0"/>
          <w:i w:val="0"/>
          <w:strike w:val="0"/>
          <w:noProof w:val="0"/>
          <w:color w:val="000000"/>
          <w:position w:val="0"/>
          <w:sz w:val="20"/>
          <w:u w:val="none"/>
          <w:vertAlign w:val="baseline"/>
        </w:rPr>
        <w:t xml:space="preserve">, which is only found in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are suggested to be a key part of the microbiome of various temperate Gorgoniidae and are likely essential to the holobionts, e.g. ref. 49. Interestingly, two dominant bacterial genera, “</w:t>
      </w:r>
      <w:r>
        <w:rPr>
          <w:rFonts w:ascii="arial" w:eastAsia="arial" w:hAnsi="arial" w:cs="arial"/>
          <w:b w:val="0"/>
          <w:i/>
          <w:strike w:val="0"/>
          <w:noProof w:val="0"/>
          <w:color w:val="000000"/>
          <w:position w:val="0"/>
          <w:sz w:val="20"/>
          <w:u w:val="none"/>
          <w:vertAlign w:val="baseline"/>
        </w:rPr>
        <w:t>Candidatus</w:t>
      </w:r>
      <w:r>
        <w:rPr>
          <w:rFonts w:ascii="arial" w:eastAsia="arial" w:hAnsi="arial" w:cs="arial"/>
          <w:b w:val="0"/>
          <w:i w:val="0"/>
          <w:strike w:val="0"/>
          <w:noProof w:val="0"/>
          <w:color w:val="000000"/>
          <w:position w:val="0"/>
          <w:sz w:val="20"/>
          <w:u w:val="none"/>
          <w:vertAlign w:val="baseline"/>
        </w:rPr>
        <w:t xml:space="preserve"> Endobugula” and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of which the former was only observed in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have been previously retrieved from other bryozoan species35,36,50 (Fig. 3). Symbionts of “</w:t>
      </w:r>
      <w:r>
        <w:rPr>
          <w:rFonts w:ascii="arial" w:eastAsia="arial" w:hAnsi="arial" w:cs="arial"/>
          <w:b w:val="0"/>
          <w:i/>
          <w:strike w:val="0"/>
          <w:noProof w:val="0"/>
          <w:color w:val="000000"/>
          <w:position w:val="0"/>
          <w:sz w:val="20"/>
          <w:u w:val="none"/>
          <w:vertAlign w:val="baseline"/>
        </w:rPr>
        <w:t>Candidatus</w:t>
      </w:r>
      <w:r>
        <w:rPr>
          <w:rFonts w:ascii="arial" w:eastAsia="arial" w:hAnsi="arial" w:cs="arial"/>
          <w:b w:val="0"/>
          <w:i w:val="0"/>
          <w:strike w:val="0"/>
          <w:noProof w:val="0"/>
          <w:color w:val="000000"/>
          <w:position w:val="0"/>
          <w:sz w:val="20"/>
          <w:u w:val="none"/>
          <w:vertAlign w:val="baseline"/>
        </w:rPr>
        <w:t xml:space="preserve"> Endobugula” have been isolated from several species of </w:t>
      </w:r>
      <w:r>
        <w:rPr>
          <w:rFonts w:ascii="arial" w:eastAsia="arial" w:hAnsi="arial" w:cs="arial"/>
          <w:b w:val="0"/>
          <w:i/>
          <w:strike w:val="0"/>
          <w:noProof w:val="0"/>
          <w:color w:val="000000"/>
          <w:position w:val="0"/>
          <w:sz w:val="20"/>
          <w:u w:val="none"/>
          <w:vertAlign w:val="baseline"/>
        </w:rPr>
        <w:t>Bugula</w:t>
      </w:r>
      <w:r>
        <w:rPr>
          <w:rFonts w:ascii="arial" w:eastAsia="arial" w:hAnsi="arial" w:cs="arial"/>
          <w:b w:val="0"/>
          <w:i w:val="0"/>
          <w:strike w:val="0"/>
          <w:noProof w:val="0"/>
          <w:color w:val="000000"/>
          <w:position w:val="0"/>
          <w:sz w:val="20"/>
          <w:u w:val="none"/>
          <w:vertAlign w:val="baseline"/>
        </w:rPr>
        <w:t xml:space="preserve"> and are known to be involved in the production of bryostatins, polyketides metabolites that provide chemical defense to the host51. In the case of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some members are commonly found in various marine organisms. These are suggested to have important roles in host health by providing nutrients through sulfur, nitrogen, and/or methane cycling and synthesis of amino acids, and by bacterial community regulation by producing secondary metabolites45,49,52.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study is also the first to document patterns in microbiome shifts in response to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bryozoans. While the bryozoan microbiomes were generally stable, a trend towards bacteria involved in organic matter degradation was observed in both species under low pH conditions (Fig. 4). In particular, members of the genus </w:t>
      </w:r>
      <w:r>
        <w:rPr>
          <w:rFonts w:ascii="arial" w:eastAsia="arial" w:hAnsi="arial" w:cs="arial"/>
          <w:b w:val="0"/>
          <w:i/>
          <w:strike w:val="0"/>
          <w:noProof w:val="0"/>
          <w:color w:val="000000"/>
          <w:position w:val="0"/>
          <w:sz w:val="20"/>
          <w:u w:val="none"/>
          <w:vertAlign w:val="baseline"/>
        </w:rPr>
        <w:t>Zobellia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Ulvibacter</w:t>
      </w:r>
      <w:r>
        <w:rPr>
          <w:rFonts w:ascii="arial" w:eastAsia="arial" w:hAnsi="arial" w:cs="arial"/>
          <w:b w:val="0"/>
          <w:i w:val="0"/>
          <w:strike w:val="0"/>
          <w:noProof w:val="0"/>
          <w:color w:val="000000"/>
          <w:position w:val="0"/>
          <w:sz w:val="20"/>
          <w:u w:val="none"/>
          <w:vertAlign w:val="baseline"/>
        </w:rPr>
        <w:t xml:space="preserve"> have specialized in the degradation of polysaccharides, a major component of marine organic matter53,54, and </w:t>
      </w:r>
      <w:r>
        <w:rPr>
          <w:rFonts w:ascii="arial" w:eastAsia="arial" w:hAnsi="arial" w:cs="arial"/>
          <w:b w:val="0"/>
          <w:i/>
          <w:strike w:val="0"/>
          <w:noProof w:val="0"/>
          <w:color w:val="000000"/>
          <w:position w:val="0"/>
          <w:sz w:val="20"/>
          <w:u w:val="none"/>
          <w:vertAlign w:val="baseline"/>
        </w:rPr>
        <w:t>Lutibacter profundi</w:t>
      </w:r>
      <w:r>
        <w:rPr>
          <w:rFonts w:ascii="arial" w:eastAsia="arial" w:hAnsi="arial" w:cs="arial"/>
          <w:b w:val="0"/>
          <w:i w:val="0"/>
          <w:strike w:val="0"/>
          <w:noProof w:val="0"/>
          <w:color w:val="000000"/>
          <w:position w:val="0"/>
          <w:sz w:val="20"/>
          <w:u w:val="none"/>
          <w:vertAlign w:val="baseline"/>
        </w:rPr>
        <w:t xml:space="preserve"> in degrading organic matter55. Consistent with these results, declines in pH increase the polysaccharide and other organic matter degradation56.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sulfate-reducing bacteria, strict anaerobes, were enriched at the CO2 vent (Fig. 4), which have also been associated with higher rates of organic matter degradation, suggesting their role in carbon degradation57.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encrusts the substrate, forming an anaerobic environment that could thus favor the proliferation of anaerobic bacteria, as suggested for corals58. Our findings thus suggest that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modifies the microbiome environment of this bryozoan species, inducing the community’s shift towards anaerobes under these low pH conditions. This shift from aerobic to anaerobic and facultative anaerobic bacteria under low pH conditions was previously found in other marine invertebrates, such as the bivalve </w:t>
      </w:r>
      <w:r>
        <w:rPr>
          <w:rFonts w:ascii="arial" w:eastAsia="arial" w:hAnsi="arial" w:cs="arial"/>
          <w:b w:val="0"/>
          <w:i/>
          <w:strike w:val="0"/>
          <w:noProof w:val="0"/>
          <w:color w:val="000000"/>
          <w:position w:val="0"/>
          <w:sz w:val="20"/>
          <w:u w:val="none"/>
          <w:vertAlign w:val="baseline"/>
        </w:rPr>
        <w:t>Crassostrea gigas</w:t>
      </w:r>
      <w:r>
        <w:rPr>
          <w:rFonts w:ascii="arial" w:eastAsia="arial" w:hAnsi="arial" w:cs="arial"/>
          <w:b w:val="0"/>
          <w:i w:val="0"/>
          <w:strike w:val="0"/>
          <w:noProof w:val="0"/>
          <w:color w:val="000000"/>
          <w:position w:val="0"/>
          <w:sz w:val="20"/>
          <w:u w:val="none"/>
          <w:vertAlign w:val="baseline"/>
        </w:rPr>
        <w:t>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in the relative abundance of sulfate-reducing bacteria may also be a mechanism to counteract the low pH, as these bacteria may increase local alkalinity and induce CaCO3 precipitation60. This could explain how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increases calcification under low pH conditions. In agreement, the extrapallial fluid of the eastern oyster </w:t>
      </w:r>
      <w:r>
        <w:rPr>
          <w:rFonts w:ascii="arial" w:eastAsia="arial" w:hAnsi="arial" w:cs="arial"/>
          <w:b w:val="0"/>
          <w:i/>
          <w:strike w:val="0"/>
          <w:noProof w:val="0"/>
          <w:color w:val="000000"/>
          <w:position w:val="0"/>
          <w:sz w:val="20"/>
          <w:u w:val="none"/>
          <w:vertAlign w:val="baseline"/>
        </w:rPr>
        <w:t>Crassostrea virginica</w:t>
      </w:r>
      <w:r>
        <w:rPr>
          <w:rFonts w:ascii="arial" w:eastAsia="arial" w:hAnsi="arial" w:cs="arial"/>
          <w:b w:val="0"/>
          <w:i w:val="0"/>
          <w:strike w:val="0"/>
          <w:noProof w:val="0"/>
          <w:color w:val="000000"/>
          <w:position w:val="0"/>
          <w:sz w:val="20"/>
          <w:u w:val="none"/>
          <w:vertAlign w:val="baseline"/>
        </w:rPr>
        <w:t>, which is responsible for shell formation, is enriched in sulfate-reducing and denitrifier bacteria61.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genera involved in sulfur cycling showed opposite patterns, such as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which was enriched in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and depleted in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at the CO2 vent. Similarly, species-specific changes in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in response to low pH conditions were previously found in coral hosts, with a significant increase or loss, e.g. ref. 16. Shore et al.16 suggested that the enrichment in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may benefit the host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conditions. By contrast, significant losses of </w:t>
      </w:r>
      <w:r>
        <w:rPr>
          <w:rFonts w:ascii="arial" w:eastAsia="arial" w:hAnsi="arial" w:cs="arial"/>
          <w:b w:val="0"/>
          <w:i/>
          <w:strike w:val="0"/>
          <w:noProof w:val="0"/>
          <w:color w:val="000000"/>
          <w:position w:val="0"/>
          <w:sz w:val="20"/>
          <w:u w:val="none"/>
          <w:vertAlign w:val="baseline"/>
        </w:rPr>
        <w:t>Endozoicomonas</w:t>
      </w:r>
      <w:r>
        <w:rPr>
          <w:rFonts w:ascii="arial" w:eastAsia="arial" w:hAnsi="arial" w:cs="arial"/>
          <w:b w:val="0"/>
          <w:i w:val="0"/>
          <w:strike w:val="0"/>
          <w:noProof w:val="0"/>
          <w:color w:val="000000"/>
          <w:position w:val="0"/>
          <w:sz w:val="20"/>
          <w:u w:val="none"/>
          <w:vertAlign w:val="baseline"/>
        </w:rPr>
        <w:t xml:space="preserve"> may be lowering the host’s ability to control the growth of this bacteria16.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Bacterial genera, which are assumed to have essential functions to the host, were significantly depleted in both bryozoan species at the CO2 vent site, which suggests early warnings of potential deterioration of bryozoan health under near-future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conditions. Some of the functions are biosynthesis of biologically active compounds with anti-bacterial, bacteriolytic, agarolytic, and algicidal activities (</w:t>
      </w:r>
      <w:r>
        <w:rPr>
          <w:rFonts w:ascii="arial" w:eastAsia="arial" w:hAnsi="arial" w:cs="arial"/>
          <w:b w:val="0"/>
          <w:i/>
          <w:strike w:val="0"/>
          <w:noProof w:val="0"/>
          <w:color w:val="000000"/>
          <w:position w:val="0"/>
          <w:sz w:val="20"/>
          <w:u w:val="none"/>
          <w:vertAlign w:val="baseline"/>
        </w:rPr>
        <w:t>Pseudoalteromonas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Candidatus Entotheonella</w:t>
      </w:r>
      <w:r>
        <w:rPr>
          <w:rFonts w:ascii="arial" w:eastAsia="arial" w:hAnsi="arial" w:cs="arial"/>
          <w:b w:val="0"/>
          <w:i w:val="0"/>
          <w:strike w:val="0"/>
          <w:noProof w:val="0"/>
          <w:color w:val="000000"/>
          <w:position w:val="0"/>
          <w:sz w:val="20"/>
          <w:u w:val="none"/>
          <w:vertAlign w:val="baseline"/>
        </w:rPr>
        <w:t>), probiotic thermal protection (</w:t>
      </w:r>
      <w:r>
        <w:rPr>
          <w:rFonts w:ascii="arial" w:eastAsia="arial" w:hAnsi="arial" w:cs="arial"/>
          <w:b w:val="0"/>
          <w:i/>
          <w:strike w:val="0"/>
          <w:noProof w:val="0"/>
          <w:color w:val="000000"/>
          <w:position w:val="0"/>
          <w:sz w:val="20"/>
          <w:u w:val="none"/>
          <w:vertAlign w:val="baseline"/>
        </w:rPr>
        <w:t>Cobetia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Halomonas</w:t>
      </w:r>
      <w:r>
        <w:rPr>
          <w:rFonts w:ascii="arial" w:eastAsia="arial" w:hAnsi="arial" w:cs="arial"/>
          <w:b w:val="0"/>
          <w:i w:val="0"/>
          <w:strike w:val="0"/>
          <w:noProof w:val="0"/>
          <w:color w:val="000000"/>
          <w:position w:val="0"/>
          <w:sz w:val="20"/>
          <w:u w:val="none"/>
          <w:vertAlign w:val="baseline"/>
        </w:rPr>
        <w:t>)62, degradation of lipids and/or hydrocarbons (</w:t>
      </w:r>
      <w:r>
        <w:rPr>
          <w:rFonts w:ascii="arial" w:eastAsia="arial" w:hAnsi="arial" w:cs="arial"/>
          <w:b w:val="0"/>
          <w:i/>
          <w:strike w:val="0"/>
          <w:noProof w:val="0"/>
          <w:color w:val="000000"/>
          <w:position w:val="0"/>
          <w:sz w:val="20"/>
          <w:u w:val="none"/>
          <w:vertAlign w:val="baseline"/>
        </w:rPr>
        <w:t>Marinobacter</w:t>
      </w:r>
      <w:r>
        <w:rPr>
          <w:rFonts w:ascii="arial" w:eastAsia="arial" w:hAnsi="arial" w:cs="arial"/>
          <w:b w:val="0"/>
          <w:i w:val="0"/>
          <w:strike w:val="0"/>
          <w:noProof w:val="0"/>
          <w:color w:val="000000"/>
          <w:position w:val="0"/>
          <w:sz w:val="20"/>
          <w:u w:val="none"/>
          <w:vertAlign w:val="baseline"/>
        </w:rPr>
        <w:t>)63, and nitrification (</w:t>
      </w:r>
      <w:r>
        <w:rPr>
          <w:rFonts w:ascii="arial" w:eastAsia="arial" w:hAnsi="arial" w:cs="arial"/>
          <w:b w:val="0"/>
          <w:i/>
          <w:strike w:val="0"/>
          <w:noProof w:val="0"/>
          <w:color w:val="000000"/>
          <w:position w:val="0"/>
          <w:sz w:val="20"/>
          <w:u w:val="none"/>
          <w:vertAlign w:val="baseline"/>
        </w:rPr>
        <w:t>SZB85</w:t>
      </w:r>
      <w:r>
        <w:rPr>
          <w:rFonts w:ascii="arial" w:eastAsia="arial" w:hAnsi="arial" w:cs="arial"/>
          <w:b w:val="0"/>
          <w:i w:val="0"/>
          <w:strike w:val="0"/>
          <w:noProof w:val="0"/>
          <w:color w:val="000000"/>
          <w:position w:val="0"/>
          <w:sz w:val="20"/>
          <w:u w:val="none"/>
          <w:vertAlign w:val="baseline"/>
        </w:rPr>
        <w:t xml:space="preserve">), which might play key roles through facilitating the nitrogen cycle within cave ecosystems64 (Fig. 4). These genera have been previously isolated from different coral, sponge, and tunicate species, including bryozoans65, 66–67. The genus </w:t>
      </w:r>
      <w:r>
        <w:rPr>
          <w:rFonts w:ascii="arial" w:eastAsia="arial" w:hAnsi="arial" w:cs="arial"/>
          <w:b w:val="0"/>
          <w:i/>
          <w:strike w:val="0"/>
          <w:noProof w:val="0"/>
          <w:color w:val="000000"/>
          <w:position w:val="0"/>
          <w:sz w:val="20"/>
          <w:u w:val="none"/>
          <w:vertAlign w:val="baseline"/>
        </w:rPr>
        <w:t>subgroup 10</w:t>
      </w:r>
      <w:r>
        <w:rPr>
          <w:rFonts w:ascii="arial" w:eastAsia="arial" w:hAnsi="arial" w:cs="arial"/>
          <w:b w:val="0"/>
          <w:i w:val="0"/>
          <w:strike w:val="0"/>
          <w:noProof w:val="0"/>
          <w:color w:val="000000"/>
          <w:position w:val="0"/>
          <w:sz w:val="20"/>
          <w:u w:val="none"/>
          <w:vertAlign w:val="baseline"/>
        </w:rPr>
        <w:t xml:space="preserve"> belonging to the phylum Acidobacteriota was also depleted in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at the CO2 vent, and some members may also be beneficial to their host (e.g., production of diverse B-vitamins) as suggested in sponges68.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observed an increase in bacteria previously associated with dysbiosis. In particular, </w:t>
      </w:r>
      <w:r>
        <w:rPr>
          <w:rFonts w:ascii="arial" w:eastAsia="arial" w:hAnsi="arial" w:cs="arial"/>
          <w:b w:val="0"/>
          <w:i/>
          <w:strike w:val="0"/>
          <w:noProof w:val="0"/>
          <w:color w:val="000000"/>
          <w:position w:val="0"/>
          <w:sz w:val="20"/>
          <w:u w:val="none"/>
          <w:vertAlign w:val="baseline"/>
        </w:rPr>
        <w:t>Acinetobacter</w:t>
      </w:r>
      <w:r>
        <w:rPr>
          <w:rFonts w:ascii="arial" w:eastAsia="arial" w:hAnsi="arial" w:cs="arial"/>
          <w:b w:val="0"/>
          <w:i w:val="0"/>
          <w:strike w:val="0"/>
          <w:noProof w:val="0"/>
          <w:color w:val="000000"/>
          <w:position w:val="0"/>
          <w:sz w:val="20"/>
          <w:u w:val="none"/>
          <w:vertAlign w:val="baseline"/>
        </w:rPr>
        <w:t xml:space="preserve">, which has commonly been isolated from marine invertebrates such as corals, was enriched in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and some members are pathogens (</w:t>
      </w:r>
      <w:r>
        <w:rPr>
          <w:rFonts w:ascii="arial" w:eastAsia="arial" w:hAnsi="arial" w:cs="arial"/>
          <w:b w:val="0"/>
          <w:i/>
          <w:strike w:val="0"/>
          <w:noProof w:val="0"/>
          <w:color w:val="000000"/>
          <w:position w:val="0"/>
          <w:sz w:val="20"/>
          <w:u w:val="none"/>
          <w:vertAlign w:val="baseline"/>
        </w:rPr>
        <w:t>Acinetobacter baumannii</w:t>
      </w:r>
      <w:r>
        <w:rPr>
          <w:rFonts w:ascii="arial" w:eastAsia="arial" w:hAnsi="arial" w:cs="arial"/>
          <w:b w:val="0"/>
          <w:i w:val="0"/>
          <w:strike w:val="0"/>
          <w:noProof w:val="0"/>
          <w:color w:val="000000"/>
          <w:position w:val="0"/>
          <w:sz w:val="20"/>
          <w:u w:val="none"/>
          <w:vertAlign w:val="baseline"/>
        </w:rPr>
        <w:t xml:space="preserve">)69 (Fig. 4). In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Halioglobus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Oceanibulbus</w:t>
      </w:r>
      <w:r>
        <w:rPr>
          <w:rFonts w:ascii="arial" w:eastAsia="arial" w:hAnsi="arial" w:cs="arial"/>
          <w:b w:val="0"/>
          <w:i w:val="0"/>
          <w:strike w:val="0"/>
          <w:noProof w:val="0"/>
          <w:color w:val="000000"/>
          <w:position w:val="0"/>
          <w:sz w:val="20"/>
          <w:u w:val="none"/>
          <w:vertAlign w:val="baseline"/>
        </w:rPr>
        <w:t xml:space="preserve"> also increased at the CO2 vent. </w:t>
      </w:r>
      <w:r>
        <w:rPr>
          <w:rFonts w:ascii="arial" w:eastAsia="arial" w:hAnsi="arial" w:cs="arial"/>
          <w:b w:val="0"/>
          <w:i/>
          <w:strike w:val="0"/>
          <w:noProof w:val="0"/>
          <w:color w:val="000000"/>
          <w:position w:val="0"/>
          <w:sz w:val="20"/>
          <w:u w:val="none"/>
          <w:vertAlign w:val="baseline"/>
        </w:rPr>
        <w:t>Halioglobus</w:t>
      </w:r>
      <w:r>
        <w:rPr>
          <w:rFonts w:ascii="arial" w:eastAsia="arial" w:hAnsi="arial" w:cs="arial"/>
          <w:b w:val="0"/>
          <w:i w:val="0"/>
          <w:strike w:val="0"/>
          <w:noProof w:val="0"/>
          <w:color w:val="000000"/>
          <w:position w:val="0"/>
          <w:sz w:val="20"/>
          <w:u w:val="none"/>
          <w:vertAlign w:val="baseline"/>
        </w:rPr>
        <w:t xml:space="preserve"> has been found in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corals and may be associated with bacterial dysbiosis70 and </w:t>
      </w:r>
      <w:r>
        <w:rPr>
          <w:rFonts w:ascii="arial" w:eastAsia="arial" w:hAnsi="arial" w:cs="arial"/>
          <w:b w:val="0"/>
          <w:i/>
          <w:strike w:val="0"/>
          <w:noProof w:val="0"/>
          <w:color w:val="000000"/>
          <w:position w:val="0"/>
          <w:sz w:val="20"/>
          <w:u w:val="none"/>
          <w:vertAlign w:val="baseline"/>
        </w:rPr>
        <w:t>Oceanibulbus</w:t>
      </w:r>
      <w:r>
        <w:rPr>
          <w:rFonts w:ascii="arial" w:eastAsia="arial" w:hAnsi="arial" w:cs="arial"/>
          <w:b w:val="0"/>
          <w:i w:val="0"/>
          <w:strike w:val="0"/>
          <w:noProof w:val="0"/>
          <w:color w:val="000000"/>
          <w:position w:val="0"/>
          <w:sz w:val="20"/>
          <w:u w:val="none"/>
          <w:vertAlign w:val="baseline"/>
        </w:rPr>
        <w:t xml:space="preserve"> belongs to the disease coral-associated Rhodobacterales, and some members of this order also increased with lower pH71.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microbial shifts parallel broader ecological patterns we observed. Our model indicates a decline in total bryozoan cover over time, primarily driven by rising seawater temperatures, with the effects exacerbated at the CO₂ vent site (Fig. 5a, b; Supplementary Data 6; Supplementary Fig. 10). Necrosis also increased at a faster pace in the CO2 vent site than in the Ambient pH site, likely due to combined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thermal stress (Fig. 5c, d; Supplementary Data 7). These observations are consistent with previous experimental and field studies showing that elevated temperatures and reduced pH can negatively impact bryozoan growth rates32,72,73, ultimately contributing to population declines.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local patterns are particularly concerning given the broader environmental context. The Mediterranean Sea is recognized as a climate change hotspot, with observed warming expected to continue at a greater rate than the global average38. The 2015–2019 period was the warmest on record since the beginning of satellite observations in 1982, with average temperatures 1.2 ± 0.23 °C higher than during the 1982–1986 baseline period41. This warming trend notably overlaps with the timeframe of our study (2016–2020), underscoring the relevance of our findings in the context of ongoing climate change. During this period, several mass mortality events were reported across the region, with bryozoans ranking as the second most severely impacted taxonomic group41. In summer months, sea temperatures frequently approached or exceeded the upper thermal tolerance limits reported for common Mediterranean bryozoan species. In particular, a congeneric species of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the erect bryozoan </w:t>
      </w:r>
      <w:r>
        <w:rPr>
          <w:rFonts w:ascii="arial" w:eastAsia="arial" w:hAnsi="arial" w:cs="arial"/>
          <w:b w:val="0"/>
          <w:i/>
          <w:strike w:val="0"/>
          <w:noProof w:val="0"/>
          <w:color w:val="000000"/>
          <w:position w:val="0"/>
          <w:sz w:val="20"/>
          <w:u w:val="none"/>
          <w:vertAlign w:val="baseline"/>
        </w:rPr>
        <w:t>P. fascialis</w:t>
      </w:r>
      <w:r>
        <w:rPr>
          <w:rFonts w:ascii="arial" w:eastAsia="arial" w:hAnsi="arial" w:cs="arial"/>
          <w:b w:val="0"/>
          <w:i w:val="0"/>
          <w:strike w:val="0"/>
          <w:noProof w:val="0"/>
          <w:color w:val="000000"/>
          <w:position w:val="0"/>
          <w:sz w:val="20"/>
          <w:u w:val="none"/>
          <w:vertAlign w:val="baseline"/>
        </w:rPr>
        <w:t xml:space="preserve">, has exhibited increased mortality at temperatures above 25 °C–26 °C31,41. Similarly,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exhibits reduced survivability under elevated temperature conditions, with significant mortality occurring when temperatures exceeded 28 °C31,41.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growing body of evidence highlighting the detrimental effects of warming —particularly extreme temperature events—on natural bryozoan populations across various species in the Mediterranean Sea31,41,74. On a global scale, similar patterns have been observed. For instance, in southern California, bryozoan mortality increased when peak temperature anomalies reached an average of +3.1 °C during the 2014–2015 period, highlighting the vulnerability of bryozoan species to such thermal stress75. Although such studies remain limited, they reveal consistent global trends in bryozoan mortality under warming scenarios, further reinforcing our finding that rising seawater temperatures alone can drive substantial declines in bryozoan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our findings suggest the projected decline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by the end of the century is expected to exacerbate these warming-driven impacts. These results underscore the need to evaluate stressor interactions, as the biological responses observed cannot be reliably predicted by assessing the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or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isolation. Understanding the combined influence of these major stressors is therefore critical for forecasting future changes in bryozoan populations and the habitats they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study is the first to assess responses to both stressors in bryozoans over a relatively extended period (five years), but there are aspects that need to be considered when interpreting our results. Although this duration exceeds that of typical experimental studies, it still represents a relatively short time frame compared to the multi-decadal scale relevant to anthropogenic climate change. Additionally, while CO2 vents are not perfect proxies for the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these natural systems can provide insights into how species may survive under future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scenarios (see ref. 37). Ideally, multiple comparisons between ambient pH sites and CO2 vents across geographic locations should also be performed to confirm the observed patterns. However, our findings provide the first insights into calcifying holobiont responses to environmental change in a poorly studied phylum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our results highlight novel, differing, and unpredictable responses to how bryozoans can cope with low pH. While both bryozoan species show indicators of acclimatization, such as phenotypic plasticity (e.g., adjusting skeletal properties) and stable microbial communities under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conditions, the bryozoan status is still dependent on the effects of warming and other local environmental impacts. Consistent with this, we observe the most adverse impacts arise from the combined effects of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the encrusting species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These findings thus suggest that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may be particularly at risk of future impacts of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the Mediterranean Sea. The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appears to be more resilient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although the observed microbiome shifts may indicate a decrease in its resilience to near-future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conditions (Fig. 6). Both bryozoan species could thus potentially act as sentinels, providing early warnings of health deterioration in bryozoan populations. Our results thus emphasize that more interdisciplinary research combining both environmental stressors on a wider range of calcifying species is needed to better understand the acclimatization and adaptive capacity of the holobiont to a changing environment.Fig. 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Species-specific compensatory responses to cope with low pH by adjusting skeletal properties and microbial diversity and function shifts under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i w:val="0"/>
          <w:strike w:val="0"/>
          <w:noProof w:val="0"/>
          <w:color w:val="000000"/>
          <w:position w:val="0"/>
          <w:sz w:val="20"/>
          <w:u w:val="none"/>
          <w:vertAlign w:val="baseline"/>
        </w:rPr>
        <w:t xml:space="preserve"> conditions in both calcifying holobionts.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Symbols indicate a significant increase (↑) or decrease (↓) or no significant differences (↔). Colors represent the response of </w:t>
      </w:r>
      <w:r>
        <w:rPr>
          <w:rFonts w:ascii="arial" w:eastAsia="arial" w:hAnsi="arial" w:cs="arial"/>
          <w:b w:val="0"/>
          <w:i/>
          <w:strike w:val="0"/>
          <w:noProof w:val="0"/>
          <w:color w:val="000000"/>
          <w:position w:val="0"/>
          <w:sz w:val="20"/>
          <w:u w:val="none"/>
          <w:vertAlign w:val="baseline"/>
        </w:rPr>
        <w:t>Pentapora ottomuelleriana</w:t>
      </w:r>
      <w:r>
        <w:rPr>
          <w:rFonts w:ascii="arial" w:eastAsia="arial" w:hAnsi="arial" w:cs="arial"/>
          <w:b w:val="0"/>
          <w:i w:val="0"/>
          <w:strike w:val="0"/>
          <w:noProof w:val="0"/>
          <w:color w:val="000000"/>
          <w:position w:val="0"/>
          <w:sz w:val="20"/>
          <w:u w:val="none"/>
          <w:vertAlign w:val="baseline"/>
        </w:rPr>
        <w:t xml:space="preserve"> (pink), </w:t>
      </w:r>
      <w:r>
        <w:rPr>
          <w:rFonts w:ascii="arial" w:eastAsia="arial" w:hAnsi="arial" w:cs="arial"/>
          <w:b w:val="0"/>
          <w:i/>
          <w:strike w:val="0"/>
          <w:noProof w:val="0"/>
          <w:color w:val="000000"/>
          <w:position w:val="0"/>
          <w:sz w:val="20"/>
          <w:u w:val="none"/>
          <w:vertAlign w:val="baseline"/>
        </w:rPr>
        <w:t>Myriapora truncata</w:t>
      </w:r>
      <w:r>
        <w:rPr>
          <w:rFonts w:ascii="arial" w:eastAsia="arial" w:hAnsi="arial" w:cs="arial"/>
          <w:b w:val="0"/>
          <w:i w:val="0"/>
          <w:strike w:val="0"/>
          <w:noProof w:val="0"/>
          <w:color w:val="000000"/>
          <w:position w:val="0"/>
          <w:sz w:val="20"/>
          <w:u w:val="none"/>
          <w:vertAlign w:val="baseline"/>
        </w:rPr>
        <w:t xml:space="preserve"> (yellow), or a shared trend (cyan).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Selected species and study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was conducted at two sites at the Island of Ischia (Gulf of Naples, Italy), where populations of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naturally inhabit (Fig. 7A, B).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is an encrusting species that grows faster than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found on rocky bottoms, on </w:t>
      </w:r>
      <w:r>
        <w:rPr>
          <w:rFonts w:ascii="arial" w:eastAsia="arial" w:hAnsi="arial" w:cs="arial"/>
          <w:b w:val="0"/>
          <w:i/>
          <w:strike w:val="0"/>
          <w:noProof w:val="0"/>
          <w:color w:val="000000"/>
          <w:position w:val="0"/>
          <w:sz w:val="20"/>
          <w:u w:val="none"/>
          <w:vertAlign w:val="baseline"/>
        </w:rPr>
        <w:t>Posidonia oceanica</w:t>
      </w:r>
      <w:r>
        <w:rPr>
          <w:rFonts w:ascii="arial" w:eastAsia="arial" w:hAnsi="arial" w:cs="arial"/>
          <w:b w:val="0"/>
          <w:i w:val="0"/>
          <w:strike w:val="0"/>
          <w:noProof w:val="0"/>
          <w:color w:val="000000"/>
          <w:position w:val="0"/>
          <w:sz w:val="20"/>
          <w:u w:val="none"/>
          <w:vertAlign w:val="baseline"/>
        </w:rPr>
        <w:t xml:space="preserve"> rhizomes, and on leaves, mainly between 0–50 m depth. In contrast,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is an erect branching bryozoan with a widespread occurrence in the Mediterranean Sea, inhabiting hard rocky habitats between 1–130 m depth.Fig. 7</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Study sites and target species.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Map showing the location of the study sites along the coast of Ischia Island, Italy.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strike w:val="0"/>
          <w:noProof w:val="0"/>
          <w:color w:val="000000"/>
          <w:position w:val="0"/>
          <w:sz w:val="20"/>
          <w:u w:val="none"/>
          <w:vertAlign w:val="baseline"/>
        </w:rPr>
        <w:t>Pentapora ottomuelleriana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strike w:val="0"/>
          <w:noProof w:val="0"/>
          <w:color w:val="000000"/>
          <w:position w:val="0"/>
          <w:sz w:val="20"/>
          <w:u w:val="none"/>
          <w:vertAlign w:val="baseline"/>
        </w:rPr>
        <w:t>Myriapora truncata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sites included an underwater volcanic CO2 vent and one reference site with ambient pH and no vent activity. The CO2 vent system is located at 5 m depth inside a semi-submerged cave of volcanic origin named Grotta del Mago (40°42′41.87″N, 13°57′51.06″E, hereafter CO2 vent). The cave has a main outer chamber (10 m wide x 30 m long), where the CO2 vent activity has increased over the last 50 years, with a more intense activity from 201437,76. The reference site named Punta Vico is also a semi-submerged cave at the same depth, which has a main chamber with the same dimensions (40°45′32.28″N,13°52′55.38″E, hereafter Ambient pH site). The present study was performed in the main chamber of both caves. The vent gas at the vent site was predominantly CO2, with undetectable levels of hydrogen sulfide (&lt;0.0002%)37. Water carbonate chemistry and in situ monitoring of seawater pHT (pH on the total scale) at the CO2 vent site showed mean pHT = 7.88 and 7.65 with 14 and 56% of the pHT measurements below 7.8 in June and September at 2 m depth, respectively. These values below 7.8 correspond to the projected average global sea surface pH value for the year 2100 with the high-CO2 emission scenario SSP5 RCP8.577. Calcite (Ωc) and aragonite (Ωa) saturation states were 2.2 and 1.44 in June and 1.68 and 1.58 in September. The Ambient pH site showed pHT = 8.05, Ωc = 5.06, and Ωa = 3.86 (for more information see37).</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Temperature time series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deployed temperature data loggers (HOBO TidbiT v2, Onset) in both sites over a 6-year period (2016–2021) at 2 m depth that registered temperature every hour, following ambient seasonal fluctuations (Supplementary Fig. 1). Additionally, coastal seawater temperature data from 5 m depth in Ischia between 2012 to 2023 were obtained from the T-MEDNet temperature database (</w:t>
      </w:r>
      <w:hyperlink r:id="rId13" w:history="1">
        <w:r>
          <w:rPr>
            <w:rFonts w:ascii="arial" w:eastAsia="arial" w:hAnsi="arial" w:cs="arial"/>
            <w:b w:val="0"/>
            <w:i/>
            <w:strike w:val="0"/>
            <w:noProof w:val="0"/>
            <w:color w:val="0077CC"/>
            <w:position w:val="0"/>
            <w:sz w:val="20"/>
            <w:u w:val="single"/>
            <w:vertAlign w:val="baseline"/>
          </w:rPr>
          <w:t>www.t-mednet.org</w:t>
        </w:r>
      </w:hyperlink>
      <w:r>
        <w:rPr>
          <w:rFonts w:ascii="arial" w:eastAsia="arial" w:hAnsi="arial" w:cs="arial"/>
          <w:b w:val="0"/>
          <w:i w:val="0"/>
          <w:strike w:val="0"/>
          <w:noProof w:val="0"/>
          <w:color w:val="000000"/>
          <w:position w:val="0"/>
          <w:sz w:val="20"/>
          <w:u w:val="none"/>
          <w:vertAlign w:val="baseline"/>
        </w:rPr>
        <w:t>). Daily averages were obtained from hourly records.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Skeletal mineralogy, geochemistry, and structure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Mineralogical analyses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collected three fragments from three individual colonies per species and site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12) at 2 m depth in May 2021 and preserved them in solutions of 95% ethanol. We performed mineralogical analyses cutting the growing edge (2 × 2 mm2) following previously described methodology78. The excised pieces are estimated to have been formed within a period of ∼1–6 months prior to the date of collection, as the estimated vertical growth of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is 0.41 cm yr−1 and 3.5 cm yr−1 (estimated from another species belonging to the same genus, </w:t>
      </w:r>
      <w:r>
        <w:rPr>
          <w:rFonts w:ascii="arial" w:eastAsia="arial" w:hAnsi="arial" w:cs="arial"/>
          <w:b w:val="0"/>
          <w:i/>
          <w:strike w:val="0"/>
          <w:noProof w:val="0"/>
          <w:color w:val="000000"/>
          <w:position w:val="0"/>
          <w:sz w:val="20"/>
          <w:u w:val="none"/>
          <w:vertAlign w:val="baseline"/>
        </w:rPr>
        <w:t>P. fascialis</w:t>
      </w:r>
      <w:r>
        <w:rPr>
          <w:rFonts w:ascii="arial" w:eastAsia="arial" w:hAnsi="arial" w:cs="arial"/>
          <w:b w:val="0"/>
          <w:i w:val="0"/>
          <w:strike w:val="0"/>
          <w:noProof w:val="0"/>
          <w:color w:val="000000"/>
          <w:position w:val="0"/>
          <w:sz w:val="20"/>
          <w:u w:val="none"/>
          <w:vertAlign w:val="baseline"/>
        </w:rPr>
        <w:t>), respectively79,80.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carried out X-ray powder diffraction (XRD) measurements with a Bruker D8-A25 diffractometer, equipped with a Cu Kα (λ = 1.5418 Å) radiation source generated at a voltage of 30 kV and a current of 40 mA and a LynxEye position-sensitive detector at the Geosciencies Barcelona (GEO3BCN-CSIC). The scans were acquired between 25.40° and 32.70° in 2θ at 0.015° steps and time per step of 384 s. Phase identification was performed with the DIFFRAC.EVA software together with the Powder Diffraction File PDF-2 and the Crystallography Open Database. The mol% MgCO3 in calcite was calculated by measuring the position of the d104 peak, assuming a linear interpolation between CaCO3 and MgCO3 and recalibrated for the specific machine used (Supplementary Data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skeletons were categorized as IMC (4–8 mol% MgCO3), and HMC (&gt;8 mol% molCO3) (Rucker and Carver 1969). The differences in the Mg content between sites were analyzed using a t-test.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X-ray computed tomography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collected three fragments from three individual colonies per species and site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12) at 2 m depth in May 2021, rinsed with distilled water and then air dried. We then scanned the growing edges using micro X-ray computed tomography (Micro-CT) at the Service of Non-Destructive Techniques of the Museo Nacional de Ciencias Naturales (MNCN-CSIC). The Micro-CT has been demonstrated to be a valuable tool for studying internal features of recent and fossil bryozoans81, 82–83. All scans were executed using an XTH 160 Nikon Metrology, with a molybdenum target. During the analysis, the X-ray source was operated at a voltage of 160 kV with current ranging from 70–85 μA. A total of 3015 projections were taken at an exposure of 354 ms. The resulting dataset had a voxel size of 11 μm3. The CT Pro 3D software was used for the reconstruction of the raw projection.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analysis was achieved using Avizo® software of the CORELAB Laboratory from Universitat de Barcelona. The post-processing images workflow was developed to perform a morphometric analysis of samples (i.e., carbonate structure thickness and zooid volumes, length, and surface) (Supplementary Movies 1 and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step involved applying a non-local means algorithm to denoise the scalar volume data, followed by implementing a delineation filter to enhance the edges of objects, thereby improving object differentiation. The second step was to segment the image data to divide the bryozoan images into various subregions (i.e., carbonate skeleton and zooids volumes), which was obtained through the application of multiple morphological transformations. Finally, the subregion analysis allowed the extraction of various measurements from the images, such as volume (Supplementary Data 2 and 3). Additionally, a thickness of carbonate skeleton analysis was measured using the average object thickness module of Avizo®, which is given by a parallel plate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thickness analysis results of the skeletons, and a thickness map image, which offered a visual depiction of the spatial distribution and variations in thickness across the sample, were presented in millimeters. For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the thickness analysis was conducted on a total section of the colony (Supplementary Data 4). In contrast, for </w:t>
      </w:r>
      <w:r>
        <w:rPr>
          <w:rFonts w:ascii="arial" w:eastAsia="arial" w:hAnsi="arial" w:cs="arial"/>
          <w:b w:val="0"/>
          <w:i/>
          <w:strike w:val="0"/>
          <w:noProof w:val="0"/>
          <w:color w:val="000000"/>
          <w:position w:val="0"/>
          <w:sz w:val="20"/>
          <w:u w:val="none"/>
          <w:vertAlign w:val="baseline"/>
        </w:rPr>
        <w:t>M. truncata</w:t>
      </w:r>
      <w:r>
        <w:rPr>
          <w:rFonts w:ascii="arial" w:eastAsia="arial" w:hAnsi="arial" w:cs="arial"/>
          <w:b w:val="0"/>
          <w:i w:val="0"/>
          <w:strike w:val="0"/>
          <w:noProof w:val="0"/>
          <w:color w:val="000000"/>
          <w:position w:val="0"/>
          <w:sz w:val="20"/>
          <w:u w:val="none"/>
          <w:vertAlign w:val="baseline"/>
        </w:rPr>
        <w:t>, the analysis was focused on the distal part of the branches to avoid potential biases (Supplementary Data 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Microbiome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DNA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collected four fragments from four individual colonies per species and site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16) at 2 m depth in May 2021, placed in plastic bags filled with seawater from the collection point and transported in ice to the laboratory. Samples were then rinsed in milliQ water, preserved in 75% ethanol and frozen at –20 °C until DNA extraction. A total of four pieces (~1 mm2) were cut from the growing edge of each colony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64) and transferred into a 1.5 mL Eppendorf tube (Supplementary Data 5). DNA was extracted from each sample using the DNeasy Blood &amp; Tissue Kit (Qiagen, Hilden, Germany). All samples were stored at −20 °C until further processing.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DNA extraction from seawater samples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each site, we collected 1 L of seawater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2) and transported in ice to the laboratory. We then filtered seawater samples using 0.2 μm pore-size sterile membrane filters. We placed membrane filters in plastic bags and stored at −20 °C until DNA extraction. We finally extracted DNA from each sample using a Powersoil DNA extraction kit (Qiagen, Hilden, Germany). All samples were stored at −20 °C until further processing.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16S rRNA gene PCR amplification and sequencing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 concentrations from samples were measured with a Qubit fluorometer. Each sample yielded a concentration above 1 ng/μ and was subsequently sent to the Integrated Microbiome Resource facility at the Center for Comparative Genomics and Evolutionary Bioinformatics at Dalhousie University, Canada for 16S rRNA gene amplification and sequencing. The V4 region of the prokaryotic 16S rRNA gene was PCR-amplified using the newly modified 515 F/806RB primers (515 f modified: GTGYCAGCMGCCGCGGTAA; 806r modified: GGACTACNVGGGTWTCTAAT)84,85 with Illumina overhang adapter sequences. Sequencing was performed on Illuminia MiSeq platform.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Bioinformatics and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sequencing data have been deposited on NCBI (BioProject: PRJNA1047010). Primers and adapters used for sequencing were removed from paired-end reads using Cutadapt86. Reads were then processed in R using the DADA2 package87. First, forward reads were truncated at 250 bp and reverse reads at 200 bp according to their quality profiles and filtered using the parameters maxN = 0 and maxEE = c(2,2). Paired-end reads were then merged and chimaeras removed, and reads grouped into ASVs. Taxonomy was assigned to ASVs using the SILVA v138 database as reference88. The resulting ASV table and taxonomic assignment were combined with metadata using the phyloseq package89. ASVs classified as chloroplasts, mitochondria, or eukaryotes were removed from the dataset. Samples with 1000 or fewer reads were discarded. After this filtering, 3737 ASVs and 59 samples were used for statistical analysis using the microbiomeMarker and vegan packages90,91. The percent relative abundance of each microbial phylum for each sample was calculated, and ASVs with a total relative abundance &lt;0.001% were removed. All additional analyses were conducted at the genus level. Plots were constructed using ggplot2 and tidyverse packages92,93. Alpha diversity was calculated using Shannon and Chao1 diversity indices. Beta diversity was estimated using the Aitchison distance, and patterns in microbial community composition were visualized by Principal Component Analysis (PCA). Heatmaps were generated using the Ampvis294. To test for differences in beta-diversity between groups, an analysis of similarities (ANOSIM) within the vegan package was used, using 999 permutations. To account for potential differences in group dispersion, a homogeneity of multivariate dispersions test (betadisper) was performed to ensure that differences in beta-diversity were not confounded by unequal dispersion. Analysis of Compositions of Microbiomes with Bias Correction (ANCOMBC) were used to find significantly enriched and differentially abundant taxa between sites.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Temporal trends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Field surveys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study the effects of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cover and necrosis of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we performed transects of permanent photographic quadrats (25  × 25 cm) at 2 m depth in both study sites over time. A total of 111 photographs (CO2 vent = 55; Ambient pH site = 56) were taken after summer from 2016 to 2020 (except spring of 2020 due to the COVID-19 lockdown). We then analyzed cover (total area of living tissue) and tissue necrosis (dead tissue or denuded skeleton) with the ImageJ image software (National Institutes of Health, </w:t>
      </w:r>
      <w:hyperlink r:id="rId14" w:history="1">
        <w:r>
          <w:rPr>
            <w:rFonts w:ascii="arial" w:eastAsia="arial" w:hAnsi="arial" w:cs="arial"/>
            <w:b w:val="0"/>
            <w:i/>
            <w:strike w:val="0"/>
            <w:noProof w:val="0"/>
            <w:color w:val="0077CC"/>
            <w:position w:val="0"/>
            <w:sz w:val="20"/>
            <w:u w:val="single"/>
            <w:vertAlign w:val="baseline"/>
          </w:rPr>
          <w:t>https://imagej.net/ImageJ</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Multilevel Bayesian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estimate the differences in the temporal trends of the total area and the necrosis area of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between CO2 vent and Ambient pH site, we used multilevel generalized Bayesian models. We fitted two separate models, one with total area and another one with the necrosis as response variables. The fixed effects of both models were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(two levels, with and without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mean temperature (°C; derived from coastal seawater temperature data recorded at 5 m depth around Ischia Island between 2012 and 2023), year and their interaction. Measuring the magnitude of temperature change over time was beyond the scope of the study. Instead, we measured the association (potential effect) of temperature on biomass and necrosis through the inclusion of temperature as a covariate in the models. We considered the ID of each quadrat as the random intercept. To account for the temporal non-independence of the total area and necrosis area data, we included an autoregressive-1 temporal process, which assumes neighboring observations within the time series to be more similar than further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structure of the model was:12where  represents the total area or necrotic tissue of </w:t>
      </w:r>
      <w:r>
        <w:rPr>
          <w:rFonts w:ascii="arial" w:eastAsia="arial" w:hAnsi="arial" w:cs="arial"/>
          <w:b w:val="0"/>
          <w:i/>
          <w:strike w:val="0"/>
          <w:noProof w:val="0"/>
          <w:color w:val="000000"/>
          <w:position w:val="0"/>
          <w:sz w:val="20"/>
          <w:u w:val="none"/>
          <w:vertAlign w:val="baseline"/>
        </w:rPr>
        <w:t>P. ottomuelleriana</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xml:space="preserve">th quadrat ID and is given by a Normal distribution with mean </w:t>
      </w:r>
      <w:r>
        <w:rPr>
          <w:rFonts w:ascii="arial" w:eastAsia="arial" w:hAnsi="arial" w:cs="arial"/>
          <w:b w:val="0"/>
          <w:i/>
          <w:strike w:val="0"/>
          <w:noProof w:val="0"/>
          <w:color w:val="000000"/>
          <w:position w:val="0"/>
          <w:sz w:val="20"/>
          <w:u w:val="none"/>
          <w:vertAlign w:val="baseline"/>
        </w:rPr>
        <w:t>µ</w:t>
      </w:r>
      <w:r>
        <w:rPr>
          <w:rFonts w:ascii="arial" w:eastAsia="arial" w:hAnsi="arial" w:cs="arial"/>
          <w:b w:val="0"/>
          <w:i w:val="0"/>
          <w:strike w:val="0"/>
          <w:noProof w:val="0"/>
          <w:color w:val="000000"/>
          <w:position w:val="0"/>
          <w:sz w:val="20"/>
          <w:u w:val="none"/>
          <w:vertAlign w:val="baseline"/>
        </w:rPr>
        <w:t xml:space="preserve"> and a variance </w:t>
      </w:r>
      <w:r>
        <w:rPr>
          <w:rFonts w:ascii="arial" w:eastAsia="arial" w:hAnsi="arial" w:cs="arial"/>
          <w:b w:val="0"/>
          <w:i/>
          <w:strike w:val="0"/>
          <w:noProof w:val="0"/>
          <w:color w:val="000000"/>
          <w:position w:val="0"/>
          <w:sz w:val="20"/>
          <w:u w:val="none"/>
          <w:vertAlign w:val="baseline"/>
        </w:rPr>
        <w:t>σ</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α</w:t>
      </w:r>
      <w:r>
        <w:rPr>
          <w:rFonts w:ascii="arial" w:eastAsia="arial" w:hAnsi="arial" w:cs="arial"/>
          <w:b w:val="0"/>
          <w:i w:val="0"/>
          <w:strike w:val="0"/>
          <w:noProof w:val="0"/>
          <w:color w:val="000000"/>
          <w:position w:val="0"/>
          <w:sz w:val="20"/>
          <w:u w:val="none"/>
          <w:vertAlign w:val="baseline"/>
        </w:rPr>
        <w:t xml:space="preserve"> represents the intercept and  is the independent random intercept for quadrat ID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xml:space="preserve">).  is the effect of the discrete factor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the effect of the continuous factor </w:t>
      </w:r>
      <w:r>
        <w:rPr>
          <w:rFonts w:ascii="arial" w:eastAsia="arial" w:hAnsi="arial" w:cs="arial"/>
          <w:b w:val="0"/>
          <w:i/>
          <w:strike w:val="0"/>
          <w:noProof w:val="0"/>
          <w:color w:val="000000"/>
          <w:position w:val="0"/>
          <w:sz w:val="20"/>
          <w:u w:val="none"/>
          <w:vertAlign w:val="baseline"/>
        </w:rPr>
        <w:t>mean temperature</w:t>
      </w:r>
      <w:r>
        <w:rPr>
          <w:rFonts w:ascii="arial" w:eastAsia="arial" w:hAnsi="arial" w:cs="arial"/>
          <w:b w:val="0"/>
          <w:i w:val="0"/>
          <w:strike w:val="0"/>
          <w:noProof w:val="0"/>
          <w:color w:val="000000"/>
          <w:position w:val="0"/>
          <w:sz w:val="20"/>
          <w:u w:val="none"/>
          <w:vertAlign w:val="baseline"/>
        </w:rPr>
        <w:t xml:space="preserve">,  is the effect of the continues factor </w:t>
      </w:r>
      <w:r>
        <w:rPr>
          <w:rFonts w:ascii="arial" w:eastAsia="arial" w:hAnsi="arial" w:cs="arial"/>
          <w:b w:val="0"/>
          <w:i/>
          <w:strike w:val="0"/>
          <w:noProof w:val="0"/>
          <w:color w:val="000000"/>
          <w:position w:val="0"/>
          <w:sz w:val="20"/>
          <w:u w:val="none"/>
          <w:vertAlign w:val="baseline"/>
        </w:rPr>
        <w:t>year</w:t>
      </w:r>
      <w:r>
        <w:rPr>
          <w:rFonts w:ascii="arial" w:eastAsia="arial" w:hAnsi="arial" w:cs="arial"/>
          <w:b w:val="0"/>
          <w:i w:val="0"/>
          <w:strike w:val="0"/>
          <w:noProof w:val="0"/>
          <w:color w:val="000000"/>
          <w:position w:val="0"/>
          <w:sz w:val="20"/>
          <w:u w:val="none"/>
          <w:vertAlign w:val="baseline"/>
        </w:rPr>
        <w:t xml:space="preserve">, and  is the interaction among these factors. </w:t>
      </w:r>
      <w:r>
        <w:rPr>
          <w:rFonts w:ascii="arial" w:eastAsia="arial" w:hAnsi="arial" w:cs="arial"/>
          <w:b w:val="0"/>
          <w:i/>
          <w:strike w:val="0"/>
          <w:noProof w:val="0"/>
          <w:color w:val="000000"/>
          <w:position w:val="0"/>
          <w:sz w:val="20"/>
          <w:u w:val="none"/>
          <w:vertAlign w:val="baseline"/>
        </w:rPr>
        <w:t>AR(1)</w:t>
      </w:r>
      <w:r>
        <w:rPr>
          <w:rFonts w:ascii="arial" w:eastAsia="arial" w:hAnsi="arial" w:cs="arial"/>
          <w:b w:val="0"/>
          <w:i w:val="0"/>
          <w:strike w:val="0"/>
          <w:noProof w:val="0"/>
          <w:color w:val="000000"/>
          <w:position w:val="0"/>
          <w:sz w:val="20"/>
          <w:u w:val="none"/>
          <w:vertAlign w:val="baseline"/>
        </w:rPr>
        <w:t xml:space="preserve"> represents the autoregressive process of order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weakly informed priors:3456789101112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models were fitted using the brms package v2.1.095 in R v4.0.0. Models were run for 10,000 iterations, with a warmup of 1000 iterations.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Multilevel Bayesian models diagnostics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check the validity of our multilevel Bayesian models we ran a set of diagnostics. We inspected model convergence by visually examining trace plots and using Rhat values (the ratio of the effective sample size to the overall number of iterations, with values close to one indicating convergence). We also evaluated the model fit by exploring the distribution of the residuals, their variance, and the posterior predictive checks (Supplementary Fig. 2–4). All the diagnostics suggested a good model fit.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Statistics and Reproducibility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Statistical analyses were adapted to each study component and performed in R (v4.0.0). Mineralogical differences (mol% MgCO₃) between sites were assessed using t-tests. Micro-CT data were processed in Avizo® to extract morphometric features of carbonate skeletons and zooids. Microbial community analyses followed DADA2-based sequence processing87; alpha diversity was evaluated using Shannon and Chao1 indices, and beta diversity using Aitchison distances visualized by PCA. Group differences in beta diversity were tested with ANOSIM (vegan package)91, and dispersion effects were assessed with the betadisper function. Differentially abundant taxa were identified via ANCOM-BC90. Temporal trends in bryozoan cover and necrosis were analyzed using multilevel generalized Bayesian models with autoregressive terms, implemented in the brms package (v2.1.0)95. Model convergence and fit were confirmed through trace plots, Rhat values, and posterior predictive checks. Plots were generated using ggplot2 and tidyverse92,93. All data are available in the Data file, and raw sequencing data are archived under NCBI BioProject PRJNA1047010. See “Methods” for full details.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Reporting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information on research design is available in the Nature Portfolio Reporting Summary linked to this article.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thank the Marine Protected Area “Regno di Nettuno” for field work. We thank C. Paradela for her support in the acquisition of the microCT scans, S. Álvarez and J. Ivañez for their support with the XRD, CORELAB laboratory (Universitat de Barcelona) for his support to analyze micro-CT data and A.M. Bonacolta for his support with the microbiome analyses. We thank L. Hsiang for valuable discussion. BF has received funding by a Ramon y Cajal grant (RYC2022-036268-I) funded by MICIU/AEI/10.13039/501100011033 and FSE + , a Beatriu de Pinós grant (2019 BP 00183), from the Catalan Government and the European Union’s Horizon 2020 research and innovation program under the Marie Skłodowska-Curie grant agreement No 801370, and by a Juan de la Cierva- Incorporación grant (IJCI-2017-31478) from the Ministry of Science and Innovation. This work has been developed in the framework of the MedCalRes project Grant PID2021-125323OA-I00 to BF funded by MICIU/AEI/10.13039/501100011033 and ERDF/EU. BF and JG acknowledge the grant CEX2024-001494-S funded by AEI 10.13039/501100011033. JG acknowledges the funding by the European Union Horizon 2020 research and innovation program (Futuremares SEP-210597628). NT was supported by the Agence Nationale de la Recherche (4Oceans, MOPGA, grant no. ANR-17-MOPGA-0001) and the National Recovery and Resilience Plan (NRRP), Mission 4 Component 2 Investment 1.4 - Call for tender No. 3138 of 16 December 2021, rectified by Decree n.3175 of 18 December 2021 of Italian Ministry of University and Research funded by the European Union – NextGenerationEU; Award Number: Project code CN_00000033, Concession Decree No. 1034 of 17 June 2022 adopted by the Italian Ministry of University and Research, CUP C63C22000520001 Project title “National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Future Center - NBFC. BF, PC, and JG are part of the Marine Conservation research group funded by Generalitat de Catalunya [2021 SGR 01073].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Supplementary informationThe online version contains supplementary material available at </w:t>
      </w:r>
      <w:hyperlink r:id="rId15" w:history="1">
        <w:r>
          <w:rPr>
            <w:rFonts w:ascii="arial" w:eastAsia="arial" w:hAnsi="arial" w:cs="arial"/>
            <w:b w:val="0"/>
            <w:i/>
            <w:strike w:val="0"/>
            <w:noProof w:val="0"/>
            <w:color w:val="0077CC"/>
            <w:position w:val="0"/>
            <w:sz w:val="20"/>
            <w:u w:val="single"/>
            <w:vertAlign w:val="baseline"/>
          </w:rPr>
          <w:t>https://doi.org/10.1038/s42003-025-08524-8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Publisher’s note</w:t>
      </w:r>
      <w:r>
        <w:rPr>
          <w:rFonts w:ascii="arial" w:eastAsia="arial" w:hAnsi="arial" w:cs="arial"/>
          <w:b w:val="0"/>
          <w:i w:val="0"/>
          <w:strike w:val="0"/>
          <w:noProof w:val="0"/>
          <w:color w:val="000000"/>
          <w:position w:val="0"/>
          <w:sz w:val="20"/>
          <w:u w:val="none"/>
          <w:vertAlign w:val="baseline"/>
        </w:rPr>
        <w:t xml:space="preserve"> 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[1].Sage, RF. Global change biology: a primer</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(2020). Vol. 26. Pg 3-30.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[2].Carbonne, C. Two temperate corals are tolerant to low pH regardless of previous exposure to natural CO2 vents</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(2021). Vol. 66. Pg 4046-4061.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[3].Figuerola, B. A review and meta-analysis of potential impacts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marine calcifiers from the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(2021).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[4].Ries, JB. Cohen, AL. McCorkle, DC. Marine calcifiers exhibit mixed responses to CO2-induced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Geology</w:t>
      </w:r>
      <w:r>
        <w:rPr>
          <w:rFonts w:ascii="arial" w:eastAsia="arial" w:hAnsi="arial" w:cs="arial"/>
          <w:b w:val="0"/>
          <w:i w:val="0"/>
          <w:strike w:val="0"/>
          <w:noProof w:val="0"/>
          <w:color w:val="000000"/>
          <w:position w:val="0"/>
          <w:sz w:val="20"/>
          <w:u w:val="none"/>
          <w:vertAlign w:val="baseline"/>
        </w:rPr>
        <w:t xml:space="preserve"> (2009). Vol. 37. Pg 1131-1134.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[5].Fabry, VJ. Marine calcifiers in a high-CO₂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(2008). Vol. 320. Pg 1020-1022.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[6].Teixidó, N. Functional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along natural CO2 gradients</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(2018).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[7].Cross, EL. Harper, EM. Peck, LS. Thicker shells compensate extensive dissolution in brachiopods under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Environ. Sci. Technol.</w:t>
      </w:r>
      <w:r>
        <w:rPr>
          <w:rFonts w:ascii="arial" w:eastAsia="arial" w:hAnsi="arial" w:cs="arial"/>
          <w:b w:val="0"/>
          <w:i w:val="0"/>
          <w:strike w:val="0"/>
          <w:noProof w:val="0"/>
          <w:color w:val="000000"/>
          <w:position w:val="0"/>
          <w:sz w:val="20"/>
          <w:u w:val="none"/>
          <w:vertAlign w:val="baseline"/>
        </w:rPr>
        <w:t xml:space="preserve"> (2019). Vol. 53. Pg 5016-5026.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[8].Prada, 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synergistically increase coral mortality</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(2017).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[9].Gaitán-Espitia, JD. Geographical gradients in selection can reveal genetic constraints for evolutionary responses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Biol. Lett.</w:t>
      </w:r>
      <w:r>
        <w:rPr>
          <w:rFonts w:ascii="arial" w:eastAsia="arial" w:hAnsi="arial" w:cs="arial"/>
          <w:b w:val="0"/>
          <w:i w:val="0"/>
          <w:strike w:val="0"/>
          <w:noProof w:val="0"/>
          <w:color w:val="000000"/>
          <w:position w:val="0"/>
          <w:sz w:val="20"/>
          <w:u w:val="none"/>
          <w:vertAlign w:val="baseline"/>
        </w:rPr>
        <w:t xml:space="preserve"> (2017).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[10].Li, L. Divergence and plasticity shape adaptive potential of the Pacific oyster</w:t>
      </w:r>
      <w:r>
        <w:rPr>
          <w:rFonts w:ascii="arial" w:eastAsia="arial" w:hAnsi="arial" w:cs="arial"/>
          <w:b w:val="0"/>
          <w:i/>
          <w:strike w:val="0"/>
          <w:noProof w:val="0"/>
          <w:color w:val="000000"/>
          <w:position w:val="0"/>
          <w:sz w:val="20"/>
          <w:u w:val="none"/>
          <w:vertAlign w:val="baseline"/>
        </w:rPr>
        <w:t>Nat. Ecol. Evol.</w:t>
      </w:r>
      <w:r>
        <w:rPr>
          <w:rFonts w:ascii="arial" w:eastAsia="arial" w:hAnsi="arial" w:cs="arial"/>
          <w:b w:val="0"/>
          <w:i w:val="0"/>
          <w:strike w:val="0"/>
          <w:noProof w:val="0"/>
          <w:color w:val="000000"/>
          <w:position w:val="0"/>
          <w:sz w:val="20"/>
          <w:u w:val="none"/>
          <w:vertAlign w:val="baseline"/>
        </w:rPr>
        <w:t xml:space="preserve"> (2018). Vol. 2. Pg 1751-1760.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[11].Pespeni, MH. Chan, F. Menge, BA. Palumbi, SR. Signs of adaptation to local pH conditions across an environmental mosaic in the California current ecosystem</w:t>
      </w:r>
      <w:r>
        <w:rPr>
          <w:rFonts w:ascii="arial" w:eastAsia="arial" w:hAnsi="arial" w:cs="arial"/>
          <w:b w:val="0"/>
          <w:i/>
          <w:strike w:val="0"/>
          <w:noProof w:val="0"/>
          <w:color w:val="000000"/>
          <w:position w:val="0"/>
          <w:sz w:val="20"/>
          <w:u w:val="none"/>
          <w:vertAlign w:val="baseline"/>
        </w:rPr>
        <w:t>Integr. Comp. Biol.</w:t>
      </w:r>
      <w:r>
        <w:rPr>
          <w:rFonts w:ascii="arial" w:eastAsia="arial" w:hAnsi="arial" w:cs="arial"/>
          <w:b w:val="0"/>
          <w:i w:val="0"/>
          <w:strike w:val="0"/>
          <w:noProof w:val="0"/>
          <w:color w:val="000000"/>
          <w:position w:val="0"/>
          <w:sz w:val="20"/>
          <w:u w:val="none"/>
          <w:vertAlign w:val="baseline"/>
        </w:rPr>
        <w:t xml:space="preserve"> (2013). Vol. 53. Pg 857-870.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[12].Kelly, MW. Hofmann, GE. Adaptation and the physiology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(2013). Vol. 27. Pg 980-990.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[13].McDevitt-Irwin, J. M., Baum, J. K., Garren, M. &amp; Vega Thurber, R. L. Responses of coral-associated bacterial communities to local and global stressors. Front. Mar. Sci.4, 262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[14].Torda, G. Rapid adaptive responses to climate change in corals</w:t>
      </w:r>
      <w:r>
        <w:rPr>
          <w:rFonts w:ascii="arial" w:eastAsia="arial" w:hAnsi="arial" w:cs="arial"/>
          <w:b w:val="0"/>
          <w:i/>
          <w:strike w:val="0"/>
          <w:noProof w:val="0"/>
          <w:color w:val="000000"/>
          <w:position w:val="0"/>
          <w:sz w:val="20"/>
          <w:u w:val="none"/>
          <w:vertAlign w:val="baseline"/>
        </w:rPr>
        <w:t>Nat. Clim. Change</w:t>
      </w:r>
      <w:r>
        <w:rPr>
          <w:rFonts w:ascii="arial" w:eastAsia="arial" w:hAnsi="arial" w:cs="arial"/>
          <w:b w:val="0"/>
          <w:i w:val="0"/>
          <w:strike w:val="0"/>
          <w:noProof w:val="0"/>
          <w:color w:val="000000"/>
          <w:position w:val="0"/>
          <w:sz w:val="20"/>
          <w:u w:val="none"/>
          <w:vertAlign w:val="baseline"/>
        </w:rPr>
        <w:t xml:space="preserve"> (2017). Vol. 7. Pg 627-636.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[15].Ziegler, M. Coral bacterial community structure responds to environmental change in a host-specific manner</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(2019).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[16].Shore, A. Day, RD. Stewart, JA. Burge, CA. Dichotomy between regulation of coral bacterial communities and calcification physiology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conditions</w:t>
      </w:r>
      <w:r>
        <w:rPr>
          <w:rFonts w:ascii="arial" w:eastAsia="arial" w:hAnsi="arial" w:cs="arial"/>
          <w:b w:val="0"/>
          <w:i/>
          <w:strike w:val="0"/>
          <w:noProof w:val="0"/>
          <w:color w:val="000000"/>
          <w:position w:val="0"/>
          <w:sz w:val="20"/>
          <w:u w:val="none"/>
          <w:vertAlign w:val="baseline"/>
        </w:rPr>
        <w:t>Appl. Environ. Microbiol.</w:t>
      </w:r>
      <w:r>
        <w:rPr>
          <w:rFonts w:ascii="arial" w:eastAsia="arial" w:hAnsi="arial" w:cs="arial"/>
          <w:b w:val="0"/>
          <w:i w:val="0"/>
          <w:strike w:val="0"/>
          <w:noProof w:val="0"/>
          <w:color w:val="000000"/>
          <w:position w:val="0"/>
          <w:sz w:val="20"/>
          <w:u w:val="none"/>
          <w:vertAlign w:val="baseline"/>
        </w:rPr>
        <w:t xml:space="preserve"> (2021). Vol. 87. Pg e02189-20.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[17].Leray, M. Natural experiments and long-term monitoring are critical to understand and predict marine host–microbe ecology and evolution</w:t>
      </w:r>
      <w:r>
        <w:rPr>
          <w:rFonts w:ascii="arial" w:eastAsia="arial" w:hAnsi="arial" w:cs="arial"/>
          <w:b w:val="0"/>
          <w:i/>
          <w:strike w:val="0"/>
          <w:noProof w:val="0"/>
          <w:color w:val="000000"/>
          <w:position w:val="0"/>
          <w:sz w:val="20"/>
          <w:u w:val="none"/>
          <w:vertAlign w:val="baseline"/>
        </w:rPr>
        <w:t>PLOS Biol.</w:t>
      </w:r>
      <w:r>
        <w:rPr>
          <w:rFonts w:ascii="arial" w:eastAsia="arial" w:hAnsi="arial" w:cs="arial"/>
          <w:b w:val="0"/>
          <w:i w:val="0"/>
          <w:strike w:val="0"/>
          <w:noProof w:val="0"/>
          <w:color w:val="000000"/>
          <w:position w:val="0"/>
          <w:sz w:val="20"/>
          <w:u w:val="none"/>
          <w:vertAlign w:val="baseline"/>
        </w:rPr>
        <w:t xml:space="preserve"> (2021). Vol. 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[18].Kroeker, KJ. Impacts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marine organisms: quantifying sensitivities and interaction with warming</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(2013). Vol. 19. Pg 1884-1896.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[19].Figuerola, B. Gordon, DP. Cristobo, J. New deep Cheilostomata (Bryozoa) species from the Southwestern Atlantic: Shedding light in the dark</w:t>
      </w:r>
      <w:r>
        <w:rPr>
          <w:rFonts w:ascii="arial" w:eastAsia="arial" w:hAnsi="arial" w:cs="arial"/>
          <w:b w:val="0"/>
          <w:i/>
          <w:strike w:val="0"/>
          <w:noProof w:val="0"/>
          <w:color w:val="000000"/>
          <w:position w:val="0"/>
          <w:sz w:val="20"/>
          <w:u w:val="none"/>
          <w:vertAlign w:val="baseline"/>
        </w:rPr>
        <w:t>Zootaxa</w:t>
      </w:r>
      <w:r>
        <w:rPr>
          <w:rFonts w:ascii="arial" w:eastAsia="arial" w:hAnsi="arial" w:cs="arial"/>
          <w:b w:val="0"/>
          <w:i w:val="0"/>
          <w:strike w:val="0"/>
          <w:noProof w:val="0"/>
          <w:color w:val="000000"/>
          <w:position w:val="0"/>
          <w:sz w:val="20"/>
          <w:u w:val="none"/>
          <w:vertAlign w:val="baseline"/>
        </w:rPr>
        <w:t xml:space="preserve"> (2018). Vol. 4375. Pg 211-249.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[20].Taylor, P. D. &amp; Tan, S.-H. A. Cheilostome Bryozoa from Penang and Langkawi, Malaysia. Eur. J. Taxon. (2015) </w:t>
      </w:r>
      <w:hyperlink r:id="rId16" w:history="1">
        <w:r>
          <w:rPr>
            <w:rFonts w:ascii="arial" w:eastAsia="arial" w:hAnsi="arial" w:cs="arial"/>
            <w:b w:val="0"/>
            <w:i/>
            <w:strike w:val="0"/>
            <w:noProof w:val="0"/>
            <w:color w:val="0077CC"/>
            <w:position w:val="0"/>
            <w:sz w:val="20"/>
            <w:u w:val="single"/>
            <w:vertAlign w:val="baseline"/>
          </w:rPr>
          <w:t>https://doi.org/10.5852/ejt.2015.149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[21].Simpson, C. Jackson, JBC. Bryozoan revelations</w:t>
      </w:r>
      <w:r>
        <w:rPr>
          <w:rFonts w:ascii="arial" w:eastAsia="arial" w:hAnsi="arial" w:cs="arial"/>
          <w:b w:val="0"/>
          <w:i/>
          <w:strike w:val="0"/>
          <w:noProof w:val="0"/>
          <w:color w:val="000000"/>
          <w:position w:val="0"/>
          <w:sz w:val="20"/>
          <w:u w:val="none"/>
          <w:vertAlign w:val="baseline"/>
        </w:rPr>
        <w:t>Sci. Adv.</w:t>
      </w:r>
      <w:r>
        <w:rPr>
          <w:rFonts w:ascii="arial" w:eastAsia="arial" w:hAnsi="arial" w:cs="arial"/>
          <w:b w:val="0"/>
          <w:i w:val="0"/>
          <w:strike w:val="0"/>
          <w:noProof w:val="0"/>
          <w:color w:val="000000"/>
          <w:position w:val="0"/>
          <w:sz w:val="20"/>
          <w:u w:val="none"/>
          <w:vertAlign w:val="baseline"/>
        </w:rPr>
        <w:t xml:space="preserve"> (2022).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[22].Dutka, T. L., Fejer, A. J., Williams, T., Donnelly, D. M. &amp; Flynn, A. J. Extent and characteristics of a newly discovered unique bryozoan biogenic reef complex. Front. Mar. Sci.9, 841131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[23].Figuerola, Avila. The Phylum Bryozoa as a promising source of anticancer drugs</w:t>
      </w:r>
      <w:r>
        <w:rPr>
          <w:rFonts w:ascii="arial" w:eastAsia="arial" w:hAnsi="arial" w:cs="arial"/>
          <w:b w:val="0"/>
          <w:i/>
          <w:strike w:val="0"/>
          <w:noProof w:val="0"/>
          <w:color w:val="000000"/>
          <w:position w:val="0"/>
          <w:sz w:val="20"/>
          <w:u w:val="none"/>
          <w:vertAlign w:val="baseline"/>
        </w:rPr>
        <w:t>Mar. Drugs</w:t>
      </w:r>
      <w:r>
        <w:rPr>
          <w:rFonts w:ascii="arial" w:eastAsia="arial" w:hAnsi="arial" w:cs="arial"/>
          <w:b w:val="0"/>
          <w:i w:val="0"/>
          <w:strike w:val="0"/>
          <w:noProof w:val="0"/>
          <w:color w:val="000000"/>
          <w:position w:val="0"/>
          <w:sz w:val="20"/>
          <w:u w:val="none"/>
          <w:vertAlign w:val="baseline"/>
        </w:rPr>
        <w:t xml:space="preserve"> (2019). Vol.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[24].Taylor, P. D. Bryozoan Paleobiology (Wiley,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[25].Orr, R. Paleozoic origins of cheilostome bryozoans and their parental care inferred by a new genome-skimmed phylogeny</w:t>
      </w:r>
      <w:r>
        <w:rPr>
          <w:rFonts w:ascii="arial" w:eastAsia="arial" w:hAnsi="arial" w:cs="arial"/>
          <w:b w:val="0"/>
          <w:i/>
          <w:strike w:val="0"/>
          <w:noProof w:val="0"/>
          <w:color w:val="000000"/>
          <w:position w:val="0"/>
          <w:sz w:val="20"/>
          <w:u w:val="none"/>
          <w:vertAlign w:val="baseline"/>
        </w:rPr>
        <w:t>Sci. Adv.</w:t>
      </w:r>
      <w:r>
        <w:rPr>
          <w:rFonts w:ascii="arial" w:eastAsia="arial" w:hAnsi="arial" w:cs="arial"/>
          <w:b w:val="0"/>
          <w:i w:val="0"/>
          <w:strike w:val="0"/>
          <w:noProof w:val="0"/>
          <w:color w:val="000000"/>
          <w:position w:val="0"/>
          <w:sz w:val="20"/>
          <w:u w:val="none"/>
          <w:vertAlign w:val="baseline"/>
        </w:rPr>
        <w:t xml:space="preserve"> (2022).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[26].Krzemińska, M. Bryozoan carbonate skeletal geochemical composition in the White Sea compared with neighbouring seas</w:t>
      </w:r>
      <w:r>
        <w:rPr>
          <w:rFonts w:ascii="arial" w:eastAsia="arial" w:hAnsi="arial" w:cs="arial"/>
          <w:b w:val="0"/>
          <w:i/>
          <w:strike w:val="0"/>
          <w:noProof w:val="0"/>
          <w:color w:val="000000"/>
          <w:position w:val="0"/>
          <w:sz w:val="20"/>
          <w:u w:val="none"/>
          <w:vertAlign w:val="baseline"/>
        </w:rPr>
        <w:t>Mar. Environ. Res.</w:t>
      </w:r>
      <w:r>
        <w:rPr>
          <w:rFonts w:ascii="arial" w:eastAsia="arial" w:hAnsi="arial" w:cs="arial"/>
          <w:b w:val="0"/>
          <w:i w:val="0"/>
          <w:strike w:val="0"/>
          <w:noProof w:val="0"/>
          <w:color w:val="000000"/>
          <w:position w:val="0"/>
          <w:sz w:val="20"/>
          <w:u w:val="none"/>
          <w:vertAlign w:val="baseline"/>
        </w:rPr>
        <w:t xml:space="preserve"> (2022). Vol. 173.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[27].Smith, AM. Clark, DE. Lamare, MD. Winter, DJ. Byrne, M. Risk and resilience: variations in magnesium in echinoid skeletal calcite</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(2016). Vol. 561. Pg 1-16.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[28].Smith, AM. Bryozoans as southern sentinels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 major role for a minor phylum</w:t>
      </w:r>
      <w:r>
        <w:rPr>
          <w:rFonts w:ascii="arial" w:eastAsia="arial" w:hAnsi="arial" w:cs="arial"/>
          <w:b w:val="0"/>
          <w:i/>
          <w:strike w:val="0"/>
          <w:noProof w:val="0"/>
          <w:color w:val="000000"/>
          <w:position w:val="0"/>
          <w:sz w:val="20"/>
          <w:u w:val="none"/>
          <w:vertAlign w:val="baseline"/>
        </w:rPr>
        <w:t>Mar. Freshw. Res.</w:t>
      </w:r>
      <w:r>
        <w:rPr>
          <w:rFonts w:ascii="arial" w:eastAsia="arial" w:hAnsi="arial" w:cs="arial"/>
          <w:b w:val="0"/>
          <w:i w:val="0"/>
          <w:strike w:val="0"/>
          <w:noProof w:val="0"/>
          <w:color w:val="000000"/>
          <w:position w:val="0"/>
          <w:sz w:val="20"/>
          <w:u w:val="none"/>
          <w:vertAlign w:val="baseline"/>
        </w:rPr>
        <w:t xml:space="preserve"> (2009). Vol. 60. Pg 475-482.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[29].Figuerola, B. Temperature as a likely driver shaping global patterns in mineralogical composition in bryozoans: implications for marine calcifiers under global change</w:t>
      </w:r>
      <w:r>
        <w:rPr>
          <w:rFonts w:ascii="arial" w:eastAsia="arial" w:hAnsi="arial" w:cs="arial"/>
          <w:b w:val="0"/>
          <w:i/>
          <w:strike w:val="0"/>
          <w:noProof w:val="0"/>
          <w:color w:val="000000"/>
          <w:position w:val="0"/>
          <w:sz w:val="20"/>
          <w:u w:val="none"/>
          <w:vertAlign w:val="baseline"/>
        </w:rPr>
        <w:t>Ecography</w:t>
      </w:r>
      <w:r>
        <w:rPr>
          <w:rFonts w:ascii="arial" w:eastAsia="arial" w:hAnsi="arial" w:cs="arial"/>
          <w:b w:val="0"/>
          <w:i w:val="0"/>
          <w:strike w:val="0"/>
          <w:noProof w:val="0"/>
          <w:color w:val="000000"/>
          <w:position w:val="0"/>
          <w:sz w:val="20"/>
          <w:u w:val="none"/>
          <w:vertAlign w:val="baseline"/>
        </w:rPr>
        <w:t xml:space="preserve"> (2023). Vol.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[30].Lombardi, C. Cristina, M. Vasapollo, C. Taylor, P. Cocito, S. Skeletal alterations and polymorphism in a Mediterranean bryozoan at natural CO2 vents</w:t>
      </w:r>
      <w:r>
        <w:rPr>
          <w:rFonts w:ascii="arial" w:eastAsia="arial" w:hAnsi="arial" w:cs="arial"/>
          <w:b w:val="0"/>
          <w:i/>
          <w:strike w:val="0"/>
          <w:noProof w:val="0"/>
          <w:color w:val="000000"/>
          <w:position w:val="0"/>
          <w:sz w:val="20"/>
          <w:u w:val="none"/>
          <w:vertAlign w:val="baseline"/>
        </w:rPr>
        <w:t>Zoomorphology</w:t>
      </w:r>
      <w:r>
        <w:rPr>
          <w:rFonts w:ascii="arial" w:eastAsia="arial" w:hAnsi="arial" w:cs="arial"/>
          <w:b w:val="0"/>
          <w:i w:val="0"/>
          <w:strike w:val="0"/>
          <w:noProof w:val="0"/>
          <w:color w:val="000000"/>
          <w:position w:val="0"/>
          <w:sz w:val="20"/>
          <w:u w:val="none"/>
          <w:vertAlign w:val="baseline"/>
        </w:rPr>
        <w:t xml:space="preserve"> (2011). Vol. 130. Pg 135-145.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[31].Pagès-Escolà, M. Divergent responses to warming of two common co-occurring Mediterranean bryozoans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(2018).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[32].Rodolfo-Metalpa, R. Lombardi, C. Cocito, S. Hall-Spencer, JM. Gambi, MC.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high temperatures on the bryozoan Myriapora truncata at natural CO2 vents</w:t>
      </w:r>
      <w:r>
        <w:rPr>
          <w:rFonts w:ascii="arial" w:eastAsia="arial" w:hAnsi="arial" w:cs="arial"/>
          <w:b w:val="0"/>
          <w:i/>
          <w:strike w:val="0"/>
          <w:noProof w:val="0"/>
          <w:color w:val="000000"/>
          <w:position w:val="0"/>
          <w:sz w:val="20"/>
          <w:u w:val="none"/>
          <w:vertAlign w:val="baseline"/>
        </w:rPr>
        <w:t>Mar. Ecol.</w:t>
      </w:r>
      <w:r>
        <w:rPr>
          <w:rFonts w:ascii="arial" w:eastAsia="arial" w:hAnsi="arial" w:cs="arial"/>
          <w:b w:val="0"/>
          <w:i w:val="0"/>
          <w:strike w:val="0"/>
          <w:noProof w:val="0"/>
          <w:color w:val="000000"/>
          <w:position w:val="0"/>
          <w:sz w:val="20"/>
          <w:u w:val="none"/>
          <w:vertAlign w:val="baseline"/>
        </w:rPr>
        <w:t xml:space="preserve"> (2010). Vol. 31. Pg 447-456.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[33].Boscaro, V. Microbiomes of microscopic marine invertebrates do not reveal signatures of phylosymbiosis</w:t>
      </w:r>
      <w:r>
        <w:rPr>
          <w:rFonts w:ascii="arial" w:eastAsia="arial" w:hAnsi="arial" w:cs="arial"/>
          <w:b w:val="0"/>
          <w:i/>
          <w:strike w:val="0"/>
          <w:noProof w:val="0"/>
          <w:color w:val="000000"/>
          <w:position w:val="0"/>
          <w:sz w:val="20"/>
          <w:u w:val="none"/>
          <w:vertAlign w:val="baseline"/>
        </w:rPr>
        <w:t>Nat. Microbiol.</w:t>
      </w:r>
      <w:r>
        <w:rPr>
          <w:rFonts w:ascii="arial" w:eastAsia="arial" w:hAnsi="arial" w:cs="arial"/>
          <w:b w:val="0"/>
          <w:i w:val="0"/>
          <w:strike w:val="0"/>
          <w:noProof w:val="0"/>
          <w:color w:val="000000"/>
          <w:position w:val="0"/>
          <w:sz w:val="20"/>
          <w:u w:val="none"/>
          <w:vertAlign w:val="baseline"/>
        </w:rPr>
        <w:t xml:space="preserve"> (2022). Vol. 7. Pg 810-819.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[34].Bourne, DG. Coral reef invertebrate microbiomes correlate with the presence of photosymbionts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(2013). Vol. 7. Pg 1452-1458.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[35].Li. Mishra, M. Ding, S. Miyamoto, MM. Diversity and dynamics of “Candidatus Endobugula” and other symbiotic bacteria in chinese populations of the bryozoan, Bugula neritina</w:t>
      </w:r>
      <w:r>
        <w:rPr>
          <w:rFonts w:ascii="arial" w:eastAsia="arial" w:hAnsi="arial" w:cs="arial"/>
          <w:b w:val="0"/>
          <w:i/>
          <w:strike w:val="0"/>
          <w:noProof w:val="0"/>
          <w:color w:val="000000"/>
          <w:position w:val="0"/>
          <w:sz w:val="20"/>
          <w:u w:val="none"/>
          <w:vertAlign w:val="baseline"/>
        </w:rPr>
        <w:t>Microb. Ecol.</w:t>
      </w:r>
      <w:r>
        <w:rPr>
          <w:rFonts w:ascii="arial" w:eastAsia="arial" w:hAnsi="arial" w:cs="arial"/>
          <w:b w:val="0"/>
          <w:i w:val="0"/>
          <w:strike w:val="0"/>
          <w:noProof w:val="0"/>
          <w:color w:val="000000"/>
          <w:position w:val="0"/>
          <w:sz w:val="20"/>
          <w:u w:val="none"/>
          <w:vertAlign w:val="baseline"/>
        </w:rPr>
        <w:t xml:space="preserve"> (2019). Vol. 77. Pg 243-256.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[36].Patin, N. Locklear, S. Stewart, F. Lopanik, N. Symbiont frequency predicts microbiome composition in a model bryozoan-bacterial symbiosis</w:t>
      </w:r>
      <w:r>
        <w:rPr>
          <w:rFonts w:ascii="arial" w:eastAsia="arial" w:hAnsi="arial" w:cs="arial"/>
          <w:b w:val="0"/>
          <w:i/>
          <w:strike w:val="0"/>
          <w:noProof w:val="0"/>
          <w:color w:val="000000"/>
          <w:position w:val="0"/>
          <w:sz w:val="20"/>
          <w:u w:val="none"/>
          <w:vertAlign w:val="baseline"/>
        </w:rPr>
        <w:t>Aquat. Microb. Ecol.</w:t>
      </w:r>
      <w:r>
        <w:rPr>
          <w:rFonts w:ascii="arial" w:eastAsia="arial" w:hAnsi="arial" w:cs="arial"/>
          <w:b w:val="0"/>
          <w:i w:val="0"/>
          <w:strike w:val="0"/>
          <w:noProof w:val="0"/>
          <w:color w:val="000000"/>
          <w:position w:val="0"/>
          <w:sz w:val="20"/>
          <w:u w:val="none"/>
          <w:vertAlign w:val="baseline"/>
        </w:rPr>
        <w:t xml:space="preserve"> (2019). Vol. 83. Pg 1-13.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[37].Teixidó, 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causes variable trait‐shifts in a coral species</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(2020). Vol. 26. Pg 6813-6830.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[38].Lionello, P. Scarascia, L. The relation between climate change in the Mediterranean region and global warming</w:t>
      </w:r>
      <w:r>
        <w:rPr>
          <w:rFonts w:ascii="arial" w:eastAsia="arial" w:hAnsi="arial" w:cs="arial"/>
          <w:b w:val="0"/>
          <w:i/>
          <w:strike w:val="0"/>
          <w:noProof w:val="0"/>
          <w:color w:val="000000"/>
          <w:position w:val="0"/>
          <w:sz w:val="20"/>
          <w:u w:val="none"/>
          <w:vertAlign w:val="baseline"/>
        </w:rPr>
        <w:t>Reg. Environ. Change</w:t>
      </w:r>
      <w:r>
        <w:rPr>
          <w:rFonts w:ascii="arial" w:eastAsia="arial" w:hAnsi="arial" w:cs="arial"/>
          <w:b w:val="0"/>
          <w:i w:val="0"/>
          <w:strike w:val="0"/>
          <w:noProof w:val="0"/>
          <w:color w:val="000000"/>
          <w:position w:val="0"/>
          <w:sz w:val="20"/>
          <w:u w:val="none"/>
          <w:vertAlign w:val="baseline"/>
        </w:rPr>
        <w:t xml:space="preserve"> (2018). Vol. 18. Pg 1481-1493.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[39].Poluzzi, A. Sartori, R. Report on the carbonate mineralogy of Bryozoa</w:t>
      </w:r>
      <w:r>
        <w:rPr>
          <w:rFonts w:ascii="arial" w:eastAsia="arial" w:hAnsi="arial" w:cs="arial"/>
          <w:b w:val="0"/>
          <w:i/>
          <w:strike w:val="0"/>
          <w:noProof w:val="0"/>
          <w:color w:val="000000"/>
          <w:position w:val="0"/>
          <w:sz w:val="20"/>
          <w:u w:val="none"/>
          <w:vertAlign w:val="baseline"/>
        </w:rPr>
        <w:t>Documents des Laboratoires de Geologie de la Faculte des Sciences de Lyon. Hors Ser.</w:t>
      </w:r>
      <w:r>
        <w:rPr>
          <w:rFonts w:ascii="arial" w:eastAsia="arial" w:hAnsi="arial" w:cs="arial"/>
          <w:b w:val="0"/>
          <w:i w:val="0"/>
          <w:strike w:val="0"/>
          <w:noProof w:val="0"/>
          <w:color w:val="000000"/>
          <w:position w:val="0"/>
          <w:sz w:val="20"/>
          <w:u w:val="none"/>
          <w:vertAlign w:val="baseline"/>
        </w:rPr>
        <w:t xml:space="preserve"> (1975). Vol. 3. Pg 193-210.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[40].Taylor, PD. James, NP. Bone, Y. Kuklinski, P. Kyser, TK. Evolving mineralogy of cheilostome bryozoans</w:t>
      </w:r>
      <w:r>
        <w:rPr>
          <w:rFonts w:ascii="arial" w:eastAsia="arial" w:hAnsi="arial" w:cs="arial"/>
          <w:b w:val="0"/>
          <w:i/>
          <w:strike w:val="0"/>
          <w:noProof w:val="0"/>
          <w:color w:val="000000"/>
          <w:position w:val="0"/>
          <w:sz w:val="20"/>
          <w:u w:val="none"/>
          <w:vertAlign w:val="baseline"/>
        </w:rPr>
        <w:t>Palaios</w:t>
      </w:r>
      <w:r>
        <w:rPr>
          <w:rFonts w:ascii="arial" w:eastAsia="arial" w:hAnsi="arial" w:cs="arial"/>
          <w:b w:val="0"/>
          <w:i w:val="0"/>
          <w:strike w:val="0"/>
          <w:noProof w:val="0"/>
          <w:color w:val="000000"/>
          <w:position w:val="0"/>
          <w:sz w:val="20"/>
          <w:u w:val="none"/>
          <w:vertAlign w:val="baseline"/>
        </w:rPr>
        <w:t xml:space="preserve"> (2009). Vol. 24. Pg 440-452.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[41].Garrabou, J. Marine heatwaves drive recurrent mass mortalities in the Mediterranean Sea</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(2022). Vol. 28. Pg 5708-5725.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[42].Swezey, DS. Interactive effects of temperature, food and skeletal mineralogy mediate biological responses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a widely distributed bryozoan</w:t>
      </w:r>
      <w:r>
        <w:rPr>
          <w:rFonts w:ascii="arial" w:eastAsia="arial" w:hAnsi="arial" w:cs="arial"/>
          <w:b w:val="0"/>
          <w:i/>
          <w:strike w:val="0"/>
          <w:noProof w:val="0"/>
          <w:color w:val="000000"/>
          <w:position w:val="0"/>
          <w:sz w:val="20"/>
          <w:u w:val="none"/>
          <w:vertAlign w:val="baseline"/>
        </w:rPr>
        <w:t>Proc. R. Soc. B Biol. Sci.</w:t>
      </w:r>
      <w:r>
        <w:rPr>
          <w:rFonts w:ascii="arial" w:eastAsia="arial" w:hAnsi="arial" w:cs="arial"/>
          <w:b w:val="0"/>
          <w:i w:val="0"/>
          <w:strike w:val="0"/>
          <w:noProof w:val="0"/>
          <w:color w:val="000000"/>
          <w:position w:val="0"/>
          <w:sz w:val="20"/>
          <w:u w:val="none"/>
          <w:vertAlign w:val="baseline"/>
        </w:rPr>
        <w:t xml:space="preserve"> (2017). Vol. 284.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[43].Martinez, A. Species-specific calcification response of Caribbean corals after 2-year transplantation to a low aragonite saturation submarine spring</w:t>
      </w:r>
      <w:r>
        <w:rPr>
          <w:rFonts w:ascii="arial" w:eastAsia="arial" w:hAnsi="arial" w:cs="arial"/>
          <w:b w:val="0"/>
          <w:i/>
          <w:strike w:val="0"/>
          <w:noProof w:val="0"/>
          <w:color w:val="000000"/>
          <w:position w:val="0"/>
          <w:sz w:val="20"/>
          <w:u w:val="none"/>
          <w:vertAlign w:val="baseline"/>
        </w:rPr>
        <w:t>Proc. R. Soc. B Biol. Sci.</w:t>
      </w:r>
      <w:r>
        <w:rPr>
          <w:rFonts w:ascii="arial" w:eastAsia="arial" w:hAnsi="arial" w:cs="arial"/>
          <w:b w:val="0"/>
          <w:i w:val="0"/>
          <w:strike w:val="0"/>
          <w:noProof w:val="0"/>
          <w:color w:val="000000"/>
          <w:position w:val="0"/>
          <w:sz w:val="20"/>
          <w:u w:val="none"/>
          <w:vertAlign w:val="baseline"/>
        </w:rPr>
        <w:t xml:space="preserve"> (2019). Vol. 286.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[44].Swezey, DS. Evolved differences in energy metabolism and growth dictate the impacts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abalone aquaculture</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(2020). Vol. 117. Pg 26513-26519.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[45].Morrow, KM. Natural volcanic CO₂ seeps reveal future trajectories for host–microbial associations in corals and sponges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(2015). Vol. 9. Pg 894-908.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[46].Gignoux-Wolfsohn, SA. Vollmer, SV. Identification of candidate coral pathogens on white band disease-infected staghorn coral</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(2015).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[47].Lawler, S. N. et al. Coral-associated bacterial diversity is conserved across two deep-sea Anthothela species. Front. Microbiol.7, 458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[48].Mohamed, NM. Saito, K. Tal, Y. Hill, RT. Diversity of aerobic and anaerobic ammonia-oxidizing bacteria in marine sponges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(2010). Vol. 4. Pg 38-48.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[49].van de Water, JAJM. Seasonal stability in the microbiomes of temperate gorgonians and the red coral Corallium rubrum across the Mediterranean Sea</w:t>
      </w:r>
      <w:r>
        <w:rPr>
          <w:rFonts w:ascii="arial" w:eastAsia="arial" w:hAnsi="arial" w:cs="arial"/>
          <w:b w:val="0"/>
          <w:i/>
          <w:strike w:val="0"/>
          <w:noProof w:val="0"/>
          <w:color w:val="000000"/>
          <w:position w:val="0"/>
          <w:sz w:val="20"/>
          <w:u w:val="none"/>
          <w:vertAlign w:val="baseline"/>
        </w:rPr>
        <w:t>Microb. Ecol.</w:t>
      </w:r>
      <w:r>
        <w:rPr>
          <w:rFonts w:ascii="arial" w:eastAsia="arial" w:hAnsi="arial" w:cs="arial"/>
          <w:b w:val="0"/>
          <w:i w:val="0"/>
          <w:strike w:val="0"/>
          <w:noProof w:val="0"/>
          <w:color w:val="000000"/>
          <w:position w:val="0"/>
          <w:sz w:val="20"/>
          <w:u w:val="none"/>
          <w:vertAlign w:val="baseline"/>
        </w:rPr>
        <w:t xml:space="preserve"> (2018). Vol. 75. Pg 274-288.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[50].Miller, IJ. Vanee, N. Fong, SS. Lim-Fong, GE. Kwan, JC. Lack of overt genome reduction in the bryostatin-producing bryozoan symbiont “Candidatus Endobugula sertula”</w:t>
      </w:r>
      <w:r>
        <w:rPr>
          <w:rFonts w:ascii="arial" w:eastAsia="arial" w:hAnsi="arial" w:cs="arial"/>
          <w:b w:val="0"/>
          <w:i/>
          <w:strike w:val="0"/>
          <w:noProof w:val="0"/>
          <w:color w:val="000000"/>
          <w:position w:val="0"/>
          <w:sz w:val="20"/>
          <w:u w:val="none"/>
          <w:vertAlign w:val="baseline"/>
        </w:rPr>
        <w:t>Appl. Environ. Microbiol.</w:t>
      </w:r>
      <w:r>
        <w:rPr>
          <w:rFonts w:ascii="arial" w:eastAsia="arial" w:hAnsi="arial" w:cs="arial"/>
          <w:b w:val="0"/>
          <w:i w:val="0"/>
          <w:strike w:val="0"/>
          <w:noProof w:val="0"/>
          <w:color w:val="000000"/>
          <w:position w:val="0"/>
          <w:sz w:val="20"/>
          <w:u w:val="none"/>
          <w:vertAlign w:val="baseline"/>
        </w:rPr>
        <w:t xml:space="preserve"> (2016). Vol. 82. Pg 6573-6583.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[51].Davidson, SK. Evidence for the biosynthesis of bryostatins by the bacterial symbiont “Candidatus Endobugula sertula” of the bryozoan Bugula neritina</w:t>
      </w:r>
      <w:r>
        <w:rPr>
          <w:rFonts w:ascii="arial" w:eastAsia="arial" w:hAnsi="arial" w:cs="arial"/>
          <w:b w:val="0"/>
          <w:i/>
          <w:strike w:val="0"/>
          <w:noProof w:val="0"/>
          <w:color w:val="000000"/>
          <w:position w:val="0"/>
          <w:sz w:val="20"/>
          <w:u w:val="none"/>
          <w:vertAlign w:val="baseline"/>
        </w:rPr>
        <w:t>Appl. Environ. Microbiol.</w:t>
      </w:r>
      <w:r>
        <w:rPr>
          <w:rFonts w:ascii="arial" w:eastAsia="arial" w:hAnsi="arial" w:cs="arial"/>
          <w:b w:val="0"/>
          <w:i w:val="0"/>
          <w:strike w:val="0"/>
          <w:noProof w:val="0"/>
          <w:color w:val="000000"/>
          <w:position w:val="0"/>
          <w:sz w:val="20"/>
          <w:u w:val="none"/>
          <w:vertAlign w:val="baseline"/>
        </w:rPr>
        <w:t xml:space="preserve"> (2001). Vol. 67. Pg 4531-4537.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[52].Neave, MJ. Apprill, A. Ferrier-Pagès, C. Voolstra, CR. Diversity and function of prevalent symbiotic marine bacteria in the genus Endozoicomonas</w:t>
      </w:r>
      <w:r>
        <w:rPr>
          <w:rFonts w:ascii="arial" w:eastAsia="arial" w:hAnsi="arial" w:cs="arial"/>
          <w:b w:val="0"/>
          <w:i/>
          <w:strike w:val="0"/>
          <w:noProof w:val="0"/>
          <w:color w:val="000000"/>
          <w:position w:val="0"/>
          <w:sz w:val="20"/>
          <w:u w:val="none"/>
          <w:vertAlign w:val="baseline"/>
        </w:rPr>
        <w:t>Appl. Microbiol. Biotechnol.</w:t>
      </w:r>
      <w:r>
        <w:rPr>
          <w:rFonts w:ascii="arial" w:eastAsia="arial" w:hAnsi="arial" w:cs="arial"/>
          <w:b w:val="0"/>
          <w:i w:val="0"/>
          <w:strike w:val="0"/>
          <w:noProof w:val="0"/>
          <w:color w:val="000000"/>
          <w:position w:val="0"/>
          <w:sz w:val="20"/>
          <w:u w:val="none"/>
          <w:vertAlign w:val="baseline"/>
        </w:rPr>
        <w:t xml:space="preserve"> (2016). Vol. 100. Pg 8315-8324.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[53].Nedashkovskaya, OI. Ulvibacter litoralis gen. nov., sp. nov., a novel member of the family Flavobacteriaceae isolated from the green alga Ulva fenestrata</w:t>
      </w:r>
      <w:r>
        <w:rPr>
          <w:rFonts w:ascii="arial" w:eastAsia="arial" w:hAnsi="arial" w:cs="arial"/>
          <w:b w:val="0"/>
          <w:i/>
          <w:strike w:val="0"/>
          <w:noProof w:val="0"/>
          <w:color w:val="000000"/>
          <w:position w:val="0"/>
          <w:sz w:val="20"/>
          <w:u w:val="none"/>
          <w:vertAlign w:val="baseline"/>
        </w:rPr>
        <w:t>Int. J. Syst. Evol. Microbiol.</w:t>
      </w:r>
      <w:r>
        <w:rPr>
          <w:rFonts w:ascii="arial" w:eastAsia="arial" w:hAnsi="arial" w:cs="arial"/>
          <w:b w:val="0"/>
          <w:i w:val="0"/>
          <w:strike w:val="0"/>
          <w:noProof w:val="0"/>
          <w:color w:val="000000"/>
          <w:position w:val="0"/>
          <w:sz w:val="20"/>
          <w:u w:val="none"/>
          <w:vertAlign w:val="baseline"/>
        </w:rPr>
        <w:t xml:space="preserve"> (2004). Vol. 54. Pg 119-123.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[54].Salmeán, AA. Double blind microarray-based polysaccharide profiling enables parallel identification of uncharacterized polysaccharides and carbohydrate-binding proteins with unknown specificities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(2018).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[55].Wissuwa, J. Bauer, SLM. Steen, IH. Stokke, R. Complete genome sequence of Lutibacter profundi LP1T isolated from an Arctic deep-sea hydrothermal vent system</w:t>
      </w:r>
      <w:r>
        <w:rPr>
          <w:rFonts w:ascii="arial" w:eastAsia="arial" w:hAnsi="arial" w:cs="arial"/>
          <w:b w:val="0"/>
          <w:i/>
          <w:strike w:val="0"/>
          <w:noProof w:val="0"/>
          <w:color w:val="000000"/>
          <w:position w:val="0"/>
          <w:sz w:val="20"/>
          <w:u w:val="none"/>
          <w:vertAlign w:val="baseline"/>
        </w:rPr>
        <w:t>Stand. Genomic Sci.</w:t>
      </w:r>
      <w:r>
        <w:rPr>
          <w:rFonts w:ascii="arial" w:eastAsia="arial" w:hAnsi="arial" w:cs="arial"/>
          <w:b w:val="0"/>
          <w:i w:val="0"/>
          <w:strike w:val="0"/>
          <w:noProof w:val="0"/>
          <w:color w:val="000000"/>
          <w:position w:val="0"/>
          <w:sz w:val="20"/>
          <w:u w:val="none"/>
          <w:vertAlign w:val="baseline"/>
        </w:rPr>
        <w:t xml:space="preserve"> (2017).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[56].Piontek, J.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increases microbial polysaccharide degradation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(2010). Vol. 7. Pg 1615-1624.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[57].Tangherlini, 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induces changes in virus–host relationships in Mediterranean benthic ecosystems</w:t>
      </w:r>
      <w:r>
        <w:rPr>
          <w:rFonts w:ascii="arial" w:eastAsia="arial" w:hAnsi="arial" w:cs="arial"/>
          <w:b w:val="0"/>
          <w:i/>
          <w:strike w:val="0"/>
          <w:noProof w:val="0"/>
          <w:color w:val="000000"/>
          <w:position w:val="0"/>
          <w:sz w:val="20"/>
          <w:u w:val="none"/>
          <w:vertAlign w:val="baseline"/>
        </w:rPr>
        <w:t>Microorganisms</w:t>
      </w:r>
      <w:r>
        <w:rPr>
          <w:rFonts w:ascii="arial" w:eastAsia="arial" w:hAnsi="arial" w:cs="arial"/>
          <w:b w:val="0"/>
          <w:i w:val="0"/>
          <w:strike w:val="0"/>
          <w:noProof w:val="0"/>
          <w:color w:val="000000"/>
          <w:position w:val="0"/>
          <w:sz w:val="20"/>
          <w:u w:val="none"/>
          <w:vertAlign w:val="baseline"/>
        </w:rPr>
        <w:t xml:space="preserve"> (2021).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[58].Yang, S-Y.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coral endolithic bacterial communities in Isopora palifera and Porites lobata</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(2020).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[59].Zhang, L. Impact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physiology and microbiota in hepatopancreas of Pacific oyster Crassostrea gigas</w:t>
      </w:r>
      <w:r>
        <w:rPr>
          <w:rFonts w:ascii="arial" w:eastAsia="arial" w:hAnsi="arial" w:cs="arial"/>
          <w:b w:val="0"/>
          <w:i/>
          <w:strike w:val="0"/>
          <w:noProof w:val="0"/>
          <w:color w:val="000000"/>
          <w:position w:val="0"/>
          <w:sz w:val="20"/>
          <w:u w:val="none"/>
          <w:vertAlign w:val="baseline"/>
        </w:rPr>
        <w:t>J. Oceanol. Limnol.</w:t>
      </w:r>
      <w:r>
        <w:rPr>
          <w:rFonts w:ascii="arial" w:eastAsia="arial" w:hAnsi="arial" w:cs="arial"/>
          <w:b w:val="0"/>
          <w:i w:val="0"/>
          <w:strike w:val="0"/>
          <w:noProof w:val="0"/>
          <w:color w:val="000000"/>
          <w:position w:val="0"/>
          <w:sz w:val="20"/>
          <w:u w:val="none"/>
          <w:vertAlign w:val="baseline"/>
        </w:rPr>
        <w:t xml:space="preserve"> (2022). Vol. 40. Pg 620-633.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[60].Gallagher, KL. Kading, TJ. Braissant, O. Dupraz, C. Visscher, PT. Inside the alkalinity engine: the role of electron donors in the organomineralization potential of sulfate-reducing bacteria</w:t>
      </w:r>
      <w:r>
        <w:rPr>
          <w:rFonts w:ascii="arial" w:eastAsia="arial" w:hAnsi="arial" w:cs="arial"/>
          <w:b w:val="0"/>
          <w:i/>
          <w:strike w:val="0"/>
          <w:noProof w:val="0"/>
          <w:color w:val="000000"/>
          <w:position w:val="0"/>
          <w:sz w:val="20"/>
          <w:u w:val="none"/>
          <w:vertAlign w:val="baseline"/>
        </w:rPr>
        <w:t>Geobiology</w:t>
      </w:r>
      <w:r>
        <w:rPr>
          <w:rFonts w:ascii="arial" w:eastAsia="arial" w:hAnsi="arial" w:cs="arial"/>
          <w:b w:val="0"/>
          <w:i w:val="0"/>
          <w:strike w:val="0"/>
          <w:noProof w:val="0"/>
          <w:color w:val="000000"/>
          <w:position w:val="0"/>
          <w:sz w:val="20"/>
          <w:u w:val="none"/>
          <w:vertAlign w:val="baseline"/>
        </w:rPr>
        <w:t xml:space="preserve"> (2012). Vol. 10. Pg 518-530.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[61].Sakowski, E. Wommack, K. Polson, S. Oyster calcifying fluid harbors persistent and dynamic autochthonous bacterial populations that may aid in shell formation</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(2020). Vol. 653. Pg 57-75.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[62].Rosado, PM. Marine probiotics: increasing coral resistance to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through microbiome manipulation</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(2019). Vol. 13. Pg 921-936.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[63].Mounier, J. The marine bacterium Marinobacter hydrocarbonoclasticus SP17 degrades a wide range of lipids and hydrocarbons through the formation of oleolytic biofilms with distinct gene expression profiles</w:t>
      </w:r>
      <w:r>
        <w:rPr>
          <w:rFonts w:ascii="arial" w:eastAsia="arial" w:hAnsi="arial" w:cs="arial"/>
          <w:b w:val="0"/>
          <w:i/>
          <w:strike w:val="0"/>
          <w:noProof w:val="0"/>
          <w:color w:val="000000"/>
          <w:position w:val="0"/>
          <w:sz w:val="20"/>
          <w:u w:val="none"/>
          <w:vertAlign w:val="baseline"/>
        </w:rPr>
        <w:t>FEMS Microbiol. Ecol.</w:t>
      </w:r>
      <w:r>
        <w:rPr>
          <w:rFonts w:ascii="arial" w:eastAsia="arial" w:hAnsi="arial" w:cs="arial"/>
          <w:b w:val="0"/>
          <w:i w:val="0"/>
          <w:strike w:val="0"/>
          <w:noProof w:val="0"/>
          <w:color w:val="000000"/>
          <w:position w:val="0"/>
          <w:sz w:val="20"/>
          <w:u w:val="none"/>
          <w:vertAlign w:val="baseline"/>
        </w:rPr>
        <w:t xml:space="preserve"> (2014). Vol. 90. Pg 816-831.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[64].Reboleira, AS. Nutrient-limited subarctic caves harbour more diverse and complex bacterial communities than their surface soil</w:t>
      </w:r>
      <w:r>
        <w:rPr>
          <w:rFonts w:ascii="arial" w:eastAsia="arial" w:hAnsi="arial" w:cs="arial"/>
          <w:b w:val="0"/>
          <w:i/>
          <w:strike w:val="0"/>
          <w:noProof w:val="0"/>
          <w:color w:val="000000"/>
          <w:position w:val="0"/>
          <w:sz w:val="20"/>
          <w:u w:val="none"/>
          <w:vertAlign w:val="baseline"/>
        </w:rPr>
        <w:t>Environ. Microbiome</w:t>
      </w:r>
      <w:r>
        <w:rPr>
          <w:rFonts w:ascii="arial" w:eastAsia="arial" w:hAnsi="arial" w:cs="arial"/>
          <w:b w:val="0"/>
          <w:i w:val="0"/>
          <w:strike w:val="0"/>
          <w:noProof w:val="0"/>
          <w:color w:val="000000"/>
          <w:position w:val="0"/>
          <w:sz w:val="20"/>
          <w:u w:val="none"/>
          <w:vertAlign w:val="baseline"/>
        </w:rPr>
        <w:t xml:space="preserve"> (2022). Vol.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[65].Heindl, H. Wiese, J. Thiel, V. Imhoff, JF. Phylogenetic diversity and antimicrobial activities of bryozoan-associated bacteria isolated from Mediterranean and Baltic Sea habitats</w:t>
      </w:r>
      <w:r>
        <w:rPr>
          <w:rFonts w:ascii="arial" w:eastAsia="arial" w:hAnsi="arial" w:cs="arial"/>
          <w:b w:val="0"/>
          <w:i/>
          <w:strike w:val="0"/>
          <w:noProof w:val="0"/>
          <w:color w:val="000000"/>
          <w:position w:val="0"/>
          <w:sz w:val="20"/>
          <w:u w:val="none"/>
          <w:vertAlign w:val="baseline"/>
        </w:rPr>
        <w:t>Syst. Appl. Microbiol.</w:t>
      </w:r>
      <w:r>
        <w:rPr>
          <w:rFonts w:ascii="arial" w:eastAsia="arial" w:hAnsi="arial" w:cs="arial"/>
          <w:b w:val="0"/>
          <w:i w:val="0"/>
          <w:strike w:val="0"/>
          <w:noProof w:val="0"/>
          <w:color w:val="000000"/>
          <w:position w:val="0"/>
          <w:sz w:val="20"/>
          <w:u w:val="none"/>
          <w:vertAlign w:val="baseline"/>
        </w:rPr>
        <w:t xml:space="preserve"> (2010). Vol. 33. Pg 94-104.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[66].Pukall, R. Kramer, I. Rohde, M. Stackebrandt, E. Microbial diversity of cultivatable bacteria associated with the North Sea bryozoan Flustra foliacea</w:t>
      </w:r>
      <w:r>
        <w:rPr>
          <w:rFonts w:ascii="arial" w:eastAsia="arial" w:hAnsi="arial" w:cs="arial"/>
          <w:b w:val="0"/>
          <w:i/>
          <w:strike w:val="0"/>
          <w:noProof w:val="0"/>
          <w:color w:val="000000"/>
          <w:position w:val="0"/>
          <w:sz w:val="20"/>
          <w:u w:val="none"/>
          <w:vertAlign w:val="baseline"/>
        </w:rPr>
        <w:t>Syst. Appl. Microbiol.</w:t>
      </w:r>
      <w:r>
        <w:rPr>
          <w:rFonts w:ascii="arial" w:eastAsia="arial" w:hAnsi="arial" w:cs="arial"/>
          <w:b w:val="0"/>
          <w:i w:val="0"/>
          <w:strike w:val="0"/>
          <w:noProof w:val="0"/>
          <w:color w:val="000000"/>
          <w:position w:val="0"/>
          <w:sz w:val="20"/>
          <w:u w:val="none"/>
          <w:vertAlign w:val="baseline"/>
        </w:rPr>
        <w:t xml:space="preserve"> (2001). Vol. 24. Pg 623-633.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[67].Romanenko, LA. Marinobacter bryozoorum sp. nov. and Marinobacter sediminum sp. nov., novel bacteria from the marine environment</w:t>
      </w:r>
      <w:r>
        <w:rPr>
          <w:rFonts w:ascii="arial" w:eastAsia="arial" w:hAnsi="arial" w:cs="arial"/>
          <w:b w:val="0"/>
          <w:i/>
          <w:strike w:val="0"/>
          <w:noProof w:val="0"/>
          <w:color w:val="000000"/>
          <w:position w:val="0"/>
          <w:sz w:val="20"/>
          <w:u w:val="none"/>
          <w:vertAlign w:val="baseline"/>
        </w:rPr>
        <w:t>Int. J. Syst. Evol. Microbiol.</w:t>
      </w:r>
      <w:r>
        <w:rPr>
          <w:rFonts w:ascii="arial" w:eastAsia="arial" w:hAnsi="arial" w:cs="arial"/>
          <w:b w:val="0"/>
          <w:i w:val="0"/>
          <w:strike w:val="0"/>
          <w:noProof w:val="0"/>
          <w:color w:val="000000"/>
          <w:position w:val="0"/>
          <w:sz w:val="20"/>
          <w:u w:val="none"/>
          <w:vertAlign w:val="baseline"/>
        </w:rPr>
        <w:t xml:space="preserve"> (2005). Vol. 55. Pg 143-148.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[68].Engelberts, JP. Characterization of a sponge microbiome using an integrative genome-centric approach</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(2020). Vol. 14. Pg 1100-1110.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[69].Peleg, AY. Seifert, H. Paterson, DL. Acinetobacter baumannii: Emergence of a successful pathogen</w:t>
      </w:r>
      <w:r>
        <w:rPr>
          <w:rFonts w:ascii="arial" w:eastAsia="arial" w:hAnsi="arial" w:cs="arial"/>
          <w:b w:val="0"/>
          <w:i/>
          <w:strike w:val="0"/>
          <w:noProof w:val="0"/>
          <w:color w:val="000000"/>
          <w:position w:val="0"/>
          <w:sz w:val="20"/>
          <w:u w:val="none"/>
          <w:vertAlign w:val="baseline"/>
        </w:rPr>
        <w:t>Clin. Microbiol. Rev.</w:t>
      </w:r>
      <w:r>
        <w:rPr>
          <w:rFonts w:ascii="arial" w:eastAsia="arial" w:hAnsi="arial" w:cs="arial"/>
          <w:b w:val="0"/>
          <w:i w:val="0"/>
          <w:strike w:val="0"/>
          <w:noProof w:val="0"/>
          <w:color w:val="000000"/>
          <w:position w:val="0"/>
          <w:sz w:val="20"/>
          <w:u w:val="none"/>
          <w:vertAlign w:val="baseline"/>
        </w:rPr>
        <w:t xml:space="preserve"> (2008). Vol. 21. Pg 538-582.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[70].Xu, M. Bacterial communities vary from different scleractinian coral species and between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and non-</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corals</w:t>
      </w:r>
      <w:r>
        <w:rPr>
          <w:rFonts w:ascii="arial" w:eastAsia="arial" w:hAnsi="arial" w:cs="arial"/>
          <w:b w:val="0"/>
          <w:i/>
          <w:strike w:val="0"/>
          <w:noProof w:val="0"/>
          <w:color w:val="000000"/>
          <w:position w:val="0"/>
          <w:sz w:val="20"/>
          <w:u w:val="none"/>
          <w:vertAlign w:val="baseline"/>
        </w:rPr>
        <w:t>Microbiol. Spectr.</w:t>
      </w:r>
      <w:r>
        <w:rPr>
          <w:rFonts w:ascii="arial" w:eastAsia="arial" w:hAnsi="arial" w:cs="arial"/>
          <w:b w:val="0"/>
          <w:i w:val="0"/>
          <w:strike w:val="0"/>
          <w:noProof w:val="0"/>
          <w:color w:val="000000"/>
          <w:position w:val="0"/>
          <w:sz w:val="20"/>
          <w:u w:val="none"/>
          <w:vertAlign w:val="baseline"/>
        </w:rPr>
        <w:t xml:space="preserve"> (2023). Vol. 11. Pg e04910-e04922.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[71].Sunagawa, S. Bacterial diversity and white plague disease-associated community changes in the Caribbean coral Montastraea faveolata</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(2009). Vol. 3. Pg 512-521.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[72].Durrant, HMS. Clark, GF. Dworjanyn, SA. Byrne, M. Johnston, EL. Seasonal variation in the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a native bryozoan, Celleporaria nodulosa</w:t>
      </w:r>
      <w:r>
        <w:rPr>
          <w:rFonts w:ascii="arial" w:eastAsia="arial" w:hAnsi="arial" w:cs="arial"/>
          <w:b w:val="0"/>
          <w:i/>
          <w:strike w:val="0"/>
          <w:noProof w:val="0"/>
          <w:color w:val="000000"/>
          <w:position w:val="0"/>
          <w:sz w:val="20"/>
          <w:u w:val="none"/>
          <w:vertAlign w:val="baseline"/>
        </w:rPr>
        <w:t>Mar. Biol.</w:t>
      </w:r>
      <w:r>
        <w:rPr>
          <w:rFonts w:ascii="arial" w:eastAsia="arial" w:hAnsi="arial" w:cs="arial"/>
          <w:b w:val="0"/>
          <w:i w:val="0"/>
          <w:strike w:val="0"/>
          <w:noProof w:val="0"/>
          <w:color w:val="000000"/>
          <w:position w:val="0"/>
          <w:sz w:val="20"/>
          <w:u w:val="none"/>
          <w:vertAlign w:val="baseline"/>
        </w:rPr>
        <w:t xml:space="preserve"> (2013). Vol. 160. Pg 1903-1911.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[73].Pistevos, JCA. Calosi, P. Widdicombe, S. Bishop, JDD. Will variation among genetic individuals influence species responses to global climate change?</w:t>
      </w:r>
      <w:r>
        <w:rPr>
          <w:rFonts w:ascii="arial" w:eastAsia="arial" w:hAnsi="arial" w:cs="arial"/>
          <w:b w:val="0"/>
          <w:i/>
          <w:strike w:val="0"/>
          <w:noProof w:val="0"/>
          <w:color w:val="000000"/>
          <w:position w:val="0"/>
          <w:sz w:val="20"/>
          <w:u w:val="none"/>
          <w:vertAlign w:val="baseline"/>
        </w:rPr>
        <w:t>Oikos</w:t>
      </w:r>
      <w:r>
        <w:rPr>
          <w:rFonts w:ascii="arial" w:eastAsia="arial" w:hAnsi="arial" w:cs="arial"/>
          <w:b w:val="0"/>
          <w:i w:val="0"/>
          <w:strike w:val="0"/>
          <w:noProof w:val="0"/>
          <w:color w:val="000000"/>
          <w:position w:val="0"/>
          <w:sz w:val="20"/>
          <w:u w:val="none"/>
          <w:vertAlign w:val="baseline"/>
        </w:rPr>
        <w:t xml:space="preserve"> (2011). Vol. 120. Pg 675-689.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[74].Garrabou, J. Mass mortality in Northwestern Mediterranean rocky benthic communities: effects of the 2003 heat wave</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(2009). Vol. 15. Pg 1090-1103.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[75].Michaud, KM. Reed, DC. Miller, RJ. The Blob marine heatwave transforms California kelp forest ecosystems</w:t>
      </w:r>
      <w:r>
        <w:rPr>
          <w:rFonts w:ascii="arial" w:eastAsia="arial" w:hAnsi="arial" w:cs="arial"/>
          <w:b w:val="0"/>
          <w:i/>
          <w:strike w:val="0"/>
          <w:noProof w:val="0"/>
          <w:color w:val="000000"/>
          <w:position w:val="0"/>
          <w:sz w:val="20"/>
          <w:u w:val="none"/>
          <w:vertAlign w:val="baseline"/>
        </w:rPr>
        <w:t>Commun. Biol.</w:t>
      </w:r>
      <w:r>
        <w:rPr>
          <w:rFonts w:ascii="arial" w:eastAsia="arial" w:hAnsi="arial" w:cs="arial"/>
          <w:b w:val="0"/>
          <w:i w:val="0"/>
          <w:strike w:val="0"/>
          <w:noProof w:val="0"/>
          <w:color w:val="000000"/>
          <w:position w:val="0"/>
          <w:sz w:val="20"/>
          <w:u w:val="none"/>
          <w:vertAlign w:val="baseline"/>
        </w:rPr>
        <w:t xml:space="preserve"> (2022). Vol. 5. Pg 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[76].Cinelli, F. et al. Distribution of benthic phyto and zoocoenoses along a light gradient in a superficial marine cave. in Biology of Benthic Organisms 173–183 (Elsevier, 1977).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[77].Gattuso, J-P. Contrasting futures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society from different anthropogenic CO2 emissions scenarios</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(2015). Vol. 349.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[78].Figuerola, B. Kuklinski, P. Taylor, PD. Depth patterns in Antarctic bryozoan skeletal Mg-calcite: can they provide an analogue for future environmental changes?</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(2015). Vol. 540. Pg 109-120.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[79].Cocito, S. Ferdeghini, F. Marcatura con colorante ed etichettatura: due metodi. per misurare la crescita in briozoi calci cati</w:t>
      </w:r>
      <w:r>
        <w:rPr>
          <w:rFonts w:ascii="arial" w:eastAsia="arial" w:hAnsi="arial" w:cs="arial"/>
          <w:b w:val="0"/>
          <w:i/>
          <w:strike w:val="0"/>
          <w:noProof w:val="0"/>
          <w:color w:val="000000"/>
          <w:position w:val="0"/>
          <w:sz w:val="20"/>
          <w:u w:val="none"/>
          <w:vertAlign w:val="baseline"/>
        </w:rPr>
        <w:t>in Atti del 12° Congresso dell’Associazione Italiana di Oceanologia e Limnologia</w:t>
      </w:r>
      <w:r>
        <w:rPr>
          <w:rFonts w:ascii="arial" w:eastAsia="arial" w:hAnsi="arial" w:cs="arial"/>
          <w:b w:val="0"/>
          <w:i w:val="0"/>
          <w:strike w:val="0"/>
          <w:noProof w:val="0"/>
          <w:color w:val="000000"/>
          <w:position w:val="0"/>
          <w:sz w:val="20"/>
          <w:u w:val="none"/>
          <w:vertAlign w:val="baseline"/>
        </w:rPr>
        <w:t xml:space="preserve"> (1998). Vol. 2. Pg 351-358.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[80].Gristina, M. &amp; Balduzzi, A. Prime osservazioni sull’accrescimento di Myriapora truncata sui fondali di Ustica (Bryozoa: Cheilostomatida). Biol. Mar. Mediterr.6, 256–258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[81].Zhang, Z. Fossil evidence unveils an early Cambrian origin for Bryozoa</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(2021). Vol. 599. Pg 251-255.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[82].Jacob, DE. Architecture of Anoteropora latirostris (Bryozoa, Cheilostomata) and implications for their biomineralization</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(2019).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[83].Grenier, C. Griesshaber, E. Schmahl, W. Berning, B. Checa, AG. Skeletal microstructures of cheilostome bryozoans (phylum Bryozoa, class Gymnolaemata): crystallography and secretion patterns</w:t>
      </w:r>
      <w:r>
        <w:rPr>
          <w:rFonts w:ascii="arial" w:eastAsia="arial" w:hAnsi="arial" w:cs="arial"/>
          <w:b w:val="0"/>
          <w:i/>
          <w:strike w:val="0"/>
          <w:noProof w:val="0"/>
          <w:color w:val="000000"/>
          <w:position w:val="0"/>
          <w:sz w:val="20"/>
          <w:u w:val="none"/>
          <w:vertAlign w:val="baseline"/>
        </w:rPr>
        <w:t>Mar. Life Sci. Technol.</w:t>
      </w:r>
      <w:r>
        <w:rPr>
          <w:rFonts w:ascii="arial" w:eastAsia="arial" w:hAnsi="arial" w:cs="arial"/>
          <w:b w:val="0"/>
          <w:i w:val="0"/>
          <w:strike w:val="0"/>
          <w:noProof w:val="0"/>
          <w:color w:val="000000"/>
          <w:position w:val="0"/>
          <w:sz w:val="20"/>
          <w:u w:val="none"/>
          <w:vertAlign w:val="baseline"/>
        </w:rPr>
        <w:t xml:space="preserve"> (2024). Vol. 6. Pg 405-424.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[84].Parada, AE. Needham, DM. Fuhrman, JA. Every base matters: assessing small subunit rRNA primers for marine microbiomes with mock communities, time series and global field samples</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(2016). Vol. 18. Pg 1403-1414.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[85].Apprill, A. McNally, S. Parsons, R. Weber, L. Minor revision to V4 region SSU rRNA 806R gene primer greatly increases detection of SAR11 bacterioplankton</w:t>
      </w:r>
      <w:r>
        <w:rPr>
          <w:rFonts w:ascii="arial" w:eastAsia="arial" w:hAnsi="arial" w:cs="arial"/>
          <w:b w:val="0"/>
          <w:i/>
          <w:strike w:val="0"/>
          <w:noProof w:val="0"/>
          <w:color w:val="000000"/>
          <w:position w:val="0"/>
          <w:sz w:val="20"/>
          <w:u w:val="none"/>
          <w:vertAlign w:val="baseline"/>
        </w:rPr>
        <w:t>Aquat. Microb. Ecol.</w:t>
      </w:r>
      <w:r>
        <w:rPr>
          <w:rFonts w:ascii="arial" w:eastAsia="arial" w:hAnsi="arial" w:cs="arial"/>
          <w:b w:val="0"/>
          <w:i w:val="0"/>
          <w:strike w:val="0"/>
          <w:noProof w:val="0"/>
          <w:color w:val="000000"/>
          <w:position w:val="0"/>
          <w:sz w:val="20"/>
          <w:u w:val="none"/>
          <w:vertAlign w:val="baseline"/>
        </w:rPr>
        <w:t xml:space="preserve"> (2015). Vol. 75. Pg 129-137.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[86].Martin, M. Cutadapt removes adapter sequences from high-throughput sequencing reads</w:t>
      </w:r>
      <w:r>
        <w:rPr>
          <w:rFonts w:ascii="arial" w:eastAsia="arial" w:hAnsi="arial" w:cs="arial"/>
          <w:b w:val="0"/>
          <w:i/>
          <w:strike w:val="0"/>
          <w:noProof w:val="0"/>
          <w:color w:val="000000"/>
          <w:position w:val="0"/>
          <w:sz w:val="20"/>
          <w:u w:val="none"/>
          <w:vertAlign w:val="baseline"/>
        </w:rPr>
        <w:t>EMBnet.journal</w:t>
      </w:r>
      <w:r>
        <w:rPr>
          <w:rFonts w:ascii="arial" w:eastAsia="arial" w:hAnsi="arial" w:cs="arial"/>
          <w:b w:val="0"/>
          <w:i w:val="0"/>
          <w:strike w:val="0"/>
          <w:noProof w:val="0"/>
          <w:color w:val="000000"/>
          <w:position w:val="0"/>
          <w:sz w:val="20"/>
          <w:u w:val="none"/>
          <w:vertAlign w:val="baseline"/>
        </w:rPr>
        <w:t xml:space="preserve"> (2011). Vol. 17. Pg 10-12.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[87].Callahan, B. et al. Dada2: accurate, high-resolution sample inference from amplicon sequencing data. Nat. Methods13, 3869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[88].Quast, C. The SILVA ribosomal RNA gene database project: improved data processing and web-based tools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(2013). Vol. 41. Pg D590-D596.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[89].McMurdie, PJ. Holmes, S. phyloseq: An R package for reproducible interactive analysis and graphics of microbiome census data</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[90].Cao, Y. et al. “microbiomeMarker: an R/Bioconductor package for microbiome marker identification and visualization.” Bioinformatics. Bioconductor version: Release (3.17) </w:t>
      </w:r>
      <w:hyperlink r:id="rId17" w:history="1">
        <w:r>
          <w:rPr>
            <w:rFonts w:ascii="arial" w:eastAsia="arial" w:hAnsi="arial" w:cs="arial"/>
            <w:b w:val="0"/>
            <w:i/>
            <w:strike w:val="0"/>
            <w:noProof w:val="0"/>
            <w:color w:val="0077CC"/>
            <w:position w:val="0"/>
            <w:sz w:val="20"/>
            <w:u w:val="single"/>
            <w:vertAlign w:val="baseline"/>
          </w:rPr>
          <w:t>https://doi.org/10.18129/B9.bioc.microbiomeMarker</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[91].Oksanen, J. et al. vegan: community Ecology Package.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[92].Wickham, H. et al. ggplot2: create elegant data visualisations using the grammar of graphics.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[93].Wickham, H. Welcome to the Tidyverse</w:t>
      </w:r>
      <w:r>
        <w:rPr>
          <w:rFonts w:ascii="arial" w:eastAsia="arial" w:hAnsi="arial" w:cs="arial"/>
          <w:b w:val="0"/>
          <w:i/>
          <w:strike w:val="0"/>
          <w:noProof w:val="0"/>
          <w:color w:val="000000"/>
          <w:position w:val="0"/>
          <w:sz w:val="20"/>
          <w:u w:val="none"/>
          <w:vertAlign w:val="baseline"/>
        </w:rPr>
        <w:t>J. Open Source Softw.</w:t>
      </w:r>
      <w:r>
        <w:rPr>
          <w:rFonts w:ascii="arial" w:eastAsia="arial" w:hAnsi="arial" w:cs="arial"/>
          <w:b w:val="0"/>
          <w:i w:val="0"/>
          <w:strike w:val="0"/>
          <w:noProof w:val="0"/>
          <w:color w:val="000000"/>
          <w:position w:val="0"/>
          <w:sz w:val="20"/>
          <w:u w:val="none"/>
          <w:vertAlign w:val="baseline"/>
        </w:rPr>
        <w:t xml:space="preserve"> (2019).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[94].Andersen, K. S., Kirkegaard, R. H., Karst, S. M. &amp; Albertsen, M. ampvis2: an R package to analyse and visualise 16S rRNA amplicon data. bioRxiv 299537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[95].Bürkner, P-C. Advanced Bayesian Multilevel Modeling with the R Package BRMS</w:t>
      </w:r>
      <w:r>
        <w:rPr>
          <w:rFonts w:ascii="arial" w:eastAsia="arial" w:hAnsi="arial" w:cs="arial"/>
          <w:b w:val="0"/>
          <w:i/>
          <w:strike w:val="0"/>
          <w:noProof w:val="0"/>
          <w:color w:val="000000"/>
          <w:position w:val="0"/>
          <w:sz w:val="20"/>
          <w:u w:val="none"/>
          <w:vertAlign w:val="baseline"/>
        </w:rPr>
        <w:t>R J.</w:t>
      </w:r>
      <w:r>
        <w:rPr>
          <w:rFonts w:ascii="arial" w:eastAsia="arial" w:hAnsi="arial" w:cs="arial"/>
          <w:b w:val="0"/>
          <w:i w:val="0"/>
          <w:strike w:val="0"/>
          <w:noProof w:val="0"/>
          <w:color w:val="000000"/>
          <w:position w:val="0"/>
          <w:sz w:val="20"/>
          <w:u w:val="none"/>
          <w:vertAlign w:val="baseline"/>
        </w:rPr>
        <w:t xml:space="preserve"> (2018). Vol. 10. Pg 395-411.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[96].Figuerola, B. 2025. Supplementary Materials for Figuerola et al., Interactive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disrupt calcification and microbiome composition in bryozoans. Zenodo. </w:t>
      </w:r>
      <w:hyperlink r:id="rId18" w:history="1">
        <w:r>
          <w:rPr>
            <w:rFonts w:ascii="arial" w:eastAsia="arial" w:hAnsi="arial" w:cs="arial"/>
            <w:b w:val="0"/>
            <w:i/>
            <w:strike w:val="0"/>
            <w:noProof w:val="0"/>
            <w:color w:val="0077CC"/>
            <w:position w:val="0"/>
            <w:sz w:val="20"/>
            <w:u w:val="single"/>
            <w:vertAlign w:val="baseline"/>
          </w:rPr>
          <w:t>https://doi.org/10.5281/zenodo.15706203</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42003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POPULATION GROWTH (58%); BIOLOGY (78%); DEATH RATES (77%); LIFE FORMS (78%); GEOLOGY &amp; GEOPHYSICS (76%);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(95%); MARINE BIOLOGY (89%); COASTAL AREAS (73%); ANATOMY &amp; PHYSIOLOGY (77%); CLIMATE CHANGE (78%); ECOSYSTEMS &amp; HABITATS (90%); GENES &amp; CHROMOSOMES (60%); SALTWATER ECOSYSTEMS (90%); CLIMATOLOGY (69%); TRENDS (77%); POPULATION &amp; DEMOGRAPHICS (58%);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Departament de Biologia Marina i Oceanografia, Institut de Ciències del Mar (ICM-CSIC); Pg. Marítim de la Barceloneta 37-49; Departament de Biologia Evolutiva, Ecologia i Ciències Ambientals, Facultat de Biologia; Universitat de Barcelona (UB); Institut de Recerca de la Biodiversitat (IRBio); Universitat de Barcelona (UB); GRC Geociències Marines, Dept. Dinàmica de la Terra i de l’Oceà, Facultat de Ciències de la Terra; Universitat de Barcelona; Stazione Zoologica Anton Dohrn, Ischia Marine Centre, Centro MEDAS; via F. Buonocore 42; Institut de Biologia Evolutiva (CSIC– Universitat Pompeu Fabra); Pg. Marítim de la Barceloneta 37-49; Laboratoire d’Océanographie de Villefranche, Sorbonne Université; CNRS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PHARMACEUTICALS &amp; BIOTECHNOLOGY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Interactive effects of ocean acidification and warming disrupt calcification and microbiome composition in bryozoans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GD2-G853-RSWX-21VW-00000-00&amp;context=1519360" TargetMode="External" /><Relationship Id="rId11" Type="http://schemas.openxmlformats.org/officeDocument/2006/relationships/hyperlink" Target="https://advance.lexis.com/api/document?collection=news&amp;id=urn:contentItem:6GD2-G853-RSWX-21VW-00000-00&amp;context=1519360" TargetMode="External" /><Relationship Id="rId12" Type="http://schemas.openxmlformats.org/officeDocument/2006/relationships/hyperlink" Target="http://www.t-mednet.org" TargetMode="External" /><Relationship Id="rId13" Type="http://schemas.openxmlformats.org/officeDocument/2006/relationships/hyperlink" Target="http://www.t-mednet.org" TargetMode="External" /><Relationship Id="rId14" Type="http://schemas.openxmlformats.org/officeDocument/2006/relationships/hyperlink" Target="https://imagej.net/ImageJ" TargetMode="External" /><Relationship Id="rId15" Type="http://schemas.openxmlformats.org/officeDocument/2006/relationships/hyperlink" Target="https://doi.org/10.1038/s42003-025-08524-8" TargetMode="External" /><Relationship Id="rId16" Type="http://schemas.openxmlformats.org/officeDocument/2006/relationships/hyperlink" Target="https://doi.org/10.5852/ejt.2015.149" TargetMode="External" /><Relationship Id="rId17" Type="http://schemas.openxmlformats.org/officeDocument/2006/relationships/hyperlink" Target="https://doi.org/10.18129/B9.bioc.microbiomeMarker" TargetMode="External" /><Relationship Id="rId18" Type="http://schemas.openxmlformats.org/officeDocument/2006/relationships/hyperlink" Target="https://doi.org/10.5281/zenodo.15706203"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D2-G853-RSWX-21VW-00000-00&amp;context=1519360" TargetMode="External" /><Relationship Id="rId8" Type="http://schemas.openxmlformats.org/officeDocument/2006/relationships/hyperlink" Target="https://advance.lexis.com/api/document?collection=news&amp;id=urn:contentItem:6GD2-G853-RSWX-21VW-00000-00&amp;context=1519360" TargetMode="External" /><Relationship Id="rId9" Type="http://schemas.openxmlformats.org/officeDocument/2006/relationships/hyperlink" Target="https://advance.lexis.com/api/document?collection=news&amp;id=urn:contentItem:6GD2-G853-RSWX-21V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effects of ocean acidification and warming disrupt calcification and microbiome composition in bryozoans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