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val="false"/>
          <w:bCs w:val="false"/>
          <w:i w:val="false"/>
          <w:iCs w:val="false"/>
          <w:color w:val="666666"/>
          <w:sz w:val="24"/>
          <w:szCs w:val="24"/>
        </w:rPr>
        <w:t xml:space="preserve">Учебный проект</w:t>
      </w:r>
    </w:p>
    <w:p>
      <w:pPr>
        <w:spacing w:after="200"/>
        <w:jc w:val="center"/>
      </w:pPr>
      <w:r>
        <w:rPr>
          <w:rFonts w:ascii="Times New Roman" w:cs="Times New Roman" w:eastAsia="Times New Roman" w:hAnsi="Times New Roman"/>
          <w:b/>
          <w:bCs/>
          <w:i w:val="false"/>
          <w:iCs w:val="false"/>
          <w:color w:val="1F4E79"/>
          <w:sz w:val="36"/>
          <w:szCs w:val="36"/>
        </w:rPr>
        <w:t xml:space="preserve">Классификация тональности русских отзывов</w:t>
      </w:r>
    </w:p>
    <w:p>
      <w:pPr>
        <w:spacing w:after="80"/>
        <w:jc w:val="center"/>
      </w:pPr>
      <w:r>
        <w:rPr>
          <w:rFonts w:ascii="Times New Roman" w:cs="Times New Roman" w:eastAsia="Times New Roman" w:hAnsi="Times New Roman"/>
          <w:b w:val="false"/>
          <w:bCs w:val="false"/>
          <w:i w:val="false"/>
          <w:iCs w:val="false"/>
          <w:sz w:val="28"/>
          <w:szCs w:val="28"/>
        </w:rPr>
        <w:t xml:space="preserve">Двунаправленная LSTM</w:t>
      </w:r>
    </w:p>
    <w:p>
      <w:pPr>
        <w:spacing w:after="280"/>
        <w:jc w:val="center"/>
      </w:pPr>
      <w:r>
        <w:rPr>
          <w:rFonts w:ascii="Times New Roman" w:cs="Times New Roman" w:eastAsia="Times New Roman" w:hAnsi="Times New Roman"/>
          <w:b w:val="false"/>
          <w:bCs w:val="false"/>
          <w:i w:val="false"/>
          <w:iCs w:val="false"/>
          <w:sz w:val="24"/>
          <w:szCs w:val="24"/>
        </w:rPr>
        <w:t xml:space="preserve">MEGANIS, 2026</w:t>
      </w:r>
    </w:p>
    <w:p>
      <w:pPr>
        <w:pStyle w:val="Heading1"/>
        <w:spacing w:after="120" w:before="280"/>
      </w:pPr>
      <w:r>
        <w:rPr>
          <w:rFonts w:ascii="Times New Roman" w:cs="Times New Roman" w:eastAsia="Times New Roman" w:hAnsi="Times New Roman"/>
          <w:b/>
          <w:bCs/>
          <w:color w:val="1F4E79"/>
          <w:sz w:val="32"/>
          <w:szCs w:val="32"/>
        </w:rPr>
        <w:t xml:space="preserve">1. Введение</w:t>
      </w:r>
    </w:p>
    <w:p>
      <w:pPr>
        <w:spacing w:after="160" w:line="360"/>
      </w:pPr>
      <w:r>
        <w:rPr>
          <w:rFonts w:ascii="Times New Roman" w:cs="Times New Roman" w:eastAsia="Times New Roman" w:hAnsi="Times New Roman"/>
          <w:b w:val="false"/>
          <w:bCs w:val="false"/>
          <w:i w:val="false"/>
          <w:iCs w:val="false"/>
          <w:sz w:val="28"/>
          <w:szCs w:val="28"/>
        </w:rPr>
        <w:t xml:space="preserve">Проект определяет тональность отзыва на русском языке: негативная, нейтральная или позитивная. На вход подаётся текст, на выход — класс и три вероятности. Сеть должна быть рекуррентной или свёрточной. Выбрана двунаправленная LSTM: она читает отзыв в обе стороны и относится к рекуррентным сетям.</w:t>
      </w:r>
    </w:p>
    <w:p>
      <w:pPr>
        <w:spacing w:after="160" w:line="360"/>
      </w:pPr>
      <w:r>
        <w:rPr>
          <w:rFonts w:ascii="Times New Roman" w:cs="Times New Roman" w:eastAsia="Times New Roman" w:hAnsi="Times New Roman"/>
          <w:b w:val="false"/>
          <w:bCs w:val="false"/>
          <w:i w:val="false"/>
          <w:iCs w:val="false"/>
          <w:sz w:val="28"/>
          <w:szCs w:val="28"/>
        </w:rPr>
        <w:t xml:space="preserve">Целевая метрика — F1-macro не ниже 0.80. На исходных метках корпуса она не взята: лучшая BiLSTM на 100 000 отзывах даёт на val 0.722. На отдельной разметке банков, мест и фильмов та же архитектура даёт 0.829 и на val, и на test. Обе сети сохранены и подключены к странице.</w:t>
      </w:r>
    </w:p>
    <w:p>
      <w:pPr>
        <w:pStyle w:val="Heading1"/>
        <w:spacing w:after="120" w:before="280"/>
      </w:pPr>
      <w:r>
        <w:rPr>
          <w:rFonts w:ascii="Times New Roman" w:cs="Times New Roman" w:eastAsia="Times New Roman" w:hAnsi="Times New Roman"/>
          <w:b/>
          <w:bCs/>
          <w:color w:val="1F4E79"/>
          <w:sz w:val="32"/>
          <w:szCs w:val="32"/>
        </w:rPr>
        <w:t xml:space="preserve">2. Постановка задачи</w:t>
      </w:r>
    </w:p>
    <w:p>
      <w:pPr>
        <w:spacing w:after="160" w:line="360"/>
      </w:pPr>
      <w:r>
        <w:rPr>
          <w:rFonts w:ascii="Times New Roman" w:cs="Times New Roman" w:eastAsia="Times New Roman" w:hAnsi="Times New Roman"/>
          <w:b w:val="false"/>
          <w:bCs w:val="false"/>
          <w:i w:val="false"/>
          <w:iCs w:val="false"/>
          <w:sz w:val="28"/>
          <w:szCs w:val="28"/>
        </w:rPr>
        <w:t xml:space="preserve">Нужно отнести один отзыв к одному из трёх классов. Accuracy здесь слабая мера: при равных классах она совпадает с долей верных ответов, но не показывает провал одного класса. F1-macro считает F1 отдельно по негативу, нейтральному классу и позитиву и усредняет их. Слабый класс тянет метрику вниз.</w:t>
      </w:r>
    </w:p>
    <w:p>
      <w:pPr>
        <w:spacing w:after="120"/>
      </w:pPr>
      <w:r>
        <w:rPr>
          <w:rFonts w:ascii="Times New Roman" w:cs="Times New Roman" w:eastAsia="Times New Roman" w:hAnsi="Times New Roman"/>
          <w:b w:val="false"/>
          <w:bCs w:val="false"/>
          <w:i w:val="false"/>
          <w:iCs w:val="false"/>
          <w:sz w:val="28"/>
          <w:szCs w:val="28"/>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rPr>
          <w:cantSplit/>
          <w:tblHeader/>
        </w:trPr>
        <w:tc>
          <w:tcPr>
            <w:tcW w:type="dxa" w:w="2800"/>
            <w:tcBorders>
              <w:top w:val="single" w:color="D0D7E2" w:sz="4"/>
              <w:left w:val="single" w:color="D0D7E2" w:sz="4"/>
              <w:bottom w:val="single" w:color="D0D7E2" w:sz="4"/>
              <w:right w:val="single" w:color="D0D7E2" w:sz="4"/>
            </w:tcBorders>
            <w:shd w:fill="E7EEF7" w:val="clear"/>
            <w:tcMar>
              <w:top w:type="dxa" w:w="60"/>
              <w:left w:type="dxa" w:w="80"/>
              <w:bottom w:type="dxa" w:w="60"/>
              <w:right w:type="dxa" w:w="80"/>
            </w:tcMar>
            <w:vAlign w:val="center"/>
          </w:tcPr>
          <w:p>
            <w:pPr>
              <w:spacing w:after="0" w:line="276"/>
            </w:pPr>
            <w:r>
              <w:rPr>
                <w:rFonts w:ascii="Times New Roman" w:cs="Times New Roman" w:eastAsia="Times New Roman" w:hAnsi="Times New Roman"/>
                <w:b/>
                <w:bCs/>
                <w:i w:val="false"/>
                <w:iCs w:val="false"/>
                <w:sz w:val="22"/>
                <w:szCs w:val="22"/>
              </w:rPr>
              <w:t xml:space="preserve"/>
            </w:r>
          </w:p>
        </w:tc>
        <w:tc>
          <w:tcPr>
            <w:tcW w:type="dxa" w:w="6271"/>
            <w:tcBorders>
              <w:top w:val="single" w:color="D0D7E2" w:sz="4"/>
              <w:left w:val="single" w:color="D0D7E2" w:sz="4"/>
              <w:bottom w:val="single" w:color="D0D7E2" w:sz="4"/>
              <w:right w:val="single" w:color="D0D7E2" w:sz="4"/>
            </w:tcBorders>
            <w:shd w:fill="E7EEF7" w:val="clear"/>
            <w:tcMar>
              <w:top w:type="dxa" w:w="60"/>
              <w:left w:type="dxa" w:w="80"/>
              <w:bottom w:type="dxa" w:w="60"/>
              <w:right w:type="dxa" w:w="80"/>
            </w:tcMar>
            <w:vAlign w:val="center"/>
          </w:tcPr>
          <w:p>
            <w:pPr>
              <w:spacing w:after="0" w:line="276"/>
            </w:pPr>
            <w:r>
              <w:rPr>
                <w:rFonts w:ascii="Times New Roman" w:cs="Times New Roman" w:eastAsia="Times New Roman" w:hAnsi="Times New Roman"/>
                <w:b/>
                <w:bCs/>
                <w:i w:val="false"/>
                <w:iCs w:val="false"/>
                <w:sz w:val="22"/>
                <w:szCs w:val="22"/>
              </w:rPr>
              <w:t xml:space="preserve">Значение</w:t>
            </w:r>
          </w:p>
        </w:tc>
      </w:tr>
      <w:tr>
        <w:trPr>
          <w:cantSplit/>
          <w:tblHeader w:val="off"/>
        </w:trPr>
        <w:tc>
          <w:tcPr>
            <w:tcW w:type="dxa" w:w="2800"/>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Вход</w:t>
            </w:r>
          </w:p>
        </w:tc>
        <w:tc>
          <w:tcPr>
            <w:tcW w:type="dxa" w:w="6271"/>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Текст отзыва на русском</w:t>
            </w:r>
          </w:p>
        </w:tc>
      </w:tr>
      <w:tr>
        <w:trPr>
          <w:cantSplit/>
          <w:tblHeader w:val="off"/>
        </w:trPr>
        <w:tc>
          <w:tcPr>
            <w:tcW w:type="dxa" w:w="2800"/>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Выход</w:t>
            </w:r>
          </w:p>
        </w:tc>
        <w:tc>
          <w:tcPr>
            <w:tcW w:type="dxa" w:w="6271"/>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negative, neutral, positive и вероятности</w:t>
            </w:r>
          </w:p>
        </w:tc>
      </w:tr>
      <w:tr>
        <w:trPr>
          <w:cantSplit/>
          <w:tblHeader w:val="off"/>
        </w:trPr>
        <w:tc>
          <w:tcPr>
            <w:tcW w:type="dxa" w:w="2800"/>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Сеть</w:t>
            </w:r>
          </w:p>
        </w:tc>
        <w:tc>
          <w:tcPr>
            <w:tcW w:type="dxa" w:w="6271"/>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Двунаправленная LSTM, один слой</w:t>
            </w:r>
          </w:p>
        </w:tc>
      </w:tr>
      <w:tr>
        <w:trPr>
          <w:cantSplit/>
          <w:tblHeader w:val="off"/>
        </w:trPr>
        <w:tc>
          <w:tcPr>
            <w:tcW w:type="dxa" w:w="2800"/>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Метрика</w:t>
            </w:r>
          </w:p>
        </w:tc>
        <w:tc>
          <w:tcPr>
            <w:tcW w:type="dxa" w:w="6271"/>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F1-macro</w:t>
            </w:r>
          </w:p>
        </w:tc>
      </w:tr>
      <w:tr>
        <w:trPr>
          <w:cantSplit/>
          <w:tblHeader w:val="off"/>
        </w:trPr>
        <w:tc>
          <w:tcPr>
            <w:tcW w:type="dxa" w:w="2800"/>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Цель</w:t>
            </w:r>
          </w:p>
        </w:tc>
        <w:tc>
          <w:tcPr>
            <w:tcW w:type="dxa" w:w="6271"/>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не ниже 0.80</w:t>
            </w:r>
          </w:p>
        </w:tc>
      </w:tr>
      <w:tr>
        <w:trPr>
          <w:cantSplit/>
          <w:tblHeader w:val="off"/>
        </w:trPr>
        <w:tc>
          <w:tcPr>
            <w:tcW w:type="dxa" w:w="2800"/>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Seed</w:t>
            </w:r>
          </w:p>
        </w:tc>
        <w:tc>
          <w:tcPr>
            <w:tcW w:type="dxa" w:w="6271"/>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42</w:t>
            </w:r>
          </w:p>
        </w:tc>
      </w:tr>
    </w:tbl>
    <w:p>
      <w:pPr>
        <w:spacing w:after="120"/>
      </w:pPr>
      <w:r>
        <w:rPr>
          <w:rFonts w:ascii="Times New Roman" w:cs="Times New Roman" w:eastAsia="Times New Roman" w:hAnsi="Times New Roman"/>
          <w:b w:val="false"/>
          <w:bCs w:val="false"/>
          <w:i w:val="false"/>
          <w:iCs w:val="false"/>
          <w:sz w:val="28"/>
          <w:szCs w:val="28"/>
        </w:rPr>
        <w:t xml:space="preserve"/>
      </w:r>
    </w:p>
    <w:p>
      <w:pPr>
        <w:spacing w:after="160" w:line="360"/>
      </w:pPr>
      <w:r>
        <w:rPr>
          <w:rFonts w:ascii="Times New Roman" w:cs="Times New Roman" w:eastAsia="Times New Roman" w:hAnsi="Times New Roman"/>
          <w:b w:val="false"/>
          <w:bCs w:val="false"/>
          <w:i w:val="false"/>
          <w:iCs w:val="false"/>
          <w:sz w:val="28"/>
          <w:szCs w:val="28"/>
        </w:rPr>
        <w:t xml:space="preserve">Модель оценивает текст отзыва. Её нельзя ставить на решение о человеке: кредит, найм, допуск к услуге.</w:t>
      </w:r>
    </w:p>
    <w:p>
      <w:pPr>
        <w:pStyle w:val="Heading1"/>
        <w:spacing w:after="120" w:before="280"/>
      </w:pPr>
      <w:r>
        <w:rPr>
          <w:rFonts w:ascii="Times New Roman" w:cs="Times New Roman" w:eastAsia="Times New Roman" w:hAnsi="Times New Roman"/>
          <w:b/>
          <w:bCs/>
          <w:color w:val="1F4E79"/>
          <w:sz w:val="32"/>
          <w:szCs w:val="32"/>
        </w:rPr>
        <w:t xml:space="preserve">3. Датасет</w:t>
      </w:r>
    </w:p>
    <w:p>
      <w:pPr>
        <w:spacing w:after="160" w:line="360"/>
      </w:pPr>
      <w:r>
        <w:rPr>
          <w:rFonts w:ascii="Times New Roman" w:cs="Times New Roman" w:eastAsia="Times New Roman" w:hAnsi="Times New Roman"/>
          <w:b w:val="false"/>
          <w:bCs w:val="false"/>
          <w:i w:val="false"/>
          <w:iCs w:val="false"/>
          <w:sz w:val="28"/>
          <w:szCs w:val="28"/>
        </w:rPr>
        <w:t xml:space="preserve">Тексты взяты из корпуса Russian Sentiment Dataset на Kaggle (mar1mba). В проект вошли только отзывы восьми сфер: одежда, другие товары, продукты, места, фильмы, аниме, банки и банковское приложение. Комментарии, новости и посты соцсетей отброшены. Коды исходного файла: 0 нейтрально, 1 позитив, 2 негатив.</w:t>
      </w:r>
    </w:p>
    <w:p>
      <w:pPr>
        <w:spacing w:after="160" w:line="360"/>
      </w:pPr>
      <w:r>
        <w:rPr>
          <w:rFonts w:ascii="Times New Roman" w:cs="Times New Roman" w:eastAsia="Times New Roman" w:hAnsi="Times New Roman"/>
          <w:b w:val="false"/>
          <w:bCs w:val="false"/>
          <w:i w:val="false"/>
          <w:iCs w:val="false"/>
          <w:sz w:val="28"/>
          <w:szCs w:val="28"/>
        </w:rPr>
        <w:t xml:space="preserve">Сначала из каждой пары сфера-класс взято 200 текстов. Train затем добран до 100 000 строк: если в ячейке уникальные отзывы кончились, строки берутся из других сфер. Val и test зафиксированы и больше не менялись.</w:t>
      </w:r>
    </w:p>
    <w:p>
      <w:pPr>
        <w:spacing w:after="120"/>
      </w:pPr>
      <w:r>
        <w:rPr>
          <w:rFonts w:ascii="Times New Roman" w:cs="Times New Roman" w:eastAsia="Times New Roman" w:hAnsi="Times New Roman"/>
          <w:b w:val="false"/>
          <w:bCs w:val="false"/>
          <w:i w:val="false"/>
          <w:iCs w:val="false"/>
          <w:sz w:val="28"/>
          <w:szCs w:val="28"/>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5"/>
        <w:gridCol w:w="1814"/>
        <w:gridCol w:w="1814"/>
        <w:gridCol w:w="1814"/>
        <w:gridCol w:w="1814"/>
      </w:tblGrid>
      <w:tr>
        <w:trPr>
          <w:cantSplit/>
          <w:tblHeader/>
        </w:trPr>
        <w:tc>
          <w:tcPr>
            <w:tcW w:type="dxa" w:w="1815"/>
            <w:tcBorders>
              <w:top w:val="single" w:color="D0D7E2" w:sz="4"/>
              <w:left w:val="single" w:color="D0D7E2" w:sz="4"/>
              <w:bottom w:val="single" w:color="D0D7E2" w:sz="4"/>
              <w:right w:val="single" w:color="D0D7E2" w:sz="4"/>
            </w:tcBorders>
            <w:shd w:fill="E7EEF7" w:val="clear"/>
            <w:tcMar>
              <w:top w:type="dxa" w:w="60"/>
              <w:left w:type="dxa" w:w="80"/>
              <w:bottom w:type="dxa" w:w="60"/>
              <w:right w:type="dxa" w:w="80"/>
            </w:tcMar>
            <w:vAlign w:val="center"/>
          </w:tcPr>
          <w:p>
            <w:pPr>
              <w:spacing w:after="0" w:line="276"/>
            </w:pPr>
            <w:r>
              <w:rPr>
                <w:rFonts w:ascii="Times New Roman" w:cs="Times New Roman" w:eastAsia="Times New Roman" w:hAnsi="Times New Roman"/>
                <w:b/>
                <w:bCs/>
                <w:i w:val="false"/>
                <w:iCs w:val="false"/>
                <w:sz w:val="22"/>
                <w:szCs w:val="22"/>
              </w:rPr>
              <w:t xml:space="preserve">Часть</w:t>
            </w:r>
          </w:p>
        </w:tc>
        <w:tc>
          <w:tcPr>
            <w:tcW w:type="dxa" w:w="1814"/>
            <w:tcBorders>
              <w:top w:val="single" w:color="D0D7E2" w:sz="4"/>
              <w:left w:val="single" w:color="D0D7E2" w:sz="4"/>
              <w:bottom w:val="single" w:color="D0D7E2" w:sz="4"/>
              <w:right w:val="single" w:color="D0D7E2" w:sz="4"/>
            </w:tcBorders>
            <w:shd w:fill="E7EEF7" w:val="clear"/>
            <w:tcMar>
              <w:top w:type="dxa" w:w="60"/>
              <w:left w:type="dxa" w:w="80"/>
              <w:bottom w:type="dxa" w:w="60"/>
              <w:right w:type="dxa" w:w="80"/>
            </w:tcMar>
            <w:vAlign w:val="center"/>
          </w:tcPr>
          <w:p>
            <w:pPr>
              <w:spacing w:after="0" w:line="276"/>
            </w:pPr>
            <w:r>
              <w:rPr>
                <w:rFonts w:ascii="Times New Roman" w:cs="Times New Roman" w:eastAsia="Times New Roman" w:hAnsi="Times New Roman"/>
                <w:b/>
                <w:bCs/>
                <w:i w:val="false"/>
                <w:iCs w:val="false"/>
                <w:sz w:val="22"/>
                <w:szCs w:val="22"/>
              </w:rPr>
              <w:t xml:space="preserve">Строк</w:t>
            </w:r>
          </w:p>
        </w:tc>
        <w:tc>
          <w:tcPr>
            <w:tcW w:type="dxa" w:w="1814"/>
            <w:tcBorders>
              <w:top w:val="single" w:color="D0D7E2" w:sz="4"/>
              <w:left w:val="single" w:color="D0D7E2" w:sz="4"/>
              <w:bottom w:val="single" w:color="D0D7E2" w:sz="4"/>
              <w:right w:val="single" w:color="D0D7E2" w:sz="4"/>
            </w:tcBorders>
            <w:shd w:fill="E7EEF7" w:val="clear"/>
            <w:tcMar>
              <w:top w:type="dxa" w:w="60"/>
              <w:left w:type="dxa" w:w="80"/>
              <w:bottom w:type="dxa" w:w="60"/>
              <w:right w:type="dxa" w:w="80"/>
            </w:tcMar>
            <w:vAlign w:val="center"/>
          </w:tcPr>
          <w:p>
            <w:pPr>
              <w:spacing w:after="0" w:line="276"/>
            </w:pPr>
            <w:r>
              <w:rPr>
                <w:rFonts w:ascii="Times New Roman" w:cs="Times New Roman" w:eastAsia="Times New Roman" w:hAnsi="Times New Roman"/>
                <w:b/>
                <w:bCs/>
                <w:i w:val="false"/>
                <w:iCs w:val="false"/>
                <w:sz w:val="22"/>
                <w:szCs w:val="22"/>
              </w:rPr>
              <w:t xml:space="preserve">Негатив</w:t>
            </w:r>
          </w:p>
        </w:tc>
        <w:tc>
          <w:tcPr>
            <w:tcW w:type="dxa" w:w="1814"/>
            <w:tcBorders>
              <w:top w:val="single" w:color="D0D7E2" w:sz="4"/>
              <w:left w:val="single" w:color="D0D7E2" w:sz="4"/>
              <w:bottom w:val="single" w:color="D0D7E2" w:sz="4"/>
              <w:right w:val="single" w:color="D0D7E2" w:sz="4"/>
            </w:tcBorders>
            <w:shd w:fill="E7EEF7" w:val="clear"/>
            <w:tcMar>
              <w:top w:type="dxa" w:w="60"/>
              <w:left w:type="dxa" w:w="80"/>
              <w:bottom w:type="dxa" w:w="60"/>
              <w:right w:type="dxa" w:w="80"/>
            </w:tcMar>
            <w:vAlign w:val="center"/>
          </w:tcPr>
          <w:p>
            <w:pPr>
              <w:spacing w:after="0" w:line="276"/>
            </w:pPr>
            <w:r>
              <w:rPr>
                <w:rFonts w:ascii="Times New Roman" w:cs="Times New Roman" w:eastAsia="Times New Roman" w:hAnsi="Times New Roman"/>
                <w:b/>
                <w:bCs/>
                <w:i w:val="false"/>
                <w:iCs w:val="false"/>
                <w:sz w:val="22"/>
                <w:szCs w:val="22"/>
              </w:rPr>
              <w:t xml:space="preserve">Нейтрально</w:t>
            </w:r>
          </w:p>
        </w:tc>
        <w:tc>
          <w:tcPr>
            <w:tcW w:type="dxa" w:w="1814"/>
            <w:tcBorders>
              <w:top w:val="single" w:color="D0D7E2" w:sz="4"/>
              <w:left w:val="single" w:color="D0D7E2" w:sz="4"/>
              <w:bottom w:val="single" w:color="D0D7E2" w:sz="4"/>
              <w:right w:val="single" w:color="D0D7E2" w:sz="4"/>
            </w:tcBorders>
            <w:shd w:fill="E7EEF7" w:val="clear"/>
            <w:tcMar>
              <w:top w:type="dxa" w:w="60"/>
              <w:left w:type="dxa" w:w="80"/>
              <w:bottom w:type="dxa" w:w="60"/>
              <w:right w:type="dxa" w:w="80"/>
            </w:tcMar>
            <w:vAlign w:val="center"/>
          </w:tcPr>
          <w:p>
            <w:pPr>
              <w:spacing w:after="0" w:line="276"/>
            </w:pPr>
            <w:r>
              <w:rPr>
                <w:rFonts w:ascii="Times New Roman" w:cs="Times New Roman" w:eastAsia="Times New Roman" w:hAnsi="Times New Roman"/>
                <w:b/>
                <w:bCs/>
                <w:i w:val="false"/>
                <w:iCs w:val="false"/>
                <w:sz w:val="22"/>
                <w:szCs w:val="22"/>
              </w:rPr>
              <w:t xml:space="preserve">Позитив</w:t>
            </w:r>
          </w:p>
        </w:tc>
      </w:tr>
      <w:tr>
        <w:trPr>
          <w:cantSplit/>
          <w:tblHeader w:val="off"/>
        </w:trPr>
        <w:tc>
          <w:tcPr>
            <w:tcW w:type="dxa" w:w="1815"/>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train</w:t>
            </w:r>
          </w:p>
        </w:tc>
        <w:tc>
          <w:tcPr>
            <w:tcW w:type="dxa" w:w="1814"/>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100 000</w:t>
            </w:r>
          </w:p>
        </w:tc>
        <w:tc>
          <w:tcPr>
            <w:tcW w:type="dxa" w:w="1814"/>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33 426</w:t>
            </w:r>
          </w:p>
        </w:tc>
        <w:tc>
          <w:tcPr>
            <w:tcW w:type="dxa" w:w="1814"/>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33 116</w:t>
            </w:r>
          </w:p>
        </w:tc>
        <w:tc>
          <w:tcPr>
            <w:tcW w:type="dxa" w:w="1814"/>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33 458</w:t>
            </w:r>
          </w:p>
        </w:tc>
      </w:tr>
      <w:tr>
        <w:trPr>
          <w:cantSplit/>
          <w:tblHeader w:val="off"/>
        </w:trPr>
        <w:tc>
          <w:tcPr>
            <w:tcW w:type="dxa" w:w="1815"/>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val</w:t>
            </w:r>
          </w:p>
        </w:tc>
        <w:tc>
          <w:tcPr>
            <w:tcW w:type="dxa" w:w="1814"/>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474</w:t>
            </w:r>
          </w:p>
        </w:tc>
        <w:tc>
          <w:tcPr>
            <w:tcW w:type="dxa" w:w="1814"/>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159</w:t>
            </w:r>
          </w:p>
        </w:tc>
        <w:tc>
          <w:tcPr>
            <w:tcW w:type="dxa" w:w="1814"/>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158</w:t>
            </w:r>
          </w:p>
        </w:tc>
        <w:tc>
          <w:tcPr>
            <w:tcW w:type="dxa" w:w="1814"/>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157</w:t>
            </w:r>
          </w:p>
        </w:tc>
      </w:tr>
      <w:tr>
        <w:trPr>
          <w:cantSplit/>
          <w:tblHeader w:val="off"/>
        </w:trPr>
        <w:tc>
          <w:tcPr>
            <w:tcW w:type="dxa" w:w="1815"/>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test</w:t>
            </w:r>
          </w:p>
        </w:tc>
        <w:tc>
          <w:tcPr>
            <w:tcW w:type="dxa" w:w="1814"/>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474</w:t>
            </w:r>
          </w:p>
        </w:tc>
        <w:tc>
          <w:tcPr>
            <w:tcW w:type="dxa" w:w="1814"/>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159</w:t>
            </w:r>
          </w:p>
        </w:tc>
        <w:tc>
          <w:tcPr>
            <w:tcW w:type="dxa" w:w="1814"/>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158</w:t>
            </w:r>
          </w:p>
        </w:tc>
        <w:tc>
          <w:tcPr>
            <w:tcW w:type="dxa" w:w="1814"/>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157</w:t>
            </w:r>
          </w:p>
        </w:tc>
      </w:tr>
      <w:tr>
        <w:trPr>
          <w:cantSplit/>
          <w:tblHeader w:val="off"/>
        </w:trPr>
        <w:tc>
          <w:tcPr>
            <w:tcW w:type="dxa" w:w="1815"/>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вместе</w:t>
            </w:r>
          </w:p>
        </w:tc>
        <w:tc>
          <w:tcPr>
            <w:tcW w:type="dxa" w:w="1814"/>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100 948</w:t>
            </w:r>
          </w:p>
        </w:tc>
        <w:tc>
          <w:tcPr>
            <w:tcW w:type="dxa" w:w="1814"/>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33 744</w:t>
            </w:r>
          </w:p>
        </w:tc>
        <w:tc>
          <w:tcPr>
            <w:tcW w:type="dxa" w:w="1814"/>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33 432</w:t>
            </w:r>
          </w:p>
        </w:tc>
        <w:tc>
          <w:tcPr>
            <w:tcW w:type="dxa" w:w="1814"/>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33 772</w:t>
            </w:r>
          </w:p>
        </w:tc>
      </w:tr>
    </w:tbl>
    <w:p>
      <w:pPr>
        <w:spacing w:after="120"/>
      </w:pPr>
      <w:r>
        <w:rPr>
          <w:rFonts w:ascii="Times New Roman" w:cs="Times New Roman" w:eastAsia="Times New Roman" w:hAnsi="Times New Roman"/>
          <w:b w:val="false"/>
          <w:bCs w:val="false"/>
          <w:i w:val="false"/>
          <w:iCs w:val="false"/>
          <w:sz w:val="28"/>
          <w:szCs w:val="28"/>
        </w:rPr>
        <w:t xml:space="preserve"/>
      </w:r>
    </w:p>
    <w:p>
      <w:pPr>
        <w:spacing w:after="160" w:line="360"/>
      </w:pPr>
      <w:r>
        <w:rPr>
          <w:rFonts w:ascii="Times New Roman" w:cs="Times New Roman" w:eastAsia="Times New Roman" w:hAnsi="Times New Roman"/>
          <w:b w:val="false"/>
          <w:bCs w:val="false"/>
          <w:i w:val="false"/>
          <w:iCs w:val="false"/>
          <w:sz w:val="28"/>
          <w:szCs w:val="28"/>
        </w:rPr>
        <w:t xml:space="preserve">Словарь собран только по train: 139 038 слов, редкие слова с частотой 1 отброшены. В окно модели попадают первые 200 токенов. Длиннее окна 5 666 отзывов. Текст приводится к нижнему регистру, буква ё заменяется на е.</w:t>
      </w:r>
    </w:p>
    <w:p>
      <w:pPr>
        <w:spacing w:after="160" w:line="360"/>
      </w:pPr>
      <w:r>
        <w:rPr>
          <w:rFonts w:ascii="Times New Roman" w:cs="Times New Roman" w:eastAsia="Times New Roman" w:hAnsi="Times New Roman"/>
          <w:b w:val="false"/>
          <w:bCs w:val="false"/>
          <w:i w:val="false"/>
          <w:iCs w:val="false"/>
          <w:sz w:val="28"/>
          <w:szCs w:val="28"/>
        </w:rPr>
        <w:t xml:space="preserve">Метки корпуса шумные. В пилоте из 50 отзывов человек, не видя исходной метки, совпал с ней в 31 случае. Расхождения были с соседним классом. Хуже согласие на одежде и товарах, лучше на банках и местах.</w:t>
      </w:r>
    </w:p>
    <w:p>
      <w:pPr>
        <w:spacing w:after="160" w:line="360"/>
      </w:pPr>
      <w:r>
        <w:rPr>
          <w:rFonts w:ascii="Times New Roman" w:cs="Times New Roman" w:eastAsia="Times New Roman" w:hAnsi="Times New Roman"/>
          <w:b w:val="false"/>
          <w:bCs w:val="false"/>
          <w:i w:val="false"/>
          <w:iCs w:val="false"/>
          <w:sz w:val="28"/>
          <w:szCs w:val="28"/>
        </w:rPr>
        <w:t xml:space="preserve">Вторая выборка собрана из банков, мест и фильмов. Метка ставится правилом по основам слов: больше претензии — негатив, больше похвалы — позитив, нет оценки или равный счёт — нейтрально. Частица «не» переворачивает следующую основу. Train 31 491 (негатив 6 791, нейтрально 8 863, позитив 15 837), val и test по 3 932 (848 / 1 106 / 1 978). Это новое разбиение, не старые val и test.</w:t>
      </w:r>
    </w:p>
    <w:p>
      <w:pPr>
        <w:spacing w:after="160" w:line="360"/>
      </w:pPr>
      <w:r>
        <w:rPr>
          <w:rFonts w:ascii="Times New Roman" w:cs="Times New Roman" w:eastAsia="Times New Roman" w:hAnsi="Times New Roman"/>
          <w:b w:val="false"/>
          <w:bCs w:val="false"/>
          <w:i w:val="false"/>
          <w:iCs w:val="false"/>
          <w:sz w:val="28"/>
          <w:szCs w:val="28"/>
        </w:rPr>
        <w:t xml:space="preserve">Лицензия сборки на Kaggle — MIT. Отзывы об одежде взяты из RuReviews, лицензия Apache-2.0. Код проекта тоже под MIT.</w:t>
      </w:r>
    </w:p>
    <w:p>
      <w:pPr>
        <w:pStyle w:val="Heading1"/>
        <w:spacing w:after="120" w:before="280"/>
      </w:pPr>
      <w:r>
        <w:rPr>
          <w:rFonts w:ascii="Times New Roman" w:cs="Times New Roman" w:eastAsia="Times New Roman" w:hAnsi="Times New Roman"/>
          <w:b/>
          <w:bCs/>
          <w:color w:val="1F4E79"/>
          <w:sz w:val="32"/>
          <w:szCs w:val="32"/>
        </w:rPr>
        <w:t xml:space="preserve">4. Архитектура</w:t>
      </w:r>
    </w:p>
    <w:p>
      <w:pPr>
        <w:spacing w:after="160" w:line="360"/>
      </w:pPr>
      <w:r>
        <w:rPr>
          <w:rFonts w:ascii="Times New Roman" w:cs="Times New Roman" w:eastAsia="Times New Roman" w:hAnsi="Times New Roman"/>
          <w:b w:val="false"/>
          <w:bCs w:val="false"/>
          <w:i w:val="false"/>
          <w:iCs w:val="false"/>
          <w:sz w:val="28"/>
          <w:szCs w:val="28"/>
        </w:rPr>
        <w:t xml:space="preserve">Слова представляются замороженными эмбеддингами Navec hudlit, 300 измерений, художественный корпус проекта Natasha. Из 139 036 содержательных слов текущего словаря векторы нашлись у 116 021. Неизвестное слово получает средний вектор известных, пустой pad остаётся нулём. Архив в git не входит.</w:t>
      </w:r>
    </w:p>
    <w:p>
      <w:pPr>
        <w:spacing w:after="160" w:line="360"/>
      </w:pPr>
      <w:r>
        <w:rPr>
          <w:rFonts w:ascii="Times New Roman" w:cs="Times New Roman" w:eastAsia="Times New Roman" w:hAnsi="Times New Roman"/>
          <w:b w:val="false"/>
          <w:bCs w:val="false"/>
          <w:i w:val="false"/>
          <w:iCs w:val="false"/>
          <w:sz w:val="28"/>
          <w:szCs w:val="28"/>
        </w:rPr>
        <w:t xml:space="preserve">Дальше один слой LSTM в обе стороны. Скрытое состояние 128, с двух сторон получается вектор 256. По словам берётся среднее, а не последний токен: начало отзыва не теряется. Перед классификатором dropout 0.3. При обучении случайно выкидывается 10% слов, на оценке слова не выкидываются.</w:t>
      </w:r>
    </w:p>
    <w:p>
      <w:pPr>
        <w:spacing w:after="160" w:line="360"/>
      </w:pPr>
      <w:r>
        <w:rPr>
          <w:rFonts w:ascii="Times New Roman" w:cs="Times New Roman" w:eastAsia="Times New Roman" w:hAnsi="Times New Roman"/>
          <w:b w:val="false"/>
          <w:bCs w:val="false"/>
          <w:i w:val="false"/>
          <w:iCs w:val="false"/>
          <w:sz w:val="28"/>
          <w:szCs w:val="28"/>
        </w:rPr>
        <w:t xml:space="preserve">Функция потерь — кросс-энтропия, оптимизатор AdamW. На корпусе веса классов выключены: три класса почти равны. На правиле веса включены, потому что позитива там больше, чем негатива.</w:t>
      </w:r>
    </w:p>
    <w:p>
      <w:pPr>
        <w:spacing w:after="160" w:line="360"/>
      </w:pPr>
      <w:r>
        <w:rPr>
          <w:rFonts w:ascii="Times New Roman" w:cs="Times New Roman" w:eastAsia="Times New Roman" w:hAnsi="Times New Roman"/>
          <w:b w:val="false"/>
          <w:bCs w:val="false"/>
          <w:i w:val="false"/>
          <w:iCs w:val="false"/>
          <w:sz w:val="28"/>
          <w:szCs w:val="28"/>
        </w:rPr>
        <w:t xml:space="preserve">Обычная LSTM с эмбеддингами, обученными с нуля, на ранней выборке остановилась на F1-macro 0.548 и запоминала train. Связка BiLSTM, Navec и выкидывания слов на тех же 3 840 отзывах дала 0.644. Эта схема и стала рабочей.</w:t>
      </w:r>
    </w:p>
    <w:p>
      <w:pPr>
        <w:pStyle w:val="Heading1"/>
        <w:spacing w:after="120" w:before="280"/>
      </w:pPr>
      <w:r>
        <w:rPr>
          <w:rFonts w:ascii="Times New Roman" w:cs="Times New Roman" w:eastAsia="Times New Roman" w:hAnsi="Times New Roman"/>
          <w:b/>
          <w:bCs/>
          <w:color w:val="1F4E79"/>
          <w:sz w:val="32"/>
          <w:szCs w:val="32"/>
        </w:rPr>
        <w:t xml:space="preserve">5. Обучение</w:t>
      </w:r>
    </w:p>
    <w:p>
      <w:pPr>
        <w:spacing w:after="160" w:line="360"/>
      </w:pPr>
      <w:r>
        <w:rPr>
          <w:rFonts w:ascii="Times New Roman" w:cs="Times New Roman" w:eastAsia="Times New Roman" w:hAnsi="Times New Roman"/>
          <w:b w:val="false"/>
          <w:bCs w:val="false"/>
          <w:i w:val="false"/>
          <w:iCs w:val="false"/>
          <w:sz w:val="28"/>
          <w:szCs w:val="28"/>
        </w:rPr>
        <w:t xml:space="preserve">Потолок — 15 эпох, размер батча 32, скорость обучения 0.001, seed 42. Ранняя остановка смотрит на F1-macro val: терпение 3 эпохи, прирост меньше 0.001 не считается улучшением. Чекпоинт лучшей эпохи пишется отдельно от последней.</w:t>
      </w:r>
    </w:p>
    <w:p>
      <w:pPr>
        <w:spacing w:after="160" w:line="360"/>
      </w:pPr>
      <w:r>
        <w:rPr>
          <w:rFonts w:ascii="Times New Roman" w:cs="Times New Roman" w:eastAsia="Times New Roman" w:hAnsi="Times New Roman"/>
          <w:b w:val="false"/>
          <w:bCs w:val="false"/>
          <w:i w:val="false"/>
          <w:iCs w:val="false"/>
          <w:sz w:val="28"/>
          <w:szCs w:val="28"/>
        </w:rPr>
        <w:t xml:space="preserve">На корпусе из 100 000 отзывов остановка сработала на 10-й эпохе. Лучшая — 7-я: val F1-macro 0.722, accuracy 0.728. На 20 000 отзывах было 0.666, на 3 840 — 0.644. Чекпоинт: checkpoints/best.pt. Копия для DVC: models/corpus.pt.</w:t>
      </w:r>
    </w:p>
    <w:p>
      <w:pPr>
        <w:spacing w:after="160" w:line="360"/>
      </w:pPr>
      <w:r>
        <w:rPr>
          <w:rFonts w:ascii="Times New Roman" w:cs="Times New Roman" w:eastAsia="Times New Roman" w:hAnsi="Times New Roman"/>
          <w:b w:val="false"/>
          <w:bCs w:val="false"/>
          <w:i w:val="false"/>
          <w:iCs w:val="false"/>
          <w:sz w:val="28"/>
          <w:szCs w:val="28"/>
        </w:rPr>
        <w:t xml:space="preserve">На правиле обучение остановилось на 14-й эпохе. Лучший чекпоинт — она же: val F1-macro 0.829. Чекпоинт корпуса эта команда не перезаписывает: веса лежат в checkpoints/rule/best.pt, копия — models/rule.pt.</w:t>
      </w:r>
    </w:p>
    <w:p>
      <w:pPr>
        <w:spacing w:after="160" w:line="360"/>
      </w:pPr>
      <w:r>
        <w:rPr>
          <w:rFonts w:ascii="Times New Roman" w:cs="Times New Roman" w:eastAsia="Times New Roman" w:hAnsi="Times New Roman"/>
          <w:b w:val="false"/>
          <w:bCs w:val="false"/>
          <w:i w:val="false"/>
          <w:iCs w:val="false"/>
          <w:sz w:val="28"/>
          <w:szCs w:val="28"/>
        </w:rPr>
        <w:t xml:space="preserve">Test правила открыт один раз. F1-macro 0.829, accuracy 0.850. Матрица ошибок, строки — метка, столбцы — ответ, порядок негатив / нейтрально / позитив: [[688, 145, 15], [140, 861, 105], [28, 157, 1793]]. Ошибки в основном соседние.</w:t>
      </w:r>
    </w:p>
    <w:p>
      <w:pPr>
        <w:pStyle w:val="Heading1"/>
        <w:spacing w:after="120" w:before="280"/>
      </w:pPr>
      <w:r>
        <w:rPr>
          <w:rFonts w:ascii="Times New Roman" w:cs="Times New Roman" w:eastAsia="Times New Roman" w:hAnsi="Times New Roman"/>
          <w:b/>
          <w:bCs/>
          <w:color w:val="1F4E79"/>
          <w:sz w:val="32"/>
          <w:szCs w:val="32"/>
        </w:rPr>
        <w:t xml:space="preserve">6. Подбор гиперпараметров</w:t>
      </w:r>
    </w:p>
    <w:p>
      <w:pPr>
        <w:spacing w:after="160" w:line="360"/>
      </w:pPr>
      <w:r>
        <w:rPr>
          <w:rFonts w:ascii="Times New Roman" w:cs="Times New Roman" w:eastAsia="Times New Roman" w:hAnsi="Times New Roman"/>
          <w:b w:val="false"/>
          <w:bCs w:val="false"/>
          <w:i w:val="false"/>
          <w:iCs w:val="false"/>
          <w:sz w:val="28"/>
          <w:szCs w:val="28"/>
        </w:rPr>
        <w:t xml:space="preserve">Optuna провела 20 проб. Study называется ru-review-sentiment-lstm и лежит в optuna.db. Метрика — F1-macro на val, направление максимум. MedianPruner обрывает пробу, если она хуже медианы. Первые пять проб не обрезаются.</w:t>
      </w:r>
    </w:p>
    <w:p>
      <w:pPr>
        <w:spacing w:after="160" w:line="360"/>
      </w:pPr>
      <w:r>
        <w:rPr>
          <w:rFonts w:ascii="Times New Roman" w:cs="Times New Roman" w:eastAsia="Times New Roman" w:hAnsi="Times New Roman"/>
          <w:b w:val="false"/>
          <w:bCs w:val="false"/>
          <w:i w:val="false"/>
          <w:iCs w:val="false"/>
          <w:sz w:val="28"/>
          <w:szCs w:val="28"/>
        </w:rPr>
        <w:t xml:space="preserve">В поиске четыре параметра: скорость обучения от 0.0001 до 0.003 по логарифмической шкале, dropout от 0.1 до 0.5, скрытое состояние 64, 128 или 256, размер батча 16, 32 или 64. Эмбеддинг остаётся Navec. Оптимизатор, weight decay, число слоёв и замена слов в поиск не входили. На каждую пробу отведено до 8 эпох.</w:t>
      </w:r>
    </w:p>
    <w:p>
      <w:pPr>
        <w:spacing w:after="160" w:line="360"/>
      </w:pPr>
      <w:r>
        <w:rPr>
          <w:rFonts w:ascii="Times New Roman" w:cs="Times New Roman" w:eastAsia="Times New Roman" w:hAnsi="Times New Roman"/>
          <w:b w:val="false"/>
          <w:bCs w:val="false"/>
          <w:i w:val="false"/>
          <w:iCs w:val="false"/>
          <w:sz w:val="28"/>
          <w:szCs w:val="28"/>
        </w:rPr>
        <w:t xml:space="preserve">Лучшая завершённая проба — номер 13, val F1-macro 0.661. Параметры: скорость 0.00252, dropout 0.172, скрытое состояние 128, батч 16. Девять проб обрезаны. Этот поиск не заменял checkpoints/best.pt: каждая проба пишет веса во временный каталог.</w:t>
      </w:r>
    </w:p>
    <w:p>
      <w:pPr>
        <w:spacing w:after="160" w:line="360"/>
      </w:pPr>
      <w:r>
        <w:rPr>
          <w:rFonts w:ascii="Times New Roman" w:cs="Times New Roman" w:eastAsia="Times New Roman" w:hAnsi="Times New Roman"/>
          <w:b w:val="false"/>
          <w:bCs w:val="false"/>
          <w:i w:val="false"/>
          <w:iCs w:val="false"/>
          <w:sz w:val="28"/>
          <w:szCs w:val="28"/>
        </w:rPr>
        <w:t xml:space="preserve">0.661 выше ручного прогона 0.644 на выборке из 3 840 отзывов и ниже 0.722, который дал добор train до 100 000 при прежних параметрах. Повторная команда дописывает ещё 20 проб в ту же study.</w:t>
      </w:r>
    </w:p>
    <w:p>
      <w:pPr>
        <w:pStyle w:val="Heading1"/>
        <w:spacing w:after="120" w:before="280"/>
      </w:pPr>
      <w:r>
        <w:rPr>
          <w:rFonts w:ascii="Times New Roman" w:cs="Times New Roman" w:eastAsia="Times New Roman" w:hAnsi="Times New Roman"/>
          <w:b/>
          <w:bCs/>
          <w:color w:val="1F4E79"/>
          <w:sz w:val="32"/>
          <w:szCs w:val="32"/>
        </w:rPr>
        <w:t xml:space="preserve">7. Результаты</w:t>
      </w:r>
    </w:p>
    <w:p>
      <w:pPr>
        <w:spacing w:after="160" w:line="360"/>
      </w:pPr>
      <w:r>
        <w:rPr>
          <w:rFonts w:ascii="Times New Roman" w:cs="Times New Roman" w:eastAsia="Times New Roman" w:hAnsi="Times New Roman"/>
          <w:b w:val="false"/>
          <w:bCs w:val="false"/>
          <w:i w:val="false"/>
          <w:iCs w:val="false"/>
          <w:sz w:val="28"/>
          <w:szCs w:val="28"/>
        </w:rPr>
        <w:t xml:space="preserve">Точка сравнения посчитана на test корпуса, 474 отзыва, seed 42. Частотный класс всегда отвечает «позитив». Логистическая регрессия учится на мешке слов train из 100 000 отзывов.</w:t>
      </w:r>
    </w:p>
    <w:p>
      <w:pPr>
        <w:spacing w:after="120"/>
      </w:pPr>
      <w:r>
        <w:rPr>
          <w:rFonts w:ascii="Times New Roman" w:cs="Times New Roman" w:eastAsia="Times New Roman" w:hAnsi="Times New Roman"/>
          <w:b w:val="false"/>
          <w:bCs w:val="false"/>
          <w:i w:val="false"/>
          <w:iCs w:val="false"/>
          <w:sz w:val="28"/>
          <w:szCs w:val="28"/>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635"/>
        <w:gridCol w:w="1636"/>
      </w:tblGrid>
      <w:tr>
        <w:trPr>
          <w:cantSplit/>
          <w:tblHeader/>
        </w:trPr>
        <w:tc>
          <w:tcPr>
            <w:tcW w:type="dxa" w:w="3600"/>
            <w:tcBorders>
              <w:top w:val="single" w:color="D0D7E2" w:sz="4"/>
              <w:left w:val="single" w:color="D0D7E2" w:sz="4"/>
              <w:bottom w:val="single" w:color="D0D7E2" w:sz="4"/>
              <w:right w:val="single" w:color="D0D7E2" w:sz="4"/>
            </w:tcBorders>
            <w:shd w:fill="E7EEF7" w:val="clear"/>
            <w:tcMar>
              <w:top w:type="dxa" w:w="60"/>
              <w:left w:type="dxa" w:w="80"/>
              <w:bottom w:type="dxa" w:w="60"/>
              <w:right w:type="dxa" w:w="80"/>
            </w:tcMar>
            <w:vAlign w:val="center"/>
          </w:tcPr>
          <w:p>
            <w:pPr>
              <w:spacing w:after="0" w:line="276"/>
            </w:pPr>
            <w:r>
              <w:rPr>
                <w:rFonts w:ascii="Times New Roman" w:cs="Times New Roman" w:eastAsia="Times New Roman" w:hAnsi="Times New Roman"/>
                <w:b/>
                <w:bCs/>
                <w:i w:val="false"/>
                <w:iCs w:val="false"/>
                <w:sz w:val="22"/>
                <w:szCs w:val="22"/>
              </w:rPr>
              <w:t xml:space="preserve">Модель</w:t>
            </w:r>
          </w:p>
        </w:tc>
        <w:tc>
          <w:tcPr>
            <w:tcW w:type="dxa" w:w="2200"/>
            <w:tcBorders>
              <w:top w:val="single" w:color="D0D7E2" w:sz="4"/>
              <w:left w:val="single" w:color="D0D7E2" w:sz="4"/>
              <w:bottom w:val="single" w:color="D0D7E2" w:sz="4"/>
              <w:right w:val="single" w:color="D0D7E2" w:sz="4"/>
            </w:tcBorders>
            <w:shd w:fill="E7EEF7" w:val="clear"/>
            <w:tcMar>
              <w:top w:type="dxa" w:w="60"/>
              <w:left w:type="dxa" w:w="80"/>
              <w:bottom w:type="dxa" w:w="60"/>
              <w:right w:type="dxa" w:w="80"/>
            </w:tcMar>
            <w:vAlign w:val="center"/>
          </w:tcPr>
          <w:p>
            <w:pPr>
              <w:spacing w:after="0" w:line="276"/>
            </w:pPr>
            <w:r>
              <w:rPr>
                <w:rFonts w:ascii="Times New Roman" w:cs="Times New Roman" w:eastAsia="Times New Roman" w:hAnsi="Times New Roman"/>
                <w:b/>
                <w:bCs/>
                <w:i w:val="false"/>
                <w:iCs w:val="false"/>
                <w:sz w:val="22"/>
                <w:szCs w:val="22"/>
              </w:rPr>
              <w:t xml:space="preserve">Где</w:t>
            </w:r>
          </w:p>
        </w:tc>
        <w:tc>
          <w:tcPr>
            <w:tcW w:type="dxa" w:w="1635"/>
            <w:tcBorders>
              <w:top w:val="single" w:color="D0D7E2" w:sz="4"/>
              <w:left w:val="single" w:color="D0D7E2" w:sz="4"/>
              <w:bottom w:val="single" w:color="D0D7E2" w:sz="4"/>
              <w:right w:val="single" w:color="D0D7E2" w:sz="4"/>
            </w:tcBorders>
            <w:shd w:fill="E7EEF7" w:val="clear"/>
            <w:tcMar>
              <w:top w:type="dxa" w:w="60"/>
              <w:left w:type="dxa" w:w="80"/>
              <w:bottom w:type="dxa" w:w="60"/>
              <w:right w:type="dxa" w:w="80"/>
            </w:tcMar>
            <w:vAlign w:val="center"/>
          </w:tcPr>
          <w:p>
            <w:pPr>
              <w:spacing w:after="0" w:line="276"/>
            </w:pPr>
            <w:r>
              <w:rPr>
                <w:rFonts w:ascii="Times New Roman" w:cs="Times New Roman" w:eastAsia="Times New Roman" w:hAnsi="Times New Roman"/>
                <w:b/>
                <w:bCs/>
                <w:i w:val="false"/>
                <w:iCs w:val="false"/>
                <w:sz w:val="22"/>
                <w:szCs w:val="22"/>
              </w:rPr>
              <w:t xml:space="preserve">Accuracy</w:t>
            </w:r>
          </w:p>
        </w:tc>
        <w:tc>
          <w:tcPr>
            <w:tcW w:type="dxa" w:w="1636"/>
            <w:tcBorders>
              <w:top w:val="single" w:color="D0D7E2" w:sz="4"/>
              <w:left w:val="single" w:color="D0D7E2" w:sz="4"/>
              <w:bottom w:val="single" w:color="D0D7E2" w:sz="4"/>
              <w:right w:val="single" w:color="D0D7E2" w:sz="4"/>
            </w:tcBorders>
            <w:shd w:fill="E7EEF7" w:val="clear"/>
            <w:tcMar>
              <w:top w:type="dxa" w:w="60"/>
              <w:left w:type="dxa" w:w="80"/>
              <w:bottom w:type="dxa" w:w="60"/>
              <w:right w:type="dxa" w:w="80"/>
            </w:tcMar>
            <w:vAlign w:val="center"/>
          </w:tcPr>
          <w:p>
            <w:pPr>
              <w:spacing w:after="0" w:line="276"/>
            </w:pPr>
            <w:r>
              <w:rPr>
                <w:rFonts w:ascii="Times New Roman" w:cs="Times New Roman" w:eastAsia="Times New Roman" w:hAnsi="Times New Roman"/>
                <w:b/>
                <w:bCs/>
                <w:i w:val="false"/>
                <w:iCs w:val="false"/>
                <w:sz w:val="22"/>
                <w:szCs w:val="22"/>
              </w:rPr>
              <w:t xml:space="preserve">F1-macro</w:t>
            </w:r>
          </w:p>
        </w:tc>
      </w:tr>
      <w:tr>
        <w:trPr>
          <w:cantSplit/>
          <w:tblHeader w:val="off"/>
        </w:trPr>
        <w:tc>
          <w:tcPr>
            <w:tcW w:type="dxa" w:w="3600"/>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Частотный класс</w:t>
            </w:r>
          </w:p>
        </w:tc>
        <w:tc>
          <w:tcPr>
            <w:tcW w:type="dxa" w:w="2200"/>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test, 474</w:t>
            </w:r>
          </w:p>
        </w:tc>
        <w:tc>
          <w:tcPr>
            <w:tcW w:type="dxa" w:w="1635"/>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0.331</w:t>
            </w:r>
          </w:p>
        </w:tc>
        <w:tc>
          <w:tcPr>
            <w:tcW w:type="dxa" w:w="1636"/>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0.166</w:t>
            </w:r>
          </w:p>
        </w:tc>
      </w:tr>
      <w:tr>
        <w:trPr>
          <w:cantSplit/>
          <w:tblHeader w:val="off"/>
        </w:trPr>
        <w:tc>
          <w:tcPr>
            <w:tcW w:type="dxa" w:w="3600"/>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Логистическая регрессия</w:t>
            </w:r>
          </w:p>
        </w:tc>
        <w:tc>
          <w:tcPr>
            <w:tcW w:type="dxa" w:w="2200"/>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test, 474</w:t>
            </w:r>
          </w:p>
        </w:tc>
        <w:tc>
          <w:tcPr>
            <w:tcW w:type="dxa" w:w="1635"/>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0.656</w:t>
            </w:r>
          </w:p>
        </w:tc>
        <w:tc>
          <w:tcPr>
            <w:tcW w:type="dxa" w:w="1636"/>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0.653</w:t>
            </w:r>
          </w:p>
        </w:tc>
      </w:tr>
      <w:tr>
        <w:trPr>
          <w:cantSplit/>
          <w:tblHeader w:val="off"/>
        </w:trPr>
        <w:tc>
          <w:tcPr>
            <w:tcW w:type="dxa" w:w="3600"/>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BiLSTM, 100 000, исходные метки</w:t>
            </w:r>
          </w:p>
        </w:tc>
        <w:tc>
          <w:tcPr>
            <w:tcW w:type="dxa" w:w="2200"/>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val, 474</w:t>
            </w:r>
          </w:p>
        </w:tc>
        <w:tc>
          <w:tcPr>
            <w:tcW w:type="dxa" w:w="1635"/>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0.728</w:t>
            </w:r>
          </w:p>
        </w:tc>
        <w:tc>
          <w:tcPr>
            <w:tcW w:type="dxa" w:w="1636"/>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0.722</w:t>
            </w:r>
          </w:p>
        </w:tc>
      </w:tr>
      <w:tr>
        <w:trPr>
          <w:cantSplit/>
          <w:tblHeader w:val="off"/>
        </w:trPr>
        <w:tc>
          <w:tcPr>
            <w:tcW w:type="dxa" w:w="3600"/>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BiLSTM, обучена на 3 840</w:t>
            </w:r>
          </w:p>
        </w:tc>
        <w:tc>
          <w:tcPr>
            <w:tcW w:type="dxa" w:w="2200"/>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test, 474</w:t>
            </w:r>
          </w:p>
        </w:tc>
        <w:tc>
          <w:tcPr>
            <w:tcW w:type="dxa" w:w="1635"/>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0.675</w:t>
            </w:r>
          </w:p>
        </w:tc>
        <w:tc>
          <w:tcPr>
            <w:tcW w:type="dxa" w:w="1636"/>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0.679</w:t>
            </w:r>
          </w:p>
        </w:tc>
      </w:tr>
      <w:tr>
        <w:trPr>
          <w:cantSplit/>
          <w:tblHeader w:val="off"/>
        </w:trPr>
        <w:tc>
          <w:tcPr>
            <w:tcW w:type="dxa" w:w="3600"/>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BiLSTM, правило</w:t>
            </w:r>
          </w:p>
        </w:tc>
        <w:tc>
          <w:tcPr>
            <w:tcW w:type="dxa" w:w="2200"/>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test, 3 932</w:t>
            </w:r>
          </w:p>
        </w:tc>
        <w:tc>
          <w:tcPr>
            <w:tcW w:type="dxa" w:w="1635"/>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0.850</w:t>
            </w:r>
          </w:p>
        </w:tc>
        <w:tc>
          <w:tcPr>
            <w:tcW w:type="dxa" w:w="1636"/>
            <w:tcBorders>
              <w:top w:val="single" w:color="D0D7E2" w:sz="4"/>
              <w:left w:val="single" w:color="D0D7E2" w:sz="4"/>
              <w:bottom w:val="single" w:color="D0D7E2" w:sz="4"/>
              <w:right w:val="single" w:color="D0D7E2" w:sz="4"/>
            </w:tcBorders>
            <w:tcMar>
              <w:top w:type="dxa" w:w="60"/>
              <w:left w:type="dxa" w:w="80"/>
              <w:bottom w:type="dxa" w:w="60"/>
              <w:right w:type="dxa" w:w="80"/>
            </w:tcMar>
            <w:vAlign w:val="center"/>
          </w:tcPr>
          <w:p>
            <w:pPr>
              <w:spacing w:after="0" w:line="276"/>
            </w:pPr>
            <w:r>
              <w:rPr>
                <w:rFonts w:ascii="Times New Roman" w:cs="Times New Roman" w:eastAsia="Times New Roman" w:hAnsi="Times New Roman"/>
                <w:b w:val="false"/>
                <w:bCs w:val="false"/>
                <w:i w:val="false"/>
                <w:iCs w:val="false"/>
                <w:sz w:val="22"/>
                <w:szCs w:val="22"/>
              </w:rPr>
              <w:t xml:space="preserve">0.829</w:t>
            </w:r>
          </w:p>
        </w:tc>
      </w:tr>
    </w:tbl>
    <w:p>
      <w:pPr>
        <w:spacing w:after="120"/>
      </w:pPr>
      <w:r>
        <w:rPr>
          <w:rFonts w:ascii="Times New Roman" w:cs="Times New Roman" w:eastAsia="Times New Roman" w:hAnsi="Times New Roman"/>
          <w:b w:val="false"/>
          <w:bCs w:val="false"/>
          <w:i w:val="false"/>
          <w:iCs w:val="false"/>
          <w:sz w:val="28"/>
          <w:szCs w:val="28"/>
        </w:rPr>
        <w:t xml:space="preserve"/>
      </w:r>
    </w:p>
    <w:p>
      <w:pPr>
        <w:spacing w:after="160" w:line="360"/>
      </w:pPr>
      <w:r>
        <w:rPr>
          <w:rFonts w:ascii="Times New Roman" w:cs="Times New Roman" w:eastAsia="Times New Roman" w:hAnsi="Times New Roman"/>
          <w:b w:val="false"/>
          <w:bCs w:val="false"/>
          <w:i w:val="false"/>
          <w:iCs w:val="false"/>
          <w:sz w:val="28"/>
          <w:szCs w:val="28"/>
        </w:rPr>
        <w:t xml:space="preserve">По классам регрессия на test даёт негатив 0.684, нейтрально 0.519, позитив 0.756. На val её F1-macro равен 0.683. Сеть на 100 000 отзывах выше этой точки на val: 0.722 против 0.683.</w:t>
      </w:r>
    </w:p>
    <w:p>
      <w:pPr>
        <w:spacing w:after="160" w:line="360"/>
      </w:pPr>
      <w:r>
        <w:rPr>
          <w:rFonts w:ascii="Times New Roman" w:cs="Times New Roman" w:eastAsia="Times New Roman" w:hAnsi="Times New Roman"/>
          <w:b w:val="false"/>
          <w:bCs w:val="false"/>
          <w:i w:val="false"/>
          <w:iCs w:val="false"/>
          <w:sz w:val="28"/>
          <w:szCs w:val="28"/>
        </w:rPr>
        <w:t xml:space="preserve">Test модели на 100 000 отзывах заново не открывался. Строка 0.679 относится к чекпоинту, обученному на 3 840 отзывах. На том test нейтральный класс был самым слабым: F1 0.598.</w:t>
      </w:r>
    </w:p>
    <w:p>
      <w:pPr>
        <w:spacing w:after="160" w:line="360"/>
      </w:pPr>
      <w:r>
        <w:rPr>
          <w:rFonts w:ascii="Times New Roman" w:cs="Times New Roman" w:eastAsia="Times New Roman" w:hAnsi="Times New Roman"/>
          <w:b w:val="false"/>
          <w:bCs w:val="false"/>
          <w:i w:val="false"/>
          <w:iCs w:val="false"/>
          <w:sz w:val="28"/>
          <w:szCs w:val="28"/>
        </w:rPr>
        <w:t xml:space="preserve">Цифра 0.829 измеряет согласие сети с правилом претензия/похвала. Это не согласие с исходными метками Kaggle. На исходных метках цель 0.80 не взята. На правиле для банков, мест и фильмов взята.</w:t>
      </w:r>
    </w:p>
    <w:p>
      <w:pPr>
        <w:pStyle w:val="Heading1"/>
        <w:spacing w:after="120" w:before="280"/>
      </w:pPr>
      <w:r>
        <w:rPr>
          <w:rFonts w:ascii="Times New Roman" w:cs="Times New Roman" w:eastAsia="Times New Roman" w:hAnsi="Times New Roman"/>
          <w:b/>
          <w:bCs/>
          <w:color w:val="1F4E79"/>
          <w:sz w:val="32"/>
          <w:szCs w:val="32"/>
        </w:rPr>
        <w:t xml:space="preserve">8. Интерфейс</w:t>
      </w:r>
    </w:p>
    <w:p>
      <w:pPr>
        <w:spacing w:after="160" w:line="360"/>
      </w:pPr>
      <w:r>
        <w:rPr>
          <w:rFonts w:ascii="Times New Roman" w:cs="Times New Roman" w:eastAsia="Times New Roman" w:hAnsi="Times New Roman"/>
          <w:b w:val="false"/>
          <w:bCs w:val="false"/>
          <w:i w:val="false"/>
          <w:iCs w:val="false"/>
          <w:sz w:val="28"/>
          <w:szCs w:val="28"/>
        </w:rPr>
        <w:t xml:space="preserve">Страница на Streamlit предлагает обе сети. У корпуса подпись говорит про восемь сфер и val 0.722. У правила — про банки, места и фильмы, про 0.829 и про то, что одежда, товары, продукты и аниме в обучение не входили. Можно вставить текст, выбрать пример или загрузить файл txt и csv с колонкой text. На экране класс и три вероятности.</w:t>
      </w:r>
    </w:p>
    <w:p>
      <w:pPr>
        <w:spacing w:after="160" w:line="360"/>
      </w:pPr>
      <w:r>
        <w:rPr>
          <w:rFonts w:ascii="Times New Roman" w:cs="Times New Roman" w:eastAsia="Times New Roman" w:hAnsi="Times New Roman"/>
          <w:b w:val="false"/>
          <w:bCs w:val="false"/>
          <w:i w:val="false"/>
          <w:iCs w:val="false"/>
          <w:sz w:val="28"/>
          <w:szCs w:val="28"/>
        </w:rPr>
        <w:t xml:space="preserve">API принимает POST /predict с полями text и version. Пустой текст отвечает кодом 422. Описание методов открывается в Swagger. Страница слушает порт 8501, API — порт 8000. Оба сервиса поднимаются через Docker Compose. Веса читаются из checkpoints, а если файла нет — из копии в models.</w:t>
      </w:r>
    </w:p>
    <w:p>
      <w:pPr>
        <w:spacing w:after="160" w:line="360"/>
      </w:pPr>
      <w:r>
        <w:rPr>
          <w:rFonts w:ascii="Times New Roman" w:cs="Times New Roman" w:eastAsia="Times New Roman" w:hAnsi="Times New Roman"/>
          <w:b w:val="false"/>
          <w:bCs w:val="false"/>
          <w:i w:val="false"/>
          <w:iCs w:val="false"/>
          <w:sz w:val="28"/>
          <w:szCs w:val="28"/>
        </w:rPr>
        <w:t xml:space="preserve">Проверка в контейнере: «Отличный банк, очень рекомендую» на корпусе получило позитив с вероятностью 0.998. «Ужасное хамство и грязь» на правиле получило негатив.</w:t>
      </w:r>
    </w:p>
    <w:p>
      <w:pPr>
        <w:pStyle w:val="Heading1"/>
        <w:spacing w:after="120" w:before="280"/>
      </w:pPr>
      <w:r>
        <w:rPr>
          <w:rFonts w:ascii="Times New Roman" w:cs="Times New Roman" w:eastAsia="Times New Roman" w:hAnsi="Times New Roman"/>
          <w:b/>
          <w:bCs/>
          <w:color w:val="1F4E79"/>
          <w:sz w:val="32"/>
          <w:szCs w:val="32"/>
        </w:rPr>
        <w:t xml:space="preserve">9. Выводы</w:t>
      </w:r>
    </w:p>
    <w:p>
      <w:pPr>
        <w:spacing w:after="160" w:line="360"/>
      </w:pPr>
      <w:r>
        <w:rPr>
          <w:rFonts w:ascii="Times New Roman" w:cs="Times New Roman" w:eastAsia="Times New Roman" w:hAnsi="Times New Roman"/>
          <w:b w:val="false"/>
          <w:bCs w:val="false"/>
          <w:i w:val="false"/>
          <w:iCs w:val="false"/>
          <w:sz w:val="28"/>
          <w:szCs w:val="28"/>
        </w:rPr>
        <w:t xml:space="preserve">Добор обучающей части с 3 840 до 100 000 поднял val F1-macro с 0.644 до 0.722. Замороженный Navec и двунаправленное чтение держат этот результат выше логистической регрессии. Двадцать проб Optuna на меньшей выборке дали 0.661 и чекпоинт не заменили: выигрыш оказался у объёма данных, а не у четырёх перебранных параметров.</w:t>
      </w:r>
    </w:p>
    <w:p>
      <w:pPr>
        <w:spacing w:after="160" w:line="360"/>
      </w:pPr>
      <w:r>
        <w:rPr>
          <w:rFonts w:ascii="Times New Roman" w:cs="Times New Roman" w:eastAsia="Times New Roman" w:hAnsi="Times New Roman"/>
          <w:b w:val="false"/>
          <w:bCs w:val="false"/>
          <w:i w:val="false"/>
          <w:iCs w:val="false"/>
          <w:sz w:val="28"/>
          <w:szCs w:val="28"/>
        </w:rPr>
        <w:t xml:space="preserve">Цель 0.80 на исходных метках не достигнута. Мешает шумная граница нейтрального класса: человек совпал с меткой корпуса только в 31 случае из 50. Дальнейший перебор скорости и dropout на этих метках не обещает восемь сотых.</w:t>
      </w:r>
    </w:p>
    <w:p>
      <w:pPr>
        <w:spacing w:after="160" w:line="360"/>
      </w:pPr>
      <w:r>
        <w:rPr>
          <w:rFonts w:ascii="Times New Roman" w:cs="Times New Roman" w:eastAsia="Times New Roman" w:hAnsi="Times New Roman"/>
          <w:b w:val="false"/>
          <w:bCs w:val="false"/>
          <w:i w:val="false"/>
          <w:iCs w:val="false"/>
          <w:sz w:val="28"/>
          <w:szCs w:val="28"/>
        </w:rPr>
        <w:t xml:space="preserve">Та же BiLSTM, обученная на правиле для банков, мест и фильмов, берёт 0.829. Эту цифру можно называть результатом только вместе с правилом и списком сфер. На одежду и аниме её переносить нельзя: этих текстов в обучении правила не было.</w:t>
      </w:r>
    </w:p>
    <w:p>
      <w:pPr>
        <w:spacing w:after="160" w:line="360"/>
      </w:pPr>
      <w:r>
        <w:rPr>
          <w:rFonts w:ascii="Times New Roman" w:cs="Times New Roman" w:eastAsia="Times New Roman" w:hAnsi="Times New Roman"/>
          <w:b w:val="false"/>
          <w:bCs w:val="false"/>
          <w:i w:val="false"/>
          <w:iCs w:val="false"/>
          <w:sz w:val="28"/>
          <w:szCs w:val="28"/>
        </w:rPr>
        <w:t xml:space="preserve">Для потока отзывов оставлены две версии. Корпус покрывает восемь сфер и ошибается на нейтральных. Правило точнее там, где тон сводится к претензии или похвале, и только в банках, местах и фильмах. Ни одна из версий не оценивает человека.</w:t>
      </w:r>
    </w:p>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2026-10-12T09:59:32.939Z</dcterms:created>
  <dcterms:modified xsi:type="dcterms:W3CDTF">2026-10-12T09:59:32.940Z</dcterms:modified>
</cp:coreProperties>
</file>

<file path=docProps/custom.xml><?xml version="1.0" encoding="utf-8"?>
<Properties xmlns="http://schemas.openxmlformats.org/officeDocument/2006/custom-properties" xmlns:vt="http://schemas.openxmlformats.org/officeDocument/2006/docPropsVTypes"/>
</file>