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CA2A" w14:textId="77777777" w:rsidR="00E135A0" w:rsidRPr="00D66584" w:rsidRDefault="00E135A0">
      <w:pPr>
        <w:jc w:val="right"/>
      </w:pPr>
    </w:p>
    <w:p w14:paraId="33CE57D1" w14:textId="77777777" w:rsidR="00E135A0" w:rsidRPr="00D66584" w:rsidRDefault="00000000">
      <w:pPr>
        <w:jc w:val="center"/>
        <w:rPr>
          <w:b/>
          <w:sz w:val="30"/>
          <w:szCs w:val="30"/>
        </w:rPr>
      </w:pPr>
      <w:r w:rsidRPr="00D66584">
        <w:rPr>
          <w:b/>
          <w:sz w:val="30"/>
          <w:szCs w:val="30"/>
        </w:rPr>
        <w:t>Phase I Clinical Trials in Cancer Treatment</w:t>
      </w:r>
    </w:p>
    <w:p w14:paraId="563C4F39" w14:textId="77777777" w:rsidR="00573BE2" w:rsidRPr="00D66584" w:rsidRDefault="00573BE2">
      <w:pPr>
        <w:jc w:val="center"/>
        <w:rPr>
          <w:b/>
          <w:sz w:val="30"/>
          <w:szCs w:val="30"/>
        </w:rPr>
      </w:pPr>
    </w:p>
    <w:p w14:paraId="15723A27" w14:textId="26CCCC8D" w:rsidR="00573BE2" w:rsidRPr="00D66584" w:rsidRDefault="00573BE2">
      <w:pPr>
        <w:jc w:val="center"/>
        <w:rPr>
          <w:b/>
        </w:rPr>
      </w:pPr>
      <w:r w:rsidRPr="00D66584">
        <w:rPr>
          <w:b/>
        </w:rPr>
        <w:t xml:space="preserve">Megan Wang </w:t>
      </w:r>
    </w:p>
    <w:p w14:paraId="4E602585" w14:textId="6E80CD88" w:rsidR="00573BE2" w:rsidRPr="00C8230E" w:rsidRDefault="00573BE2">
      <w:pPr>
        <w:jc w:val="center"/>
        <w:rPr>
          <w:bCs/>
        </w:rPr>
      </w:pPr>
      <w:r w:rsidRPr="00C8230E">
        <w:rPr>
          <w:bCs/>
        </w:rPr>
        <w:t>Bellaire High School</w:t>
      </w:r>
    </w:p>
    <w:p w14:paraId="2D2BDB6C" w14:textId="77777777" w:rsidR="00573BE2" w:rsidRPr="00D66584" w:rsidRDefault="00573BE2">
      <w:pPr>
        <w:jc w:val="center"/>
        <w:rPr>
          <w:b/>
        </w:rPr>
      </w:pPr>
    </w:p>
    <w:p w14:paraId="2ECA08A1" w14:textId="3828CC40" w:rsidR="00573BE2" w:rsidRPr="00D66584" w:rsidRDefault="00573BE2">
      <w:pPr>
        <w:jc w:val="center"/>
        <w:rPr>
          <w:b/>
        </w:rPr>
      </w:pPr>
      <w:r w:rsidRPr="00D66584">
        <w:rPr>
          <w:b/>
        </w:rPr>
        <w:t xml:space="preserve">Supervisor:  </w:t>
      </w:r>
      <w:proofErr w:type="spellStart"/>
      <w:r w:rsidRPr="00D66584">
        <w:rPr>
          <w:b/>
        </w:rPr>
        <w:t>Suyu</w:t>
      </w:r>
      <w:proofErr w:type="spellEnd"/>
      <w:r w:rsidRPr="00D66584">
        <w:rPr>
          <w:b/>
        </w:rPr>
        <w:t xml:space="preserve"> Liu, PhD </w:t>
      </w:r>
    </w:p>
    <w:p w14:paraId="44BAF772" w14:textId="0A5852FC" w:rsidR="00573BE2" w:rsidRPr="00C8230E" w:rsidRDefault="00573BE2">
      <w:pPr>
        <w:jc w:val="center"/>
        <w:rPr>
          <w:bCs/>
        </w:rPr>
      </w:pPr>
      <w:r w:rsidRPr="00C8230E">
        <w:rPr>
          <w:bCs/>
        </w:rPr>
        <w:t xml:space="preserve">Department of Biostatistics </w:t>
      </w:r>
    </w:p>
    <w:p w14:paraId="5BE160E8" w14:textId="6DC776BB" w:rsidR="00573BE2" w:rsidRDefault="007F28DE">
      <w:pPr>
        <w:jc w:val="center"/>
        <w:rPr>
          <w:bCs/>
        </w:rPr>
      </w:pPr>
      <w:r w:rsidRPr="00C8230E">
        <w:rPr>
          <w:bCs/>
        </w:rPr>
        <w:t xml:space="preserve">The </w:t>
      </w:r>
      <w:r w:rsidR="00573BE2" w:rsidRPr="00C8230E">
        <w:rPr>
          <w:bCs/>
        </w:rPr>
        <w:t>University of Texas MD</w:t>
      </w:r>
      <w:r w:rsidRPr="00C8230E">
        <w:rPr>
          <w:bCs/>
        </w:rPr>
        <w:t xml:space="preserve"> </w:t>
      </w:r>
      <w:r w:rsidR="00573BE2" w:rsidRPr="00C8230E">
        <w:rPr>
          <w:bCs/>
        </w:rPr>
        <w:t>Anderson Cancer Center</w:t>
      </w:r>
    </w:p>
    <w:p w14:paraId="19E2EDC3" w14:textId="77777777" w:rsidR="00C1220A" w:rsidRPr="00C8230E" w:rsidRDefault="00C1220A">
      <w:pPr>
        <w:jc w:val="center"/>
        <w:rPr>
          <w:bCs/>
        </w:rPr>
      </w:pPr>
    </w:p>
    <w:p w14:paraId="0E0BCD5D" w14:textId="0F2AB83A" w:rsidR="00E135A0" w:rsidRPr="00D66584" w:rsidRDefault="00C1220A" w:rsidP="00C1220A">
      <w:pPr>
        <w:jc w:val="center"/>
        <w:rPr>
          <w:b/>
        </w:rPr>
      </w:pPr>
      <w:r>
        <w:rPr>
          <w:b/>
        </w:rPr>
        <w:t>Statistical Analyst Summer Internship (</w:t>
      </w:r>
      <w:proofErr w:type="gramStart"/>
      <w:r>
        <w:rPr>
          <w:b/>
        </w:rPr>
        <w:t>June  -</w:t>
      </w:r>
      <w:proofErr w:type="gramEnd"/>
      <w:r>
        <w:rPr>
          <w:b/>
        </w:rPr>
        <w:t xml:space="preserve"> August 2024)</w:t>
      </w:r>
    </w:p>
    <w:p w14:paraId="6CAB1008" w14:textId="77777777" w:rsidR="00D66584" w:rsidRPr="00D66584" w:rsidRDefault="00D66584">
      <w:pPr>
        <w:rPr>
          <w:b/>
        </w:rPr>
      </w:pPr>
    </w:p>
    <w:p w14:paraId="12EED458" w14:textId="77777777" w:rsidR="00D66584" w:rsidRPr="00D66584" w:rsidRDefault="00D66584">
      <w:pPr>
        <w:rPr>
          <w:b/>
        </w:rPr>
      </w:pPr>
    </w:p>
    <w:p w14:paraId="75D2137E" w14:textId="77777777" w:rsidR="00E135A0" w:rsidRPr="00D66584" w:rsidRDefault="00000000">
      <w:pPr>
        <w:rPr>
          <w:b/>
        </w:rPr>
      </w:pPr>
      <w:r w:rsidRPr="00D66584">
        <w:rPr>
          <w:b/>
        </w:rPr>
        <w:t>Introduction</w:t>
      </w:r>
    </w:p>
    <w:p w14:paraId="1742B725" w14:textId="77777777" w:rsidR="00E135A0" w:rsidRPr="00D66584" w:rsidRDefault="00E135A0">
      <w:pPr>
        <w:rPr>
          <w:b/>
        </w:rPr>
      </w:pPr>
    </w:p>
    <w:p w14:paraId="682FBC4C" w14:textId="77777777" w:rsidR="00C8230E" w:rsidRDefault="00000000" w:rsidP="120330C2">
      <w:r w:rsidRPr="00D66584">
        <w:t xml:space="preserve">Phase I clinical trials are essential in developing anticancer drugs and are the first step in testing new drugs. Phase I clinical trials focus on assessing a new drug's safety, tolerability, and pharmacokinetics/pharmacodynamics and determining the maximum tolerated dose (MTD) and recommended dose for Phase II trials. The primary goal of Phase I clinical trials is to determine the MTD, the highest dose patients can receive without unethical harmful side effects.  Phase I clinical trials </w:t>
      </w:r>
      <w:r w:rsidR="0071310C" w:rsidRPr="00D66584">
        <w:t xml:space="preserve">may </w:t>
      </w:r>
      <w:r w:rsidRPr="00D66584">
        <w:t xml:space="preserve">have two </w:t>
      </w:r>
      <w:r w:rsidR="0071310C" w:rsidRPr="00D66584">
        <w:t>parts</w:t>
      </w:r>
      <w:r w:rsidRPr="00D66584">
        <w:t xml:space="preserve">: </w:t>
      </w:r>
      <w:r w:rsidR="0071310C" w:rsidRPr="00D66584">
        <w:t>(1) dose-finding part; and (2) dose expansion part.</w:t>
      </w:r>
      <w:r w:rsidRPr="00D66584">
        <w:t xml:space="preserve"> The goal of </w:t>
      </w:r>
      <w:r w:rsidR="002A3BB4" w:rsidRPr="00D66584">
        <w:t xml:space="preserve">the </w:t>
      </w:r>
      <w:r w:rsidR="0071310C" w:rsidRPr="00D66584">
        <w:t xml:space="preserve">dose-finding part </w:t>
      </w:r>
      <w:r w:rsidRPr="00D66584">
        <w:t xml:space="preserve">is to find the MTD </w:t>
      </w:r>
      <w:r w:rsidR="0071310C" w:rsidRPr="00D66584">
        <w:t>by sequentially testing the toxicity of the study drug from low dose to high dose level. The goal of the dose expansion part is to continue treat</w:t>
      </w:r>
      <w:r w:rsidR="002A3BB4" w:rsidRPr="00D66584">
        <w:t>ing</w:t>
      </w:r>
      <w:r w:rsidR="0071310C" w:rsidRPr="00D66584">
        <w:t xml:space="preserve"> patients at the MTD d</w:t>
      </w:r>
      <w:r w:rsidR="002A3BB4" w:rsidRPr="00D66584">
        <w:t>e</w:t>
      </w:r>
      <w:r w:rsidR="0071310C" w:rsidRPr="00D66584">
        <w:t xml:space="preserve">termined in the dose-finding part to further confirm the safety of the study drug as well as </w:t>
      </w:r>
      <w:r w:rsidR="00F51E63" w:rsidRPr="00D66584">
        <w:t>assess the preliminary efficacy profile. Statistical methods/designs are applied to the dose-finding process to efficiently explore the dose space and select the MTD.</w:t>
      </w:r>
      <w:r w:rsidRPr="00D66584">
        <w:t xml:space="preserve"> Methods can include 3+3, BOIN</w:t>
      </w:r>
      <w:r w:rsidR="002A3BB4" w:rsidRPr="00D66584">
        <w:t xml:space="preserve"> (Bayesian Optimal Interval Design)</w:t>
      </w:r>
      <w:r w:rsidRPr="00D66584">
        <w:t xml:space="preserve">, </w:t>
      </w:r>
      <w:proofErr w:type="spellStart"/>
      <w:r w:rsidRPr="00D66584">
        <w:t>mTPI</w:t>
      </w:r>
      <w:proofErr w:type="spellEnd"/>
      <w:r w:rsidR="002A3BB4" w:rsidRPr="00D66584">
        <w:t xml:space="preserve"> (Modified Toxicity Probability Interval)</w:t>
      </w:r>
      <w:r w:rsidRPr="00D66584">
        <w:t>, CRM</w:t>
      </w:r>
      <w:r w:rsidR="002A3BB4" w:rsidRPr="00D66584">
        <w:t xml:space="preserve"> (Continual Reassessment Method)</w:t>
      </w:r>
      <w:r w:rsidRPr="00D66584">
        <w:t xml:space="preserve">, and other designs. </w:t>
      </w:r>
    </w:p>
    <w:p w14:paraId="5D79F8D7" w14:textId="77777777" w:rsidR="00C8230E" w:rsidRDefault="00C8230E" w:rsidP="120330C2"/>
    <w:p w14:paraId="36B7590E" w14:textId="0A57984A" w:rsidR="00E135A0" w:rsidRPr="00D66584" w:rsidRDefault="00F51E63" w:rsidP="120330C2">
      <w:r w:rsidRPr="00D66584">
        <w:t>The objective of this project is:</w:t>
      </w:r>
    </w:p>
    <w:p w14:paraId="1B384117" w14:textId="7104F4DF" w:rsidR="00F51E63" w:rsidRPr="00D66584" w:rsidRDefault="00F51E63" w:rsidP="00F51E63">
      <w:pPr>
        <w:pStyle w:val="ListParagraph"/>
        <w:numPr>
          <w:ilvl w:val="0"/>
          <w:numId w:val="6"/>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 xml:space="preserve">Learn the </w:t>
      </w:r>
      <w:r w:rsidR="0053010F" w:rsidRPr="00D66584">
        <w:rPr>
          <w:rFonts w:ascii="Times New Roman" w:eastAsia="Times New Roman" w:hAnsi="Times New Roman" w:cs="Times New Roman"/>
          <w:sz w:val="24"/>
          <w:szCs w:val="24"/>
        </w:rPr>
        <w:t>basic concepts of phase I clinical trial designs</w:t>
      </w:r>
    </w:p>
    <w:p w14:paraId="66330A0B" w14:textId="2B8462E1" w:rsidR="0053010F" w:rsidRPr="00D66584" w:rsidRDefault="0053010F" w:rsidP="00F51E63">
      <w:pPr>
        <w:pStyle w:val="ListParagraph"/>
        <w:numPr>
          <w:ilvl w:val="0"/>
          <w:numId w:val="6"/>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 xml:space="preserve">Perform </w:t>
      </w:r>
      <w:r w:rsidR="002A3BB4" w:rsidRPr="00D66584">
        <w:rPr>
          <w:rFonts w:ascii="Times New Roman" w:eastAsia="Times New Roman" w:hAnsi="Times New Roman" w:cs="Times New Roman"/>
          <w:sz w:val="24"/>
          <w:szCs w:val="24"/>
        </w:rPr>
        <w:t xml:space="preserve">a </w:t>
      </w:r>
      <w:r w:rsidRPr="00D66584">
        <w:rPr>
          <w:rFonts w:ascii="Times New Roman" w:eastAsia="Times New Roman" w:hAnsi="Times New Roman" w:cs="Times New Roman"/>
          <w:sz w:val="24"/>
          <w:szCs w:val="24"/>
        </w:rPr>
        <w:t xml:space="preserve">literature review of the published phase I clinical trials </w:t>
      </w:r>
    </w:p>
    <w:p w14:paraId="4930E190" w14:textId="333AE579" w:rsidR="0053010F" w:rsidRPr="00D66584" w:rsidRDefault="0053010F" w:rsidP="00F51E63">
      <w:pPr>
        <w:pStyle w:val="ListParagraph"/>
        <w:numPr>
          <w:ilvl w:val="0"/>
          <w:numId w:val="6"/>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Summarize the common phase I clinical trial parameters</w:t>
      </w:r>
    </w:p>
    <w:p w14:paraId="75821F3B" w14:textId="3C126ECB" w:rsidR="0053010F" w:rsidRPr="00D66584" w:rsidRDefault="0053010F" w:rsidP="002A3BB4">
      <w:pPr>
        <w:pStyle w:val="ListParagraph"/>
        <w:numPr>
          <w:ilvl w:val="0"/>
          <w:numId w:val="6"/>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 xml:space="preserve">Conduct simulation studies </w:t>
      </w:r>
      <w:r w:rsidR="008C0592" w:rsidRPr="00D66584">
        <w:rPr>
          <w:rFonts w:ascii="Times New Roman" w:eastAsia="Times New Roman" w:hAnsi="Times New Roman" w:cs="Times New Roman"/>
          <w:sz w:val="24"/>
          <w:szCs w:val="24"/>
        </w:rPr>
        <w:t>of the novel design used at MD Anderson Cancer Center, the BOIN design</w:t>
      </w:r>
      <w:r w:rsidR="00C8230E">
        <w:rPr>
          <w:rFonts w:ascii="Times New Roman" w:eastAsia="Times New Roman" w:hAnsi="Times New Roman" w:cs="Times New Roman"/>
          <w:sz w:val="24"/>
          <w:szCs w:val="24"/>
        </w:rPr>
        <w:t xml:space="preserve"> (Ongoing)</w:t>
      </w:r>
    </w:p>
    <w:p w14:paraId="0E0F70ED" w14:textId="77777777" w:rsidR="00E135A0" w:rsidRPr="00D66584" w:rsidRDefault="00E135A0"/>
    <w:p w14:paraId="016BF06B" w14:textId="77777777" w:rsidR="00E135A0" w:rsidRPr="00D66584" w:rsidRDefault="00000000" w:rsidP="00A123CD">
      <w:pPr>
        <w:pStyle w:val="ListParagraph"/>
        <w:numPr>
          <w:ilvl w:val="0"/>
          <w:numId w:val="9"/>
        </w:numPr>
        <w:rPr>
          <w:rFonts w:ascii="Times New Roman" w:hAnsi="Times New Roman" w:cs="Times New Roman"/>
          <w:b/>
        </w:rPr>
      </w:pPr>
      <w:r w:rsidRPr="00D66584">
        <w:rPr>
          <w:rFonts w:ascii="Times New Roman" w:eastAsia="Times New Roman" w:hAnsi="Times New Roman" w:cs="Times New Roman"/>
          <w:b/>
          <w:sz w:val="24"/>
          <w:szCs w:val="24"/>
        </w:rPr>
        <w:t>Two Stages of Phase I Clinical Trial</w:t>
      </w:r>
    </w:p>
    <w:p w14:paraId="24F2F4D1" w14:textId="77777777" w:rsidR="00E135A0" w:rsidRPr="00D66584" w:rsidRDefault="00E135A0">
      <w:pPr>
        <w:rPr>
          <w:b/>
        </w:rPr>
      </w:pPr>
    </w:p>
    <w:p w14:paraId="636FAD7D" w14:textId="7D7A9331" w:rsidR="00573BE2" w:rsidRPr="00D66584" w:rsidRDefault="00000000" w:rsidP="00573BE2">
      <w:r w:rsidRPr="00D66584">
        <w:t xml:space="preserve">The first stage of a phase I clinical trial is dose escalation or dose finding. During dose escalation, patients are enrolled into different dose levels. Depending on how many patients experience </w:t>
      </w:r>
      <w:r w:rsidR="00573BE2" w:rsidRPr="00D66584">
        <w:t>d</w:t>
      </w:r>
      <w:proofErr w:type="spellStart"/>
      <w:r w:rsidR="00573BE2" w:rsidRPr="00D66584">
        <w:rPr>
          <w:lang w:val="en"/>
        </w:rPr>
        <w:t>ose</w:t>
      </w:r>
      <w:proofErr w:type="spellEnd"/>
      <w:r w:rsidR="00573BE2" w:rsidRPr="00D66584">
        <w:t>-</w:t>
      </w:r>
      <w:r w:rsidR="00573BE2" w:rsidRPr="00D66584">
        <w:rPr>
          <w:lang w:val="en"/>
        </w:rPr>
        <w:t xml:space="preserve">limiting </w:t>
      </w:r>
      <w:proofErr w:type="spellStart"/>
      <w:r w:rsidR="00573BE2" w:rsidRPr="00D66584">
        <w:rPr>
          <w:lang w:val="en"/>
        </w:rPr>
        <w:t>toxicit</w:t>
      </w:r>
      <w:proofErr w:type="spellEnd"/>
      <w:r w:rsidR="00573BE2" w:rsidRPr="00D66584">
        <w:t>y (</w:t>
      </w:r>
      <w:r w:rsidRPr="00D66584">
        <w:t>DLT</w:t>
      </w:r>
      <w:r w:rsidR="00573BE2" w:rsidRPr="00D66584">
        <w:t>)</w:t>
      </w:r>
      <w:r w:rsidRPr="00D66584">
        <w:t xml:space="preserve"> in a cohort, the study will either test the same dose level again, drop down a dose level, or escalate to a higher dose level. This dose escalation and de-escalation is used to determine the MTD. Dose escalation tends to use fewer patients and smaller cohort sizes to be ethical. In dose levels with a greater number of DLTs or severe side effects, </w:t>
      </w:r>
      <w:r w:rsidRPr="00D66584">
        <w:lastRenderedPageBreak/>
        <w:t xml:space="preserve">small cohort sizes will result in fewer patients harmed, maintaining an ethical clinical trial. </w:t>
      </w:r>
      <w:r w:rsidR="00573BE2" w:rsidRPr="00D66584">
        <w:t>Cohort sizes of between 1 and 3 are typically used in phase I dose-escalation trials.</w:t>
      </w:r>
    </w:p>
    <w:p w14:paraId="17A6B565" w14:textId="2004A997" w:rsidR="00E135A0" w:rsidRPr="00D66584" w:rsidRDefault="00E135A0" w:rsidP="120330C2"/>
    <w:p w14:paraId="71899CE5" w14:textId="77777777" w:rsidR="00E135A0" w:rsidRPr="00D66584" w:rsidRDefault="00000000" w:rsidP="120330C2">
      <w:pPr>
        <w:rPr>
          <w:color w:val="1D2228"/>
        </w:rPr>
      </w:pPr>
      <w:r w:rsidRPr="00D66584">
        <w:t xml:space="preserve">The second stage of a phase I clinical trial is dose expansion. In dose expansion, the MTD will be further evaluated and tested for safety as well as preliminary efficacy. After the MTD is determined by dose escalation, the drug dose will be given to additional patients to better understand its effects. </w:t>
      </w:r>
      <w:r w:rsidRPr="00D66584">
        <w:rPr>
          <w:color w:val="1D2228"/>
        </w:rPr>
        <w:t>Expansion cohorts can be used to explore specific patient populations, such as those with particular biomarkers or genetic profiles, providing more detailed data on the drug's effects.</w:t>
      </w:r>
    </w:p>
    <w:p w14:paraId="47550466" w14:textId="77777777" w:rsidR="00E135A0" w:rsidRPr="00D66584" w:rsidRDefault="00E135A0"/>
    <w:p w14:paraId="20912E5F" w14:textId="4FAF63E5" w:rsidR="00AD61D0" w:rsidRPr="00D66584" w:rsidRDefault="00AD61D0" w:rsidP="003105E9">
      <w:pPr>
        <w:pStyle w:val="ListParagraph"/>
        <w:numPr>
          <w:ilvl w:val="0"/>
          <w:numId w:val="9"/>
        </w:numPr>
        <w:rPr>
          <w:rFonts w:ascii="Times New Roman" w:hAnsi="Times New Roman" w:cs="Times New Roman"/>
          <w:b/>
          <w:bCs/>
        </w:rPr>
      </w:pPr>
      <w:r w:rsidRPr="00D66584">
        <w:rPr>
          <w:rFonts w:ascii="Times New Roman" w:eastAsia="Times New Roman" w:hAnsi="Times New Roman" w:cs="Times New Roman"/>
          <w:b/>
          <w:bCs/>
          <w:sz w:val="24"/>
          <w:szCs w:val="24"/>
        </w:rPr>
        <w:t xml:space="preserve">Phase I </w:t>
      </w:r>
      <w:r w:rsidR="00573BE2" w:rsidRPr="00D66584">
        <w:rPr>
          <w:rFonts w:ascii="Times New Roman" w:eastAsia="Times New Roman" w:hAnsi="Times New Roman" w:cs="Times New Roman"/>
          <w:b/>
          <w:bCs/>
          <w:sz w:val="24"/>
          <w:szCs w:val="24"/>
        </w:rPr>
        <w:t>C</w:t>
      </w:r>
      <w:r w:rsidRPr="00D66584">
        <w:rPr>
          <w:rFonts w:ascii="Times New Roman" w:eastAsia="Times New Roman" w:hAnsi="Times New Roman" w:cs="Times New Roman"/>
          <w:b/>
          <w:bCs/>
          <w:sz w:val="24"/>
          <w:szCs w:val="24"/>
        </w:rPr>
        <w:t xml:space="preserve">linical </w:t>
      </w:r>
      <w:r w:rsidR="00573BE2" w:rsidRPr="00D66584">
        <w:rPr>
          <w:rFonts w:ascii="Times New Roman" w:eastAsia="Times New Roman" w:hAnsi="Times New Roman" w:cs="Times New Roman"/>
          <w:b/>
          <w:bCs/>
          <w:sz w:val="24"/>
          <w:szCs w:val="24"/>
        </w:rPr>
        <w:t>T</w:t>
      </w:r>
      <w:r w:rsidRPr="00D66584">
        <w:rPr>
          <w:rFonts w:ascii="Times New Roman" w:eastAsia="Times New Roman" w:hAnsi="Times New Roman" w:cs="Times New Roman"/>
          <w:b/>
          <w:bCs/>
          <w:sz w:val="24"/>
          <w:szCs w:val="24"/>
        </w:rPr>
        <w:t>rials</w:t>
      </w:r>
    </w:p>
    <w:p w14:paraId="0D2D4D76" w14:textId="77777777" w:rsidR="00573BE2" w:rsidRPr="00D66584" w:rsidRDefault="00573BE2">
      <w:pPr>
        <w:rPr>
          <w:b/>
          <w:bCs/>
        </w:rPr>
      </w:pPr>
    </w:p>
    <w:p w14:paraId="32FC7F14" w14:textId="02A7FC97" w:rsidR="00AD61D0" w:rsidRPr="00D66584" w:rsidRDefault="00AD61D0" w:rsidP="120330C2">
      <w:r w:rsidRPr="00D66584">
        <w:t>The goal of</w:t>
      </w:r>
      <w:r w:rsidR="002A3BB4" w:rsidRPr="00D66584">
        <w:t xml:space="preserve"> </w:t>
      </w:r>
      <w:r w:rsidRPr="00D66584">
        <w:t>phase I clinical trials is to determine t</w:t>
      </w:r>
      <w:r w:rsidR="00F30B3B" w:rsidRPr="00D66584">
        <w:t>he safety profile and select the MTD</w:t>
      </w:r>
      <w:r w:rsidRPr="00D66584">
        <w:t xml:space="preserve"> of the study drug. The primary endpoint is the toxicity. In a phase I clinical trial, we need to define the following</w:t>
      </w:r>
      <w:r w:rsidR="000A3DFA" w:rsidRPr="00D66584">
        <w:t xml:space="preserve"> parameters:</w:t>
      </w:r>
    </w:p>
    <w:p w14:paraId="48C8F58D" w14:textId="65BE41D3" w:rsidR="000A3DFA" w:rsidRPr="00D66584" w:rsidRDefault="000A3DFA" w:rsidP="000A3DFA">
      <w:pPr>
        <w:pStyle w:val="ListParagraph"/>
        <w:numPr>
          <w:ilvl w:val="0"/>
          <w:numId w:val="7"/>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DLT including the toxicity events as well as the assessment time window</w:t>
      </w:r>
    </w:p>
    <w:p w14:paraId="79C29888" w14:textId="6B24E993" w:rsidR="000A3DFA" w:rsidRPr="00D66584" w:rsidRDefault="000A3DFA" w:rsidP="000A3DFA">
      <w:pPr>
        <w:pStyle w:val="ListParagraph"/>
        <w:numPr>
          <w:ilvl w:val="0"/>
          <w:numId w:val="7"/>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Target or acceptable toxicity rate</w:t>
      </w:r>
      <w:r w:rsidR="00F30B3B" w:rsidRPr="00D66584">
        <w:rPr>
          <w:rFonts w:ascii="Times New Roman" w:eastAsia="Times New Roman" w:hAnsi="Times New Roman" w:cs="Times New Roman"/>
          <w:sz w:val="24"/>
          <w:szCs w:val="24"/>
        </w:rPr>
        <w:t xml:space="preserve"> and the definition of MTD</w:t>
      </w:r>
    </w:p>
    <w:p w14:paraId="249D61BF" w14:textId="29BD5127" w:rsidR="000A3DFA" w:rsidRPr="00D66584" w:rsidRDefault="000A3DFA" w:rsidP="000A3DFA">
      <w:pPr>
        <w:pStyle w:val="ListParagraph"/>
        <w:numPr>
          <w:ilvl w:val="0"/>
          <w:numId w:val="7"/>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Patient population</w:t>
      </w:r>
    </w:p>
    <w:p w14:paraId="5EDF211A" w14:textId="5E35A11A" w:rsidR="000A3DFA" w:rsidRPr="00D66584" w:rsidRDefault="000A3DFA" w:rsidP="000A3DFA">
      <w:pPr>
        <w:pStyle w:val="ListParagraph"/>
        <w:numPr>
          <w:ilvl w:val="0"/>
          <w:numId w:val="7"/>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Dose levels including the starting dose of the study drug</w:t>
      </w:r>
    </w:p>
    <w:p w14:paraId="4A724D25" w14:textId="7C2A0405" w:rsidR="000A3DFA" w:rsidRPr="00D66584" w:rsidRDefault="00F30B3B" w:rsidP="000A3DFA">
      <w:pPr>
        <w:pStyle w:val="ListParagraph"/>
        <w:numPr>
          <w:ilvl w:val="0"/>
          <w:numId w:val="7"/>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Cohort size in the dose-finding</w:t>
      </w:r>
    </w:p>
    <w:p w14:paraId="72E92541" w14:textId="3966207E" w:rsidR="00F30B3B" w:rsidRPr="00D66584" w:rsidRDefault="00F30B3B" w:rsidP="002A3BB4">
      <w:pPr>
        <w:pStyle w:val="ListParagraph"/>
        <w:numPr>
          <w:ilvl w:val="0"/>
          <w:numId w:val="7"/>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Total sample size</w:t>
      </w:r>
    </w:p>
    <w:p w14:paraId="64BA0EC1" w14:textId="77777777" w:rsidR="00A50A0E" w:rsidRPr="00D66584" w:rsidRDefault="00A50A0E"/>
    <w:p w14:paraId="50D5005E" w14:textId="77777777" w:rsidR="00790ABE" w:rsidRPr="00D66584" w:rsidRDefault="00790ABE"/>
    <w:p w14:paraId="167BF277" w14:textId="77777777" w:rsidR="00E135A0" w:rsidRPr="00D66584" w:rsidRDefault="00000000">
      <w:pPr>
        <w:rPr>
          <w:b/>
        </w:rPr>
      </w:pPr>
      <w:r w:rsidRPr="00D66584">
        <w:rPr>
          <w:b/>
        </w:rPr>
        <w:t>Methods</w:t>
      </w:r>
    </w:p>
    <w:p w14:paraId="2C116A51" w14:textId="77777777" w:rsidR="00E135A0" w:rsidRPr="00D66584" w:rsidRDefault="00E135A0">
      <w:pPr>
        <w:rPr>
          <w:b/>
        </w:rPr>
      </w:pPr>
    </w:p>
    <w:p w14:paraId="73C0A9B1" w14:textId="74575401" w:rsidR="00F30B3B" w:rsidRPr="00D66584" w:rsidRDefault="00F30B3B" w:rsidP="120330C2">
      <w:r w:rsidRPr="00D66584">
        <w:t xml:space="preserve">In order to understand the phase I clinical trials being conducted and how the design parameters </w:t>
      </w:r>
      <w:r w:rsidR="002A3BB4" w:rsidRPr="00D66584">
        <w:t xml:space="preserve">are </w:t>
      </w:r>
      <w:r w:rsidRPr="00D66584">
        <w:t>being used. We performed a literature review of the published phase I trials on ClinicalTrials.gov</w:t>
      </w:r>
      <w:r w:rsidR="00FE1726" w:rsidRPr="00D66584">
        <w:t xml:space="preserve"> b</w:t>
      </w:r>
      <w:r w:rsidRPr="00D66584">
        <w:t>y using the following criteria:</w:t>
      </w:r>
    </w:p>
    <w:p w14:paraId="1366938A" w14:textId="553E918A" w:rsidR="00F30B3B" w:rsidRPr="00D66584" w:rsidRDefault="0047515C" w:rsidP="00F30B3B">
      <w:pPr>
        <w:pStyle w:val="ListParagraph"/>
        <w:numPr>
          <w:ilvl w:val="0"/>
          <w:numId w:val="8"/>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Period of 1/1/2014 ~ 12/31/2023</w:t>
      </w:r>
    </w:p>
    <w:p w14:paraId="79CA5295" w14:textId="3CE0ECB0" w:rsidR="00F30B3B" w:rsidRPr="00D66584" w:rsidRDefault="00F30B3B" w:rsidP="00F30B3B">
      <w:pPr>
        <w:pStyle w:val="ListParagraph"/>
        <w:numPr>
          <w:ilvl w:val="0"/>
          <w:numId w:val="8"/>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Completed studies</w:t>
      </w:r>
    </w:p>
    <w:p w14:paraId="1BE4DE1A" w14:textId="0C170767" w:rsidR="00F30B3B" w:rsidRPr="00D66584" w:rsidRDefault="00F30B3B" w:rsidP="120330C2">
      <w:pPr>
        <w:pStyle w:val="ListParagraph"/>
        <w:numPr>
          <w:ilvl w:val="0"/>
          <w:numId w:val="8"/>
        </w:numPr>
        <w:rPr>
          <w:rFonts w:ascii="Times New Roman" w:eastAsia="Times New Roman" w:hAnsi="Times New Roman" w:cs="Times New Roman"/>
          <w:sz w:val="24"/>
          <w:szCs w:val="24"/>
          <w:lang w:val="en-US"/>
        </w:rPr>
      </w:pPr>
      <w:r w:rsidRPr="00D66584">
        <w:rPr>
          <w:rFonts w:ascii="Times New Roman" w:eastAsia="Times New Roman" w:hAnsi="Times New Roman" w:cs="Times New Roman"/>
          <w:sz w:val="24"/>
          <w:szCs w:val="24"/>
          <w:lang w:val="en-US"/>
        </w:rPr>
        <w:t>Protoc</w:t>
      </w:r>
      <w:r w:rsidR="00FE1726" w:rsidRPr="00D66584">
        <w:rPr>
          <w:rFonts w:ascii="Times New Roman" w:eastAsia="Times New Roman" w:hAnsi="Times New Roman" w:cs="Times New Roman"/>
          <w:sz w:val="24"/>
          <w:szCs w:val="24"/>
          <w:lang w:val="en-US"/>
        </w:rPr>
        <w:t>o</w:t>
      </w:r>
      <w:r w:rsidRPr="00D66584">
        <w:rPr>
          <w:rFonts w:ascii="Times New Roman" w:eastAsia="Times New Roman" w:hAnsi="Times New Roman" w:cs="Times New Roman"/>
          <w:sz w:val="24"/>
          <w:szCs w:val="24"/>
          <w:lang w:val="en-US"/>
        </w:rPr>
        <w:t>l available</w:t>
      </w:r>
    </w:p>
    <w:p w14:paraId="52774E8F" w14:textId="5C62399E" w:rsidR="00F30B3B" w:rsidRPr="00D66584" w:rsidRDefault="002026FF">
      <w:pPr>
        <w:pStyle w:val="ListParagraph"/>
        <w:numPr>
          <w:ilvl w:val="0"/>
          <w:numId w:val="8"/>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 xml:space="preserve">Adult </w:t>
      </w:r>
      <w:r w:rsidR="000B4881" w:rsidRPr="00D66584">
        <w:rPr>
          <w:rFonts w:ascii="Times New Roman" w:eastAsia="Times New Roman" w:hAnsi="Times New Roman" w:cs="Times New Roman"/>
          <w:sz w:val="24"/>
          <w:szCs w:val="24"/>
        </w:rPr>
        <w:t xml:space="preserve">cancer </w:t>
      </w:r>
      <w:r w:rsidRPr="00D66584">
        <w:rPr>
          <w:rFonts w:ascii="Times New Roman" w:eastAsia="Times New Roman" w:hAnsi="Times New Roman" w:cs="Times New Roman"/>
          <w:sz w:val="24"/>
          <w:szCs w:val="24"/>
        </w:rPr>
        <w:t>patients</w:t>
      </w:r>
      <w:r w:rsidR="00942883" w:rsidRPr="00D66584">
        <w:rPr>
          <w:rFonts w:ascii="Times New Roman" w:eastAsia="Times New Roman" w:hAnsi="Times New Roman" w:cs="Times New Roman"/>
          <w:sz w:val="24"/>
          <w:szCs w:val="24"/>
        </w:rPr>
        <w:t xml:space="preserve"> (18 - 64 years)</w:t>
      </w:r>
    </w:p>
    <w:p w14:paraId="057DA1B8" w14:textId="24F40945" w:rsidR="00942883" w:rsidRPr="00D66584" w:rsidRDefault="00942883">
      <w:pPr>
        <w:pStyle w:val="ListParagraph"/>
        <w:numPr>
          <w:ilvl w:val="0"/>
          <w:numId w:val="8"/>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Patients of all sex</w:t>
      </w:r>
    </w:p>
    <w:p w14:paraId="69655440" w14:textId="01BD8C99" w:rsidR="00942883" w:rsidRPr="00D66584" w:rsidRDefault="00942883">
      <w:pPr>
        <w:pStyle w:val="ListParagraph"/>
        <w:numPr>
          <w:ilvl w:val="0"/>
          <w:numId w:val="8"/>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Phase 1 studies</w:t>
      </w:r>
    </w:p>
    <w:p w14:paraId="6AE8C144" w14:textId="0FCCFF35" w:rsidR="00942883" w:rsidRPr="00D66584" w:rsidRDefault="00942883">
      <w:pPr>
        <w:pStyle w:val="ListParagraph"/>
        <w:numPr>
          <w:ilvl w:val="0"/>
          <w:numId w:val="8"/>
        </w:numPr>
        <w:rPr>
          <w:rFonts w:ascii="Times New Roman" w:eastAsia="Times New Roman" w:hAnsi="Times New Roman" w:cs="Times New Roman"/>
          <w:sz w:val="24"/>
          <w:szCs w:val="24"/>
        </w:rPr>
      </w:pPr>
      <w:r w:rsidRPr="00D66584">
        <w:rPr>
          <w:rFonts w:ascii="Times New Roman" w:eastAsia="Times New Roman" w:hAnsi="Times New Roman" w:cs="Times New Roman"/>
          <w:sz w:val="24"/>
          <w:szCs w:val="24"/>
        </w:rPr>
        <w:t>Results available</w:t>
      </w:r>
    </w:p>
    <w:p w14:paraId="674AF067" w14:textId="77777777" w:rsidR="00EE4AB0" w:rsidRPr="00D66584" w:rsidRDefault="00EE4AB0"/>
    <w:p w14:paraId="332869E9" w14:textId="77E09E99" w:rsidR="00E135A0" w:rsidRPr="00D66584" w:rsidRDefault="00000000">
      <w:r w:rsidRPr="00D66584">
        <w:t xml:space="preserve"> </w:t>
      </w:r>
      <w:r w:rsidR="00F30B3B" w:rsidRPr="00D66584">
        <w:t xml:space="preserve">We </w:t>
      </w:r>
      <w:r w:rsidR="000B4881" w:rsidRPr="00D66584">
        <w:t>compiled</w:t>
      </w:r>
      <w:r w:rsidR="00F30B3B" w:rsidRPr="00D66584">
        <w:t xml:space="preserve"> a list of </w:t>
      </w:r>
      <w:r w:rsidRPr="00D66584">
        <w:t xml:space="preserve">127 Phase I clinical trials from </w:t>
      </w:r>
      <w:hyperlink r:id="rId11">
        <w:r w:rsidRPr="00D66584">
          <w:rPr>
            <w:color w:val="1155CC"/>
            <w:u w:val="single"/>
          </w:rPr>
          <w:t>ClinicalTrials.gov</w:t>
        </w:r>
      </w:hyperlink>
      <w:r w:rsidR="00B5201C" w:rsidRPr="00D66584">
        <w:t xml:space="preserve"> with</w:t>
      </w:r>
      <w:r w:rsidR="00942883" w:rsidRPr="00D66584">
        <w:t xml:space="preserve"> the criteria above</w:t>
      </w:r>
      <w:r w:rsidR="00B5201C" w:rsidRPr="00D66584">
        <w:t>. A</w:t>
      </w:r>
      <w:r w:rsidR="00F30B3B" w:rsidRPr="00D66584">
        <w:t xml:space="preserve">mong them, </w:t>
      </w:r>
      <w:r w:rsidRPr="00D66584">
        <w:t>only 54 clinical trials</w:t>
      </w:r>
      <w:r w:rsidR="00B5201C" w:rsidRPr="00D66584">
        <w:t xml:space="preserve"> </w:t>
      </w:r>
      <w:r w:rsidR="00942883" w:rsidRPr="00D66584">
        <w:t xml:space="preserve">were </w:t>
      </w:r>
      <w:r w:rsidRPr="00D66584">
        <w:t xml:space="preserve">specified using a design. </w:t>
      </w:r>
      <w:r w:rsidR="00904FC5" w:rsidRPr="00D66584">
        <w:t>Table 1</w:t>
      </w:r>
      <w:r w:rsidR="00B5201C" w:rsidRPr="00D66584">
        <w:t xml:space="preserve"> below</w:t>
      </w:r>
      <w:r w:rsidR="00904FC5" w:rsidRPr="00D66584">
        <w:t xml:space="preserve"> summarize</w:t>
      </w:r>
      <w:r w:rsidR="00B5201C" w:rsidRPr="00D66584">
        <w:t>s</w:t>
      </w:r>
      <w:r w:rsidR="00904FC5" w:rsidRPr="00D66584">
        <w:t xml:space="preserve"> the designs being used. </w:t>
      </w:r>
    </w:p>
    <w:p w14:paraId="3073EA3C" w14:textId="6C3A5B18" w:rsidR="00E135A0" w:rsidRPr="00D66584" w:rsidRDefault="00904FC5">
      <w:pPr>
        <w:jc w:val="center"/>
        <w:rPr>
          <w:b/>
        </w:rPr>
      </w:pPr>
      <w:r w:rsidRPr="00D66584">
        <w:rPr>
          <w:b/>
        </w:rPr>
        <w:t xml:space="preserve">Table 1. Summary </w:t>
      </w:r>
      <w:r w:rsidR="00942883" w:rsidRPr="00D66584">
        <w:rPr>
          <w:b/>
        </w:rPr>
        <w:t xml:space="preserve">of </w:t>
      </w:r>
      <w:r w:rsidRPr="00D66584">
        <w:rPr>
          <w:b/>
        </w:rPr>
        <w:t xml:space="preserve">the </w:t>
      </w:r>
      <w:r w:rsidR="00942883" w:rsidRPr="00D66584">
        <w:rPr>
          <w:b/>
        </w:rPr>
        <w:t>D</w:t>
      </w:r>
      <w:r w:rsidRPr="00D66584">
        <w:rPr>
          <w:b/>
        </w:rPr>
        <w:t xml:space="preserve">esigns </w:t>
      </w:r>
      <w:r w:rsidR="00942883" w:rsidRPr="00D66584">
        <w:rPr>
          <w:b/>
        </w:rPr>
        <w:t>B</w:t>
      </w:r>
      <w:r w:rsidRPr="00D66584">
        <w:rPr>
          <w:b/>
        </w:rPr>
        <w:t xml:space="preserve">ased on 54 </w:t>
      </w:r>
      <w:r w:rsidR="00942883" w:rsidRPr="00D66584">
        <w:rPr>
          <w:b/>
        </w:rPr>
        <w:t>S</w:t>
      </w:r>
      <w:r w:rsidRPr="00D66584">
        <w:rPr>
          <w:b/>
        </w:rPr>
        <w:t>tudies</w:t>
      </w:r>
    </w:p>
    <w:tbl>
      <w:tblPr>
        <w:tblStyle w:val="a0"/>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310"/>
        <w:gridCol w:w="1260"/>
        <w:gridCol w:w="1260"/>
        <w:gridCol w:w="1350"/>
        <w:gridCol w:w="1440"/>
        <w:gridCol w:w="1350"/>
      </w:tblGrid>
      <w:tr w:rsidR="00942883" w:rsidRPr="00D66584" w14:paraId="211C59D0" w14:textId="2A4DD55D" w:rsidTr="00573BE2">
        <w:tc>
          <w:tcPr>
            <w:tcW w:w="1560" w:type="dxa"/>
            <w:shd w:val="clear" w:color="auto" w:fill="auto"/>
            <w:tcMar>
              <w:top w:w="100" w:type="dxa"/>
              <w:left w:w="100" w:type="dxa"/>
              <w:bottom w:w="100" w:type="dxa"/>
              <w:right w:w="100" w:type="dxa"/>
            </w:tcMar>
          </w:tcPr>
          <w:p w14:paraId="69EDCA6C" w14:textId="77777777" w:rsidR="00942883" w:rsidRPr="00D66584" w:rsidRDefault="00942883">
            <w:pPr>
              <w:widowControl w:val="0"/>
              <w:pBdr>
                <w:top w:val="nil"/>
                <w:left w:val="nil"/>
                <w:bottom w:val="nil"/>
                <w:right w:val="nil"/>
                <w:between w:val="nil"/>
              </w:pBdr>
            </w:pPr>
            <w:r w:rsidRPr="00D66584">
              <w:t>Design Name</w:t>
            </w:r>
          </w:p>
        </w:tc>
        <w:tc>
          <w:tcPr>
            <w:tcW w:w="1310" w:type="dxa"/>
            <w:shd w:val="clear" w:color="auto" w:fill="auto"/>
            <w:tcMar>
              <w:top w:w="100" w:type="dxa"/>
              <w:left w:w="100" w:type="dxa"/>
              <w:bottom w:w="100" w:type="dxa"/>
              <w:right w:w="100" w:type="dxa"/>
            </w:tcMar>
          </w:tcPr>
          <w:p w14:paraId="627B8E23" w14:textId="77777777" w:rsidR="00942883" w:rsidRPr="00D66584" w:rsidRDefault="00942883">
            <w:pPr>
              <w:widowControl w:val="0"/>
              <w:pBdr>
                <w:top w:val="nil"/>
                <w:left w:val="nil"/>
                <w:bottom w:val="nil"/>
                <w:right w:val="nil"/>
                <w:between w:val="nil"/>
              </w:pBdr>
            </w:pPr>
            <w:r w:rsidRPr="00D66584">
              <w:t>3+3</w:t>
            </w:r>
          </w:p>
        </w:tc>
        <w:tc>
          <w:tcPr>
            <w:tcW w:w="1260" w:type="dxa"/>
            <w:shd w:val="clear" w:color="auto" w:fill="auto"/>
            <w:tcMar>
              <w:top w:w="100" w:type="dxa"/>
              <w:left w:w="100" w:type="dxa"/>
              <w:bottom w:w="100" w:type="dxa"/>
              <w:right w:w="100" w:type="dxa"/>
            </w:tcMar>
          </w:tcPr>
          <w:p w14:paraId="3908CD0D" w14:textId="77777777" w:rsidR="00942883" w:rsidRPr="00D66584" w:rsidRDefault="00942883">
            <w:pPr>
              <w:widowControl w:val="0"/>
              <w:pBdr>
                <w:top w:val="nil"/>
                <w:left w:val="nil"/>
                <w:bottom w:val="nil"/>
                <w:right w:val="nil"/>
                <w:between w:val="nil"/>
              </w:pBdr>
            </w:pPr>
            <w:r w:rsidRPr="00D66584">
              <w:t>BOIN</w:t>
            </w:r>
          </w:p>
        </w:tc>
        <w:tc>
          <w:tcPr>
            <w:tcW w:w="1260" w:type="dxa"/>
            <w:shd w:val="clear" w:color="auto" w:fill="auto"/>
            <w:tcMar>
              <w:top w:w="100" w:type="dxa"/>
              <w:left w:w="100" w:type="dxa"/>
              <w:bottom w:w="100" w:type="dxa"/>
              <w:right w:w="100" w:type="dxa"/>
            </w:tcMar>
          </w:tcPr>
          <w:p w14:paraId="21AF3AA0" w14:textId="77777777" w:rsidR="00942883" w:rsidRPr="00D66584" w:rsidRDefault="00942883" w:rsidP="120330C2">
            <w:pPr>
              <w:widowControl w:val="0"/>
              <w:pBdr>
                <w:top w:val="nil"/>
                <w:left w:val="nil"/>
                <w:bottom w:val="nil"/>
                <w:right w:val="nil"/>
                <w:between w:val="nil"/>
              </w:pBdr>
            </w:pPr>
            <w:proofErr w:type="spellStart"/>
            <w:r w:rsidRPr="00D66584">
              <w:t>mTPI</w:t>
            </w:r>
            <w:proofErr w:type="spellEnd"/>
          </w:p>
        </w:tc>
        <w:tc>
          <w:tcPr>
            <w:tcW w:w="1350" w:type="dxa"/>
            <w:shd w:val="clear" w:color="auto" w:fill="auto"/>
            <w:tcMar>
              <w:top w:w="100" w:type="dxa"/>
              <w:left w:w="100" w:type="dxa"/>
              <w:bottom w:w="100" w:type="dxa"/>
              <w:right w:w="100" w:type="dxa"/>
            </w:tcMar>
          </w:tcPr>
          <w:p w14:paraId="5A68C9DD" w14:textId="77777777" w:rsidR="00942883" w:rsidRPr="00D66584" w:rsidRDefault="00942883">
            <w:pPr>
              <w:widowControl w:val="0"/>
              <w:pBdr>
                <w:top w:val="nil"/>
                <w:left w:val="nil"/>
                <w:bottom w:val="nil"/>
                <w:right w:val="nil"/>
                <w:between w:val="nil"/>
              </w:pBdr>
            </w:pPr>
            <w:r w:rsidRPr="00D66584">
              <w:t>CRM</w:t>
            </w:r>
          </w:p>
        </w:tc>
        <w:tc>
          <w:tcPr>
            <w:tcW w:w="1440" w:type="dxa"/>
            <w:shd w:val="clear" w:color="auto" w:fill="auto"/>
            <w:tcMar>
              <w:top w:w="100" w:type="dxa"/>
              <w:left w:w="100" w:type="dxa"/>
              <w:bottom w:w="100" w:type="dxa"/>
              <w:right w:w="100" w:type="dxa"/>
            </w:tcMar>
          </w:tcPr>
          <w:p w14:paraId="011516E7" w14:textId="77777777" w:rsidR="00942883" w:rsidRPr="00D66584" w:rsidRDefault="00942883">
            <w:pPr>
              <w:widowControl w:val="0"/>
              <w:pBdr>
                <w:top w:val="nil"/>
                <w:left w:val="nil"/>
                <w:bottom w:val="nil"/>
                <w:right w:val="nil"/>
                <w:between w:val="nil"/>
              </w:pBdr>
            </w:pPr>
            <w:r w:rsidRPr="00D66584">
              <w:t>Other</w:t>
            </w:r>
          </w:p>
        </w:tc>
        <w:tc>
          <w:tcPr>
            <w:tcW w:w="1350" w:type="dxa"/>
          </w:tcPr>
          <w:p w14:paraId="06FF12A7" w14:textId="2823E740" w:rsidR="00942883" w:rsidRPr="00D66584" w:rsidRDefault="00942883">
            <w:pPr>
              <w:widowControl w:val="0"/>
              <w:pBdr>
                <w:top w:val="nil"/>
                <w:left w:val="nil"/>
                <w:bottom w:val="nil"/>
                <w:right w:val="nil"/>
                <w:between w:val="nil"/>
              </w:pBdr>
              <w:rPr>
                <w:b/>
                <w:bCs/>
              </w:rPr>
            </w:pPr>
            <w:r w:rsidRPr="00D66584">
              <w:rPr>
                <w:b/>
                <w:bCs/>
              </w:rPr>
              <w:t>Total</w:t>
            </w:r>
          </w:p>
        </w:tc>
      </w:tr>
      <w:tr w:rsidR="00942883" w:rsidRPr="00D66584" w14:paraId="54C67275" w14:textId="027B372F" w:rsidTr="00573BE2">
        <w:tc>
          <w:tcPr>
            <w:tcW w:w="1560" w:type="dxa"/>
            <w:shd w:val="clear" w:color="auto" w:fill="auto"/>
            <w:tcMar>
              <w:top w:w="100" w:type="dxa"/>
              <w:left w:w="100" w:type="dxa"/>
              <w:bottom w:w="100" w:type="dxa"/>
              <w:right w:w="100" w:type="dxa"/>
            </w:tcMar>
          </w:tcPr>
          <w:p w14:paraId="57AE3563" w14:textId="7F313908" w:rsidR="00942883" w:rsidRPr="00D66584" w:rsidRDefault="00942883">
            <w:pPr>
              <w:widowControl w:val="0"/>
              <w:pBdr>
                <w:top w:val="nil"/>
                <w:left w:val="nil"/>
                <w:bottom w:val="nil"/>
                <w:right w:val="nil"/>
                <w:between w:val="nil"/>
              </w:pBdr>
            </w:pPr>
            <w:r w:rsidRPr="00D66584">
              <w:t>N (%)</w:t>
            </w:r>
          </w:p>
        </w:tc>
        <w:tc>
          <w:tcPr>
            <w:tcW w:w="1310" w:type="dxa"/>
            <w:shd w:val="clear" w:color="auto" w:fill="auto"/>
            <w:tcMar>
              <w:top w:w="100" w:type="dxa"/>
              <w:left w:w="100" w:type="dxa"/>
              <w:bottom w:w="100" w:type="dxa"/>
              <w:right w:w="100" w:type="dxa"/>
            </w:tcMar>
          </w:tcPr>
          <w:p w14:paraId="5142FE7A" w14:textId="77777777" w:rsidR="00942883" w:rsidRPr="00D66584" w:rsidRDefault="00942883">
            <w:pPr>
              <w:widowControl w:val="0"/>
              <w:pBdr>
                <w:top w:val="nil"/>
                <w:left w:val="nil"/>
                <w:bottom w:val="nil"/>
                <w:right w:val="nil"/>
                <w:between w:val="nil"/>
              </w:pBdr>
            </w:pPr>
            <w:r w:rsidRPr="00D66584">
              <w:t>31 (57.4%)</w:t>
            </w:r>
          </w:p>
        </w:tc>
        <w:tc>
          <w:tcPr>
            <w:tcW w:w="1260" w:type="dxa"/>
            <w:shd w:val="clear" w:color="auto" w:fill="auto"/>
            <w:tcMar>
              <w:top w:w="100" w:type="dxa"/>
              <w:left w:w="100" w:type="dxa"/>
              <w:bottom w:w="100" w:type="dxa"/>
              <w:right w:w="100" w:type="dxa"/>
            </w:tcMar>
          </w:tcPr>
          <w:p w14:paraId="122978DF" w14:textId="77777777" w:rsidR="00942883" w:rsidRPr="00D66584" w:rsidRDefault="00942883">
            <w:pPr>
              <w:widowControl w:val="0"/>
              <w:pBdr>
                <w:top w:val="nil"/>
                <w:left w:val="nil"/>
                <w:bottom w:val="nil"/>
                <w:right w:val="nil"/>
                <w:between w:val="nil"/>
              </w:pBdr>
            </w:pPr>
            <w:r w:rsidRPr="00D66584">
              <w:t>1 (1.9%)</w:t>
            </w:r>
          </w:p>
        </w:tc>
        <w:tc>
          <w:tcPr>
            <w:tcW w:w="1260" w:type="dxa"/>
            <w:shd w:val="clear" w:color="auto" w:fill="auto"/>
            <w:tcMar>
              <w:top w:w="100" w:type="dxa"/>
              <w:left w:w="100" w:type="dxa"/>
              <w:bottom w:w="100" w:type="dxa"/>
              <w:right w:w="100" w:type="dxa"/>
            </w:tcMar>
          </w:tcPr>
          <w:p w14:paraId="5C0EC1BA" w14:textId="77777777" w:rsidR="00942883" w:rsidRPr="00D66584" w:rsidRDefault="00942883">
            <w:pPr>
              <w:widowControl w:val="0"/>
              <w:pBdr>
                <w:top w:val="nil"/>
                <w:left w:val="nil"/>
                <w:bottom w:val="nil"/>
                <w:right w:val="nil"/>
                <w:between w:val="nil"/>
              </w:pBdr>
            </w:pPr>
            <w:r w:rsidRPr="00D66584">
              <w:t>2 (3.7%)</w:t>
            </w:r>
          </w:p>
        </w:tc>
        <w:tc>
          <w:tcPr>
            <w:tcW w:w="1350" w:type="dxa"/>
            <w:shd w:val="clear" w:color="auto" w:fill="auto"/>
            <w:tcMar>
              <w:top w:w="100" w:type="dxa"/>
              <w:left w:w="100" w:type="dxa"/>
              <w:bottom w:w="100" w:type="dxa"/>
              <w:right w:w="100" w:type="dxa"/>
            </w:tcMar>
          </w:tcPr>
          <w:p w14:paraId="3D2AD7AF" w14:textId="77777777" w:rsidR="00942883" w:rsidRPr="00D66584" w:rsidRDefault="00942883">
            <w:pPr>
              <w:widowControl w:val="0"/>
              <w:pBdr>
                <w:top w:val="nil"/>
                <w:left w:val="nil"/>
                <w:bottom w:val="nil"/>
                <w:right w:val="nil"/>
                <w:between w:val="nil"/>
              </w:pBdr>
            </w:pPr>
            <w:r w:rsidRPr="00D66584">
              <w:t>1 (1.9%)</w:t>
            </w:r>
          </w:p>
        </w:tc>
        <w:tc>
          <w:tcPr>
            <w:tcW w:w="1440" w:type="dxa"/>
            <w:shd w:val="clear" w:color="auto" w:fill="auto"/>
            <w:tcMar>
              <w:top w:w="100" w:type="dxa"/>
              <w:left w:w="100" w:type="dxa"/>
              <w:bottom w:w="100" w:type="dxa"/>
              <w:right w:w="100" w:type="dxa"/>
            </w:tcMar>
          </w:tcPr>
          <w:p w14:paraId="2FA1299F" w14:textId="77777777" w:rsidR="00942883" w:rsidRPr="00D66584" w:rsidRDefault="00942883">
            <w:pPr>
              <w:widowControl w:val="0"/>
              <w:pBdr>
                <w:top w:val="nil"/>
                <w:left w:val="nil"/>
                <w:bottom w:val="nil"/>
                <w:right w:val="nil"/>
                <w:between w:val="nil"/>
              </w:pBdr>
            </w:pPr>
            <w:r w:rsidRPr="00D66584">
              <w:t>19 (35.2%)</w:t>
            </w:r>
          </w:p>
        </w:tc>
        <w:tc>
          <w:tcPr>
            <w:tcW w:w="1350" w:type="dxa"/>
          </w:tcPr>
          <w:p w14:paraId="4C00C77C" w14:textId="6D6EFCDB" w:rsidR="00942883" w:rsidRPr="00D66584" w:rsidRDefault="00942883">
            <w:pPr>
              <w:widowControl w:val="0"/>
              <w:pBdr>
                <w:top w:val="nil"/>
                <w:left w:val="nil"/>
                <w:bottom w:val="nil"/>
                <w:right w:val="nil"/>
                <w:between w:val="nil"/>
              </w:pBdr>
              <w:rPr>
                <w:b/>
                <w:bCs/>
              </w:rPr>
            </w:pPr>
            <w:r w:rsidRPr="00D66584">
              <w:rPr>
                <w:b/>
                <w:bCs/>
              </w:rPr>
              <w:t>54 (100%)</w:t>
            </w:r>
          </w:p>
        </w:tc>
      </w:tr>
    </w:tbl>
    <w:p w14:paraId="5C21C719" w14:textId="77777777" w:rsidR="00E135A0" w:rsidRPr="00D66584" w:rsidRDefault="00E135A0"/>
    <w:p w14:paraId="16DFE6B2" w14:textId="29B5BF45" w:rsidR="00E135A0" w:rsidRPr="00D66584" w:rsidRDefault="00000000" w:rsidP="120330C2">
      <w:r w:rsidRPr="00D66584">
        <w:t xml:space="preserve">As seen in the table above, the 3+3 design is the most </w:t>
      </w:r>
      <w:r w:rsidR="00AE5CE2" w:rsidRPr="00D66584">
        <w:t>commonly used design</w:t>
      </w:r>
      <w:r w:rsidRPr="00D66584">
        <w:t xml:space="preserve">. </w:t>
      </w:r>
      <w:r w:rsidR="00AE5CE2" w:rsidRPr="00D66584">
        <w:t>Though</w:t>
      </w:r>
      <w:r w:rsidRPr="00D66584">
        <w:t xml:space="preserve"> straightforward and widely used, </w:t>
      </w:r>
      <w:r w:rsidR="00942883" w:rsidRPr="00D66584">
        <w:t xml:space="preserve">the </w:t>
      </w:r>
      <w:r w:rsidR="00AE5CE2" w:rsidRPr="00D66584">
        <w:t>3+3 design is often criti</w:t>
      </w:r>
      <w:r w:rsidR="003771A1" w:rsidRPr="00D66584">
        <w:t>c</w:t>
      </w:r>
      <w:r w:rsidR="00AE5CE2" w:rsidRPr="00D66584">
        <w:t xml:space="preserve">ized </w:t>
      </w:r>
      <w:r w:rsidR="00942883" w:rsidRPr="00D66584">
        <w:t>for</w:t>
      </w:r>
      <w:r w:rsidR="00AE5CE2" w:rsidRPr="00D66584">
        <w:t xml:space="preserve"> its poor performance in</w:t>
      </w:r>
      <w:r w:rsidR="003771A1" w:rsidRPr="00D66584">
        <w:t xml:space="preserve"> </w:t>
      </w:r>
      <w:r w:rsidR="00AE5CE2" w:rsidRPr="00D66584">
        <w:t xml:space="preserve">terms of low selection probability of the </w:t>
      </w:r>
      <w:r w:rsidR="003771A1" w:rsidRPr="00D66584">
        <w:t>correct</w:t>
      </w:r>
      <w:r w:rsidR="00AE5CE2" w:rsidRPr="00D66584">
        <w:t xml:space="preserve"> MTD and more patients being </w:t>
      </w:r>
      <w:r w:rsidR="00942883" w:rsidRPr="00D66584">
        <w:t>as</w:t>
      </w:r>
      <w:r w:rsidR="00AE5CE2" w:rsidRPr="00D66584">
        <w:t>signed to overly toxic doses</w:t>
      </w:r>
      <w:r w:rsidR="003105E9" w:rsidRPr="00D66584">
        <w:t xml:space="preserve"> [1-4]. </w:t>
      </w:r>
      <w:r w:rsidRPr="00D66584">
        <w:t xml:space="preserve"> Despite the development of many clinical trial designs that prove to be more efficient and accurate, the primary reason for the consistent popularity of the 3+3 design is its simplicity and it is well understood by clinicians. The decision rule for drug dose escalation and de-escalation in the 3+3 design is determined before the trial, and it is relatively easy to understand and utilize as it is a rule-based design</w:t>
      </w:r>
      <w:r w:rsidR="003105E9" w:rsidRPr="00D66584">
        <w:t xml:space="preserve"> [1-4].</w:t>
      </w:r>
    </w:p>
    <w:p w14:paraId="26A2019F" w14:textId="77777777" w:rsidR="00E135A0" w:rsidRPr="00D66584" w:rsidRDefault="00E135A0"/>
    <w:p w14:paraId="30250B20" w14:textId="77777777" w:rsidR="00E135A0" w:rsidRPr="00D66584" w:rsidRDefault="00000000">
      <w:pPr>
        <w:numPr>
          <w:ilvl w:val="0"/>
          <w:numId w:val="3"/>
        </w:numPr>
        <w:rPr>
          <w:b/>
        </w:rPr>
      </w:pPr>
      <w:r w:rsidRPr="00D66584">
        <w:rPr>
          <w:b/>
        </w:rPr>
        <w:t xml:space="preserve">BOIN vs. 3+3 </w:t>
      </w:r>
    </w:p>
    <w:p w14:paraId="1828A6B7" w14:textId="77777777" w:rsidR="00E135A0" w:rsidRPr="00D66584" w:rsidRDefault="00E135A0">
      <w:pPr>
        <w:rPr>
          <w:b/>
        </w:rPr>
      </w:pPr>
    </w:p>
    <w:p w14:paraId="6A907705" w14:textId="07B2BEB9" w:rsidR="00E135A0" w:rsidRPr="00D66584" w:rsidRDefault="00000000">
      <w:r w:rsidRPr="00D66584">
        <w:t>The 3+3 design starts at the lowest dose level and treats 3 patients at a time. Examining how many patients experience a DLT (dose limiting toxicity) in each dose level; if 0 of 3 patients experience a DLT, then the dose will be escalated to the next dose level; if 1 of 3 patients experience a DLT, then the study will enroll 3 more patients to the same dose level again; if 2 or 3 of 3 patients experience a DLT, then the dose escalation will stop and the MTD is determined to be the previous dose level.</w:t>
      </w:r>
      <w:r w:rsidR="00AF4BC0" w:rsidRPr="00D66584">
        <w:t xml:space="preserve"> The 3+3 dose escalation/de-escalation algorithms are shown in Figure 1</w:t>
      </w:r>
      <w:r w:rsidR="003F23B4" w:rsidRPr="00D66584">
        <w:t xml:space="preserve"> [9]</w:t>
      </w:r>
      <w:r w:rsidR="00AF4BC0" w:rsidRPr="00D66584">
        <w:t xml:space="preserve">. </w:t>
      </w:r>
    </w:p>
    <w:p w14:paraId="0C436EF6" w14:textId="77777777" w:rsidR="00E135A0" w:rsidRPr="00D66584" w:rsidRDefault="00E135A0"/>
    <w:p w14:paraId="1204965B" w14:textId="77777777" w:rsidR="00E135A0" w:rsidRPr="00D66584" w:rsidRDefault="00E135A0"/>
    <w:p w14:paraId="5508E35F" w14:textId="5572372A" w:rsidR="00E135A0" w:rsidRPr="00D66584" w:rsidRDefault="00AF4BC0">
      <w:pPr>
        <w:jc w:val="center"/>
        <w:rPr>
          <w:b/>
        </w:rPr>
      </w:pPr>
      <w:r w:rsidRPr="00D66584">
        <w:rPr>
          <w:b/>
        </w:rPr>
        <w:t>Figure 1. 3+3 Design Flowchart</w:t>
      </w:r>
      <w:r w:rsidR="00790ABE" w:rsidRPr="00D66584">
        <w:rPr>
          <w:b/>
        </w:rPr>
        <w:t xml:space="preserve"> </w:t>
      </w:r>
    </w:p>
    <w:p w14:paraId="510783D6" w14:textId="77777777" w:rsidR="00E135A0" w:rsidRPr="00D66584" w:rsidRDefault="00E135A0">
      <w:pPr>
        <w:jc w:val="center"/>
        <w:rPr>
          <w:b/>
        </w:rPr>
      </w:pPr>
    </w:p>
    <w:p w14:paraId="285977CB" w14:textId="77777777" w:rsidR="00E135A0" w:rsidRPr="00D66584" w:rsidRDefault="00000000">
      <w:pPr>
        <w:jc w:val="center"/>
        <w:rPr>
          <w:b/>
          <w:u w:val="single"/>
        </w:rPr>
      </w:pPr>
      <w:r w:rsidRPr="00D66584">
        <w:rPr>
          <w:b/>
          <w:noProof/>
          <w:u w:val="single"/>
        </w:rPr>
        <w:drawing>
          <wp:inline distT="114300" distB="114300" distL="114300" distR="114300" wp14:anchorId="4991F358" wp14:editId="7F316017">
            <wp:extent cx="3724275" cy="296310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b="8894"/>
                    <a:stretch>
                      <a:fillRect/>
                    </a:stretch>
                  </pic:blipFill>
                  <pic:spPr>
                    <a:xfrm>
                      <a:off x="0" y="0"/>
                      <a:ext cx="3724275" cy="2963109"/>
                    </a:xfrm>
                    <a:prstGeom prst="rect">
                      <a:avLst/>
                    </a:prstGeom>
                    <a:ln/>
                  </pic:spPr>
                </pic:pic>
              </a:graphicData>
            </a:graphic>
          </wp:inline>
        </w:drawing>
      </w:r>
    </w:p>
    <w:p w14:paraId="0B55726D" w14:textId="77777777" w:rsidR="00E135A0" w:rsidRPr="00D66584" w:rsidRDefault="00E135A0">
      <w:pPr>
        <w:jc w:val="center"/>
        <w:rPr>
          <w:b/>
          <w:u w:val="single"/>
        </w:rPr>
      </w:pPr>
    </w:p>
    <w:p w14:paraId="33A52348" w14:textId="77777777" w:rsidR="00AF4BC0" w:rsidRPr="00D66584" w:rsidRDefault="00AF4BC0">
      <w:pPr>
        <w:jc w:val="center"/>
        <w:rPr>
          <w:b/>
          <w:u w:val="single"/>
        </w:rPr>
      </w:pPr>
    </w:p>
    <w:p w14:paraId="314EF1F8" w14:textId="77777777" w:rsidR="00AF4BC0" w:rsidRPr="00D66584" w:rsidRDefault="00AF4BC0">
      <w:pPr>
        <w:jc w:val="center"/>
        <w:rPr>
          <w:b/>
          <w:u w:val="single"/>
        </w:rPr>
      </w:pPr>
    </w:p>
    <w:p w14:paraId="18933518" w14:textId="77777777" w:rsidR="00AF4BC0" w:rsidRPr="00D66584" w:rsidRDefault="00AF4BC0">
      <w:pPr>
        <w:jc w:val="center"/>
        <w:rPr>
          <w:b/>
          <w:u w:val="single"/>
        </w:rPr>
      </w:pPr>
    </w:p>
    <w:p w14:paraId="6050E515" w14:textId="77777777" w:rsidR="00AF4BC0" w:rsidRDefault="00AF4BC0">
      <w:pPr>
        <w:jc w:val="center"/>
        <w:rPr>
          <w:b/>
          <w:u w:val="single"/>
        </w:rPr>
      </w:pPr>
    </w:p>
    <w:p w14:paraId="17248997" w14:textId="77777777" w:rsidR="00D66584" w:rsidRPr="00D66584" w:rsidRDefault="00D66584">
      <w:pPr>
        <w:jc w:val="center"/>
        <w:rPr>
          <w:b/>
          <w:u w:val="single"/>
        </w:rPr>
      </w:pPr>
    </w:p>
    <w:p w14:paraId="4BDCC747" w14:textId="77777777" w:rsidR="00AF4BC0" w:rsidRPr="00D66584" w:rsidRDefault="00AF4BC0">
      <w:pPr>
        <w:jc w:val="center"/>
        <w:rPr>
          <w:b/>
          <w:u w:val="single"/>
        </w:rPr>
      </w:pPr>
    </w:p>
    <w:p w14:paraId="6813849B" w14:textId="15E1B551" w:rsidR="00E135A0" w:rsidRPr="00D66584" w:rsidRDefault="00AF4BC0">
      <w:pPr>
        <w:jc w:val="center"/>
        <w:rPr>
          <w:b/>
        </w:rPr>
      </w:pPr>
      <w:r w:rsidRPr="00D66584">
        <w:rPr>
          <w:b/>
        </w:rPr>
        <w:t>Figure 2. BOIN Design Flowchart</w:t>
      </w:r>
    </w:p>
    <w:p w14:paraId="4FD31350" w14:textId="77777777" w:rsidR="00E135A0" w:rsidRPr="00D66584" w:rsidRDefault="00E135A0">
      <w:pPr>
        <w:rPr>
          <w:b/>
          <w:u w:val="single"/>
        </w:rPr>
      </w:pPr>
    </w:p>
    <w:p w14:paraId="6F98B834" w14:textId="77777777" w:rsidR="00E135A0" w:rsidRPr="00D66584" w:rsidRDefault="00E135A0">
      <w:pPr>
        <w:jc w:val="center"/>
        <w:rPr>
          <w:b/>
          <w:u w:val="single"/>
        </w:rPr>
      </w:pPr>
    </w:p>
    <w:p w14:paraId="50DFA26B" w14:textId="77777777" w:rsidR="00E135A0" w:rsidRDefault="00000000">
      <w:pPr>
        <w:jc w:val="center"/>
        <w:rPr>
          <w:b/>
          <w:u w:val="single"/>
        </w:rPr>
      </w:pPr>
      <w:r w:rsidRPr="00D66584">
        <w:rPr>
          <w:b/>
          <w:noProof/>
          <w:u w:val="single"/>
        </w:rPr>
        <w:drawing>
          <wp:inline distT="114300" distB="114300" distL="114300" distR="114300" wp14:anchorId="24404C7E" wp14:editId="51C3343F">
            <wp:extent cx="4781550" cy="38670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b="8166"/>
                    <a:stretch>
                      <a:fillRect/>
                    </a:stretch>
                  </pic:blipFill>
                  <pic:spPr>
                    <a:xfrm>
                      <a:off x="0" y="0"/>
                      <a:ext cx="4781550" cy="3867088"/>
                    </a:xfrm>
                    <a:prstGeom prst="rect">
                      <a:avLst/>
                    </a:prstGeom>
                    <a:ln/>
                  </pic:spPr>
                </pic:pic>
              </a:graphicData>
            </a:graphic>
          </wp:inline>
        </w:drawing>
      </w:r>
    </w:p>
    <w:p w14:paraId="2703EF13" w14:textId="77777777" w:rsidR="00D66584" w:rsidRDefault="00D66584">
      <w:pPr>
        <w:jc w:val="center"/>
        <w:rPr>
          <w:b/>
          <w:u w:val="single"/>
        </w:rPr>
      </w:pPr>
    </w:p>
    <w:p w14:paraId="1D824AD4" w14:textId="77777777" w:rsidR="00D66584" w:rsidRPr="00D66584" w:rsidRDefault="00D66584">
      <w:pPr>
        <w:jc w:val="center"/>
        <w:rPr>
          <w:b/>
          <w:u w:val="single"/>
        </w:rPr>
      </w:pPr>
    </w:p>
    <w:p w14:paraId="2E66C2B5" w14:textId="77777777" w:rsidR="00E135A0" w:rsidRPr="00D66584" w:rsidRDefault="00E135A0">
      <w:pPr>
        <w:jc w:val="right"/>
        <w:rPr>
          <w:b/>
        </w:rPr>
      </w:pPr>
    </w:p>
    <w:p w14:paraId="37485972" w14:textId="7DD215FE" w:rsidR="00E135A0" w:rsidRPr="00D66584" w:rsidRDefault="00000000" w:rsidP="120330C2">
      <w:r w:rsidRPr="00D66584">
        <w:t xml:space="preserve">Despite being less commonly used than the 3+3 design among 127 phase I </w:t>
      </w:r>
      <w:r w:rsidR="002C0971" w:rsidRPr="00D66584">
        <w:t xml:space="preserve">cancer </w:t>
      </w:r>
      <w:r w:rsidRPr="00D66584">
        <w:t xml:space="preserve">clinical trials </w:t>
      </w:r>
      <w:r w:rsidR="00AF4BC0" w:rsidRPr="00D66584">
        <w:t>from</w:t>
      </w:r>
      <w:r w:rsidR="002C0971" w:rsidRPr="00D66584">
        <w:t xml:space="preserve"> 2014 to 2023</w:t>
      </w:r>
      <w:r w:rsidRPr="00D66584">
        <w:t xml:space="preserve">, the </w:t>
      </w:r>
      <w:r w:rsidR="002C0971" w:rsidRPr="00D66584">
        <w:t xml:space="preserve">novel </w:t>
      </w:r>
      <w:r w:rsidR="00354B8E" w:rsidRPr="00D66584">
        <w:t xml:space="preserve">rule-based design, </w:t>
      </w:r>
      <w:r w:rsidRPr="00D66584">
        <w:t>BOIN design</w:t>
      </w:r>
      <w:r w:rsidR="00354B8E" w:rsidRPr="00D66584">
        <w:t xml:space="preserve"> has been well accepted and became the </w:t>
      </w:r>
      <w:r w:rsidR="00AF4BC0" w:rsidRPr="00D66584">
        <w:t xml:space="preserve">most </w:t>
      </w:r>
      <w:r w:rsidR="00354B8E" w:rsidRPr="00D66584">
        <w:t xml:space="preserve">commonly used design at MD Anderson Cancer Center. </w:t>
      </w:r>
      <w:r w:rsidR="003F23B4" w:rsidRPr="00D66584">
        <w:t>Figure 2 shows the dosing algorithm of the basic BOIN design, an interval-based, model-assisted design [11].</w:t>
      </w:r>
      <w:r w:rsidRPr="00D66584">
        <w:t xml:space="preserve"> The BOIN design allows for more flexible dose adjustments since it is built upon a Bayesian probability model </w:t>
      </w:r>
      <w:r w:rsidR="0069736F" w:rsidRPr="00D66584">
        <w:t>applicable to any acceptable toxicity probabil</w:t>
      </w:r>
      <w:r w:rsidR="00774EF5" w:rsidRPr="00D66584">
        <w:t>ity</w:t>
      </w:r>
      <w:r w:rsidRPr="00D66584">
        <w:t xml:space="preserve">. In contrast, the 3+3 design uses a rule-based method that follows a rigid algorithm for dose escalation and de-escalation, making the design less adaptable to </w:t>
      </w:r>
      <w:r w:rsidR="0052212A" w:rsidRPr="00D66584">
        <w:t>cohort size</w:t>
      </w:r>
      <w:r w:rsidR="00AF4BC0" w:rsidRPr="00D66584">
        <w:t>s</w:t>
      </w:r>
      <w:r w:rsidR="0052212A" w:rsidRPr="00D66584">
        <w:t xml:space="preserve"> not being 3</w:t>
      </w:r>
      <w:r w:rsidR="00E43155" w:rsidRPr="00D66584">
        <w:t xml:space="preserve">. </w:t>
      </w:r>
      <w:r w:rsidRPr="00D66584">
        <w:t xml:space="preserve">Additionally, the BOIN design can </w:t>
      </w:r>
      <w:r w:rsidR="00E43155" w:rsidRPr="00D66584">
        <w:t>eliminate overly toxic dose</w:t>
      </w:r>
      <w:r w:rsidR="002A49A4" w:rsidRPr="00D66584">
        <w:t>s</w:t>
      </w:r>
      <w:r w:rsidR="00AF4BC0" w:rsidRPr="00D66584">
        <w:t>,</w:t>
      </w:r>
      <w:r w:rsidR="002A49A4" w:rsidRPr="00D66584">
        <w:t xml:space="preserve"> and can be applied to any cohort size.</w:t>
      </w:r>
      <w:r w:rsidR="00E43155" w:rsidRPr="00D66584">
        <w:t xml:space="preserve"> </w:t>
      </w:r>
      <w:r w:rsidR="00AD0D27" w:rsidRPr="00D66584">
        <w:t>Therefore</w:t>
      </w:r>
      <w:r w:rsidRPr="00D66584">
        <w:t xml:space="preserve">, the BOIN design </w:t>
      </w:r>
      <w:r w:rsidR="00AD0D27" w:rsidRPr="00D66584">
        <w:t>is</w:t>
      </w:r>
      <w:r w:rsidRPr="00D66584">
        <w:t xml:space="preserve"> more efficient, accurate, and safe than the traditional 3+3 design</w:t>
      </w:r>
      <w:r w:rsidR="00AD0D27" w:rsidRPr="00D66584">
        <w:t xml:space="preserve">. </w:t>
      </w:r>
      <w:r w:rsidR="00AF4BC0" w:rsidRPr="00D66584">
        <w:t xml:space="preserve">Figure 3 shows a comparison between BOIN and 3+3 design dose escalation rules [7]. </w:t>
      </w:r>
    </w:p>
    <w:p w14:paraId="0B208357" w14:textId="77777777" w:rsidR="003F23B4" w:rsidRPr="00D66584" w:rsidRDefault="003F23B4" w:rsidP="120330C2"/>
    <w:p w14:paraId="6D6337BE" w14:textId="77777777" w:rsidR="003F23B4" w:rsidRPr="00D66584" w:rsidRDefault="003F23B4" w:rsidP="120330C2"/>
    <w:p w14:paraId="3B62EC84" w14:textId="77777777" w:rsidR="003F23B4" w:rsidRPr="00D66584" w:rsidRDefault="003F23B4" w:rsidP="120330C2"/>
    <w:p w14:paraId="6C9E8328" w14:textId="77777777" w:rsidR="00D66584" w:rsidRDefault="00D66584" w:rsidP="120330C2"/>
    <w:p w14:paraId="2938A097" w14:textId="77777777" w:rsidR="00D66584" w:rsidRDefault="00D66584" w:rsidP="120330C2"/>
    <w:p w14:paraId="4AE16DA8" w14:textId="77777777" w:rsidR="00D66584" w:rsidRPr="00D66584" w:rsidRDefault="00D66584" w:rsidP="120330C2"/>
    <w:p w14:paraId="6B5272AF" w14:textId="77777777" w:rsidR="00AF4BC0" w:rsidRPr="00D66584" w:rsidRDefault="00AF4BC0">
      <w:pPr>
        <w:jc w:val="center"/>
        <w:rPr>
          <w:b/>
        </w:rPr>
      </w:pPr>
    </w:p>
    <w:p w14:paraId="6D9C2D06" w14:textId="24BDB4AA" w:rsidR="00E135A0" w:rsidRPr="00D66584" w:rsidRDefault="00AF4BC0">
      <w:pPr>
        <w:jc w:val="center"/>
        <w:rPr>
          <w:b/>
        </w:rPr>
      </w:pPr>
      <w:r w:rsidRPr="00D66584">
        <w:rPr>
          <w:b/>
        </w:rPr>
        <w:t xml:space="preserve">Figure 3. BOIN vs 3+3 Design </w:t>
      </w:r>
    </w:p>
    <w:p w14:paraId="1B782B61" w14:textId="77777777" w:rsidR="00E135A0" w:rsidRPr="00D66584" w:rsidRDefault="00E135A0">
      <w:pPr>
        <w:jc w:val="center"/>
        <w:rPr>
          <w:b/>
          <w:u w:val="single"/>
        </w:rPr>
      </w:pPr>
    </w:p>
    <w:p w14:paraId="6C24E6CD" w14:textId="77777777" w:rsidR="00E135A0" w:rsidRPr="00D66584" w:rsidRDefault="00E135A0">
      <w:pPr>
        <w:jc w:val="center"/>
        <w:rPr>
          <w:b/>
          <w:u w:val="single"/>
        </w:rPr>
      </w:pPr>
    </w:p>
    <w:p w14:paraId="5EB73A03" w14:textId="77777777" w:rsidR="00E135A0" w:rsidRPr="00D66584" w:rsidRDefault="00000000">
      <w:pPr>
        <w:jc w:val="center"/>
        <w:rPr>
          <w:b/>
          <w:u w:val="single"/>
        </w:rPr>
      </w:pPr>
      <w:r w:rsidRPr="00D66584">
        <w:rPr>
          <w:b/>
          <w:noProof/>
          <w:u w:val="single"/>
        </w:rPr>
        <w:drawing>
          <wp:inline distT="114300" distB="114300" distL="114300" distR="114300" wp14:anchorId="48B830C0" wp14:editId="5D3303C0">
            <wp:extent cx="5682463" cy="470806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682463" cy="4708066"/>
                    </a:xfrm>
                    <a:prstGeom prst="rect">
                      <a:avLst/>
                    </a:prstGeom>
                    <a:ln/>
                  </pic:spPr>
                </pic:pic>
              </a:graphicData>
            </a:graphic>
          </wp:inline>
        </w:drawing>
      </w:r>
    </w:p>
    <w:p w14:paraId="2688CB9F" w14:textId="77777777" w:rsidR="00D66584" w:rsidRDefault="00000000">
      <w:r w:rsidRPr="00D66584">
        <w:t xml:space="preserve"> </w:t>
      </w:r>
    </w:p>
    <w:p w14:paraId="1D14E580" w14:textId="77777777" w:rsidR="00D66584" w:rsidRDefault="00D66584"/>
    <w:p w14:paraId="36396287" w14:textId="68F86A5A" w:rsidR="00E135A0" w:rsidRPr="00D66584" w:rsidRDefault="00000000">
      <w:r w:rsidRPr="00D66584">
        <w:t xml:space="preserve">      </w:t>
      </w:r>
    </w:p>
    <w:p w14:paraId="6ABBA67E" w14:textId="2CC503CB" w:rsidR="00E135A0" w:rsidRDefault="00000000" w:rsidP="00D66584">
      <w:pPr>
        <w:numPr>
          <w:ilvl w:val="0"/>
          <w:numId w:val="1"/>
        </w:numPr>
        <w:rPr>
          <w:b/>
        </w:rPr>
      </w:pPr>
      <w:r w:rsidRPr="00D66584">
        <w:rPr>
          <w:b/>
        </w:rPr>
        <w:t>BOIN vs. CRM</w:t>
      </w:r>
    </w:p>
    <w:p w14:paraId="3C33A159" w14:textId="77777777" w:rsidR="00D66584" w:rsidRPr="00D66584" w:rsidRDefault="00D66584" w:rsidP="00D66584">
      <w:pPr>
        <w:ind w:left="720"/>
        <w:rPr>
          <w:b/>
        </w:rPr>
      </w:pPr>
    </w:p>
    <w:p w14:paraId="3BEF0FFB" w14:textId="1E65E5DD" w:rsidR="00E135A0" w:rsidRPr="00D66584" w:rsidRDefault="00000000" w:rsidP="120330C2">
      <w:r w:rsidRPr="00D66584">
        <w:t xml:space="preserve">CRM and BOIN both are statistically efficient and more accurate in determining MTD than the 3+3 design. However, BOIN is easier to understand, easier to implement, and it is user-friendly to clinicians with limited statistical expertise as BOIN design </w:t>
      </w:r>
      <w:r w:rsidR="00503572" w:rsidRPr="00D66584">
        <w:t>can explicitly gi</w:t>
      </w:r>
      <w:r w:rsidR="0048477C" w:rsidRPr="00D66584">
        <w:t xml:space="preserve">ve the dose escalation/de-escalation boundary table. </w:t>
      </w:r>
      <w:r w:rsidRPr="00D66584">
        <w:t xml:space="preserve"> CRM heavily relies on the Bayesian model, rendering it less practical for clinicians who do not have extensive training or understanding of the Bayesian methods. BOIN offers a balance of efficiency, safety, and ease of use, making it easy to use while still providing improvements in accuracy and efficiency over traditional methods like the 3+3 design. </w:t>
      </w:r>
    </w:p>
    <w:p w14:paraId="4321B9DA" w14:textId="5B5C9FDC" w:rsidR="00D66584" w:rsidRPr="00D66584" w:rsidRDefault="00D66584"/>
    <w:p w14:paraId="60E23AF2" w14:textId="77777777" w:rsidR="003F23B4" w:rsidRPr="00D66584" w:rsidRDefault="003F23B4"/>
    <w:p w14:paraId="3BB785E5" w14:textId="77777777" w:rsidR="003F23B4" w:rsidRPr="00D66584" w:rsidRDefault="003F23B4"/>
    <w:p w14:paraId="39202ADA" w14:textId="77777777" w:rsidR="00E135A0" w:rsidRPr="00D66584" w:rsidRDefault="00000000" w:rsidP="120330C2">
      <w:pPr>
        <w:numPr>
          <w:ilvl w:val="0"/>
          <w:numId w:val="4"/>
        </w:numPr>
        <w:rPr>
          <w:b/>
          <w:bCs/>
        </w:rPr>
      </w:pPr>
      <w:r w:rsidRPr="00D66584">
        <w:rPr>
          <w:b/>
          <w:bCs/>
        </w:rPr>
        <w:t xml:space="preserve">BOIN vs. </w:t>
      </w:r>
      <w:proofErr w:type="spellStart"/>
      <w:r w:rsidRPr="00D66584">
        <w:rPr>
          <w:b/>
          <w:bCs/>
        </w:rPr>
        <w:t>mTPI</w:t>
      </w:r>
      <w:proofErr w:type="spellEnd"/>
    </w:p>
    <w:p w14:paraId="2218B4E7" w14:textId="77777777" w:rsidR="00E135A0" w:rsidRPr="00D66584" w:rsidRDefault="00E135A0"/>
    <w:p w14:paraId="28E0D53D" w14:textId="3D364000" w:rsidR="00E135A0" w:rsidRPr="00D66584" w:rsidRDefault="00000000" w:rsidP="120330C2">
      <w:proofErr w:type="spellStart"/>
      <w:r w:rsidRPr="00D66584">
        <w:t>mTPI</w:t>
      </w:r>
      <w:proofErr w:type="spellEnd"/>
      <w:r w:rsidRPr="00D66584">
        <w:t xml:space="preserve"> is also considered a more accurate and efficient design compared to the 3+3 design. </w:t>
      </w:r>
      <w:proofErr w:type="spellStart"/>
      <w:r w:rsidRPr="00D66584">
        <w:t>mTPI</w:t>
      </w:r>
      <w:proofErr w:type="spellEnd"/>
      <w:r w:rsidRPr="00D66584">
        <w:t xml:space="preserve"> and BOIN are both model-assisted designs and use Bayesian statistical methods to guide dose escalation. Despite their similarities, BOIN is more likely to determine the MTD correctly and has a significantly lower risk of overdosing patients than </w:t>
      </w:r>
      <w:proofErr w:type="spellStart"/>
      <w:r w:rsidRPr="00D66584">
        <w:t>mTPI</w:t>
      </w:r>
      <w:proofErr w:type="spellEnd"/>
      <w:r w:rsidRPr="00D66584">
        <w:t xml:space="preserve">. </w:t>
      </w:r>
      <w:r w:rsidR="003F23B4" w:rsidRPr="00D66584">
        <w:t xml:space="preserve">Figure 4 shows the </w:t>
      </w:r>
      <w:proofErr w:type="spellStart"/>
      <w:r w:rsidR="003F23B4" w:rsidRPr="00D66584">
        <w:t>mTPI</w:t>
      </w:r>
      <w:proofErr w:type="spellEnd"/>
      <w:r w:rsidR="003F23B4" w:rsidRPr="00D66584">
        <w:t xml:space="preserve"> dose escalation/de-escalation rule [10].</w:t>
      </w:r>
    </w:p>
    <w:p w14:paraId="54615E66" w14:textId="77777777" w:rsidR="00E135A0" w:rsidRPr="00D66584" w:rsidRDefault="00E135A0"/>
    <w:p w14:paraId="366F55B5" w14:textId="7306EFB5" w:rsidR="00E135A0" w:rsidRDefault="003F23B4" w:rsidP="120330C2">
      <w:pPr>
        <w:jc w:val="center"/>
        <w:rPr>
          <w:b/>
          <w:bCs/>
        </w:rPr>
      </w:pPr>
      <w:r w:rsidRPr="00D66584">
        <w:rPr>
          <w:b/>
          <w:bCs/>
        </w:rPr>
        <w:t xml:space="preserve">Figure 4. </w:t>
      </w:r>
      <w:proofErr w:type="spellStart"/>
      <w:r w:rsidRPr="00D66584">
        <w:rPr>
          <w:b/>
          <w:bCs/>
        </w:rPr>
        <w:t>mTPI</w:t>
      </w:r>
      <w:proofErr w:type="spellEnd"/>
      <w:r w:rsidRPr="00D66584">
        <w:rPr>
          <w:b/>
          <w:bCs/>
        </w:rPr>
        <w:t xml:space="preserve"> Decision Table</w:t>
      </w:r>
      <w:r w:rsidR="00790ABE" w:rsidRPr="00D66584">
        <w:rPr>
          <w:b/>
          <w:bCs/>
        </w:rPr>
        <w:t xml:space="preserve"> </w:t>
      </w:r>
    </w:p>
    <w:p w14:paraId="4AFE5858" w14:textId="77777777" w:rsidR="00D66584" w:rsidRPr="00D66584" w:rsidRDefault="00D66584" w:rsidP="120330C2">
      <w:pPr>
        <w:jc w:val="center"/>
        <w:rPr>
          <w:b/>
          <w:bCs/>
        </w:rPr>
      </w:pPr>
    </w:p>
    <w:p w14:paraId="08DF4E03" w14:textId="295A548C" w:rsidR="00790ABE" w:rsidRPr="00D66584" w:rsidRDefault="00000000" w:rsidP="003F23B4">
      <w:pPr>
        <w:jc w:val="center"/>
      </w:pPr>
      <w:r w:rsidRPr="00D66584">
        <w:rPr>
          <w:b/>
          <w:noProof/>
        </w:rPr>
        <w:drawing>
          <wp:inline distT="114300" distB="114300" distL="114300" distR="114300" wp14:anchorId="0923B9F7" wp14:editId="3AA1EAB5">
            <wp:extent cx="5097326" cy="37004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97326" cy="3700463"/>
                    </a:xfrm>
                    <a:prstGeom prst="rect">
                      <a:avLst/>
                    </a:prstGeom>
                    <a:ln/>
                  </pic:spPr>
                </pic:pic>
              </a:graphicData>
            </a:graphic>
          </wp:inline>
        </w:drawing>
      </w:r>
    </w:p>
    <w:p w14:paraId="79C09105" w14:textId="77777777" w:rsidR="00E135A0" w:rsidRPr="00D66584" w:rsidRDefault="00E135A0"/>
    <w:p w14:paraId="6BFCC760" w14:textId="77777777" w:rsidR="003F23B4" w:rsidRPr="00D66584" w:rsidRDefault="003F23B4"/>
    <w:p w14:paraId="2DFCAB49" w14:textId="77777777" w:rsidR="003F23B4" w:rsidRPr="00D66584" w:rsidRDefault="003F23B4"/>
    <w:p w14:paraId="3988D215" w14:textId="77777777" w:rsidR="003F23B4" w:rsidRPr="00D66584" w:rsidRDefault="003F23B4"/>
    <w:p w14:paraId="6B88550A" w14:textId="77777777" w:rsidR="00E135A0" w:rsidRPr="00D66584" w:rsidRDefault="00000000">
      <w:pPr>
        <w:rPr>
          <w:b/>
        </w:rPr>
      </w:pPr>
      <w:r w:rsidRPr="00D66584">
        <w:rPr>
          <w:b/>
        </w:rPr>
        <w:t>Results</w:t>
      </w:r>
    </w:p>
    <w:p w14:paraId="683353F2" w14:textId="77777777" w:rsidR="00E135A0" w:rsidRPr="00D66584" w:rsidRDefault="00E135A0"/>
    <w:p w14:paraId="142859BC" w14:textId="46300FCC" w:rsidR="00E135A0" w:rsidRPr="00D66584" w:rsidRDefault="00000000" w:rsidP="120330C2">
      <w:r w:rsidRPr="00D66584">
        <w:t xml:space="preserve">After reviewing 127 phase I clinical trial studies </w:t>
      </w:r>
      <w:r w:rsidR="00587C11" w:rsidRPr="00D66584">
        <w:t>during 2014-2023</w:t>
      </w:r>
      <w:r w:rsidRPr="00D66584">
        <w:t>, I have collected data regarding single or combination drugs, dose-finding, dose</w:t>
      </w:r>
      <w:r w:rsidR="00437D4D" w:rsidRPr="00D66584">
        <w:t xml:space="preserve"> </w:t>
      </w:r>
      <w:r w:rsidRPr="00D66584">
        <w:t>expansion, design, dose levels, sample sizes, toxicity-stopping rules, and phase II.</w:t>
      </w:r>
      <w:r w:rsidR="003F23B4" w:rsidRPr="00D66584">
        <w:t xml:space="preserve"> The </w:t>
      </w:r>
      <w:r w:rsidR="00437D4D" w:rsidRPr="00D66584">
        <w:t>data</w:t>
      </w:r>
      <w:r w:rsidR="003F23B4" w:rsidRPr="00D66584">
        <w:t xml:space="preserve"> collected are shown in Table 2 below. </w:t>
      </w:r>
    </w:p>
    <w:p w14:paraId="6B074D92" w14:textId="77777777" w:rsidR="00E135A0" w:rsidRPr="00D66584" w:rsidRDefault="00E135A0"/>
    <w:p w14:paraId="2A26EC11" w14:textId="77777777" w:rsidR="003F23B4" w:rsidRDefault="003F23B4"/>
    <w:p w14:paraId="4FDC4486" w14:textId="77777777" w:rsidR="00D66584" w:rsidRDefault="00D66584"/>
    <w:p w14:paraId="69C9C061" w14:textId="77777777" w:rsidR="00D66584" w:rsidRPr="00D66584" w:rsidRDefault="00D66584"/>
    <w:p w14:paraId="1F13C1F8" w14:textId="77777777" w:rsidR="003F23B4" w:rsidRPr="00D66584" w:rsidRDefault="003F23B4"/>
    <w:tbl>
      <w:tblPr>
        <w:tblStyle w:val="a1"/>
        <w:tblW w:w="8550" w:type="dxa"/>
        <w:tblBorders>
          <w:top w:val="nil"/>
          <w:left w:val="nil"/>
          <w:bottom w:val="nil"/>
          <w:right w:val="nil"/>
          <w:insideH w:val="nil"/>
          <w:insideV w:val="nil"/>
        </w:tblBorders>
        <w:tblLayout w:type="fixed"/>
        <w:tblLook w:val="0600" w:firstRow="0" w:lastRow="0" w:firstColumn="0" w:lastColumn="0" w:noHBand="1" w:noVBand="1"/>
      </w:tblPr>
      <w:tblGrid>
        <w:gridCol w:w="4680"/>
        <w:gridCol w:w="2340"/>
        <w:gridCol w:w="1530"/>
      </w:tblGrid>
      <w:tr w:rsidR="00E135A0" w:rsidRPr="00D66584" w14:paraId="03381439" w14:textId="77777777" w:rsidTr="00437D4D">
        <w:trPr>
          <w:trHeight w:val="790"/>
        </w:trPr>
        <w:tc>
          <w:tcPr>
            <w:tcW w:w="8550" w:type="dxa"/>
            <w:gridSpan w:val="3"/>
            <w:tcBorders>
              <w:top w:val="nil"/>
              <w:left w:val="nil"/>
              <w:bottom w:val="single" w:sz="3" w:space="0" w:color="000000" w:themeColor="text1"/>
              <w:right w:val="nil"/>
            </w:tcBorders>
            <w:tcMar>
              <w:top w:w="20" w:type="dxa"/>
              <w:left w:w="20" w:type="dxa"/>
              <w:bottom w:w="100" w:type="dxa"/>
              <w:right w:w="20" w:type="dxa"/>
            </w:tcMar>
            <w:vAlign w:val="bottom"/>
          </w:tcPr>
          <w:p w14:paraId="1237D6CC" w14:textId="6A92F107" w:rsidR="00E135A0" w:rsidRPr="00D66584" w:rsidRDefault="003F23B4">
            <w:pPr>
              <w:jc w:val="center"/>
            </w:pPr>
            <w:r w:rsidRPr="00D66584">
              <w:rPr>
                <w:b/>
              </w:rPr>
              <w:lastRenderedPageBreak/>
              <w:t>Table 2. Summary Results for 127 Researched Phase I Clinical Trials</w:t>
            </w:r>
          </w:p>
        </w:tc>
      </w:tr>
      <w:tr w:rsidR="00437D4D" w:rsidRPr="00D66584" w14:paraId="185C87F2" w14:textId="77777777" w:rsidTr="00437D4D">
        <w:trPr>
          <w:trHeight w:val="77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9EABBF8" w14:textId="54AF0C57" w:rsidR="00437D4D" w:rsidRPr="00D66584" w:rsidRDefault="00437D4D">
            <w:pPr>
              <w:rPr>
                <w:b/>
              </w:rPr>
            </w:pPr>
            <w:r w:rsidRPr="00D66584">
              <w:rPr>
                <w:b/>
              </w:rPr>
              <w:t>Parameters</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D3A0477" w14:textId="15DFC406" w:rsidR="00437D4D" w:rsidRPr="00D66584" w:rsidRDefault="00437D4D">
            <w:pPr>
              <w:rPr>
                <w:b/>
              </w:rPr>
            </w:pPr>
            <w:r w:rsidRPr="00D66584">
              <w:rPr>
                <w:b/>
              </w:rPr>
              <w:t>Levels</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5CA2E3B" w14:textId="7FC7D066" w:rsidR="00437D4D" w:rsidRPr="00D66584" w:rsidRDefault="00437D4D">
            <w:pPr>
              <w:rPr>
                <w:b/>
              </w:rPr>
            </w:pPr>
            <w:r w:rsidRPr="00D66584">
              <w:rPr>
                <w:b/>
              </w:rPr>
              <w:t>N (%)</w:t>
            </w:r>
          </w:p>
        </w:tc>
      </w:tr>
      <w:tr w:rsidR="00E135A0" w:rsidRPr="00D66584" w14:paraId="5B2DD272" w14:textId="77777777" w:rsidTr="00437D4D">
        <w:trPr>
          <w:trHeight w:val="77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96C8675" w14:textId="77777777" w:rsidR="00E135A0" w:rsidRPr="00D66584" w:rsidRDefault="00000000">
            <w:r w:rsidRPr="00D66584">
              <w:rPr>
                <w:b/>
              </w:rPr>
              <w:t>Single or Combination Drug</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36EEF60" w14:textId="77777777" w:rsidR="00E135A0" w:rsidRPr="00D66584" w:rsidRDefault="00000000">
            <w:pPr>
              <w:rPr>
                <w:b/>
              </w:rPr>
            </w:pPr>
            <w:r w:rsidRPr="00D66584">
              <w:rPr>
                <w:b/>
              </w:rPr>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1E2218D" w14:textId="77777777" w:rsidR="00E135A0" w:rsidRPr="00D66584" w:rsidRDefault="00000000">
            <w:r w:rsidRPr="00D66584">
              <w:t xml:space="preserve"> </w:t>
            </w:r>
          </w:p>
        </w:tc>
      </w:tr>
      <w:tr w:rsidR="00E135A0" w:rsidRPr="00D66584" w14:paraId="58B4ECF6"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7EF5069"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2EC9355" w14:textId="77777777" w:rsidR="00E135A0" w:rsidRPr="00D66584" w:rsidRDefault="00000000">
            <w:r w:rsidRPr="00D66584">
              <w:t>Single</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8DCC66C" w14:textId="77777777" w:rsidR="00E135A0" w:rsidRPr="00D66584" w:rsidRDefault="00000000">
            <w:r w:rsidRPr="00D66584">
              <w:t>41 (32.3%)</w:t>
            </w:r>
          </w:p>
        </w:tc>
      </w:tr>
      <w:tr w:rsidR="00E135A0" w:rsidRPr="00D66584" w14:paraId="050D45A6"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FF36E0A"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8D132DA" w14:textId="77777777" w:rsidR="00E135A0" w:rsidRPr="00D66584" w:rsidRDefault="00000000">
            <w:r w:rsidRPr="00D66584">
              <w:t>Combination</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C989807" w14:textId="77777777" w:rsidR="00E135A0" w:rsidRPr="00D66584" w:rsidRDefault="00000000">
            <w:r w:rsidRPr="00D66584">
              <w:t>67 (52.8%)</w:t>
            </w:r>
          </w:p>
        </w:tc>
      </w:tr>
      <w:tr w:rsidR="00E135A0" w:rsidRPr="00D66584" w14:paraId="4908B043"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935A394"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9D16066" w14:textId="77777777" w:rsidR="00E135A0" w:rsidRPr="00D66584" w:rsidRDefault="00000000">
            <w:r w:rsidRPr="00D66584">
              <w:t>Both</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06BF7A9" w14:textId="77777777" w:rsidR="00E135A0" w:rsidRPr="00D66584" w:rsidRDefault="00000000">
            <w:r w:rsidRPr="00D66584">
              <w:t>10 (7.9%)</w:t>
            </w:r>
          </w:p>
        </w:tc>
      </w:tr>
      <w:tr w:rsidR="00E135A0" w:rsidRPr="00D66584" w14:paraId="2C4DC430"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D5ED813"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A943F1F" w14:textId="77777777" w:rsidR="00E135A0" w:rsidRPr="00D66584" w:rsidRDefault="00000000">
            <w:r w:rsidRPr="00D66584">
              <w:t>None</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4466998" w14:textId="7D741BFF" w:rsidR="00E135A0" w:rsidRPr="00D66584" w:rsidRDefault="00000000">
            <w:r w:rsidRPr="00D66584">
              <w:t>5 (3.9%)</w:t>
            </w:r>
          </w:p>
        </w:tc>
      </w:tr>
      <w:tr w:rsidR="00E135A0" w:rsidRPr="00D66584" w14:paraId="222E01B9"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E6C225B"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56ECA62" w14:textId="77777777" w:rsidR="00E135A0" w:rsidRPr="00D66584" w:rsidRDefault="00000000">
            <w:r w:rsidRPr="00D66584">
              <w:t>NA</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656FCD4" w14:textId="77777777" w:rsidR="00E135A0" w:rsidRPr="00D66584" w:rsidRDefault="00000000">
            <w:r w:rsidRPr="00D66584">
              <w:t>4 (3.1%)</w:t>
            </w:r>
          </w:p>
        </w:tc>
      </w:tr>
      <w:tr w:rsidR="00E135A0" w:rsidRPr="00D66584" w14:paraId="35358AEA"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A04CC3B"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51BCBDA"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6682A90" w14:textId="77777777" w:rsidR="00E135A0" w:rsidRPr="00D66584" w:rsidRDefault="00000000">
            <w:r w:rsidRPr="00D66584">
              <w:t xml:space="preserve"> </w:t>
            </w:r>
          </w:p>
        </w:tc>
      </w:tr>
      <w:tr w:rsidR="00E135A0" w:rsidRPr="00D66584" w14:paraId="0D26B126"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21EFA1D" w14:textId="77777777" w:rsidR="00E135A0" w:rsidRPr="00D66584" w:rsidRDefault="00000000">
            <w:r w:rsidRPr="00D66584">
              <w:rPr>
                <w:b/>
              </w:rPr>
              <w:t>Dose Escalation</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96E12D6"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ED56F96" w14:textId="77777777" w:rsidR="00E135A0" w:rsidRPr="00D66584" w:rsidRDefault="00000000">
            <w:r w:rsidRPr="00D66584">
              <w:t xml:space="preserve"> </w:t>
            </w:r>
          </w:p>
        </w:tc>
      </w:tr>
      <w:tr w:rsidR="00E135A0" w:rsidRPr="00D66584" w14:paraId="623CF3D6"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066C8C3"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2309F08" w14:textId="77777777" w:rsidR="00E135A0" w:rsidRPr="00D66584" w:rsidRDefault="00000000">
            <w:r w:rsidRPr="00D66584">
              <w:t>Yes</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E51C69B" w14:textId="77777777" w:rsidR="00E135A0" w:rsidRPr="00D66584" w:rsidRDefault="00000000">
            <w:r w:rsidRPr="00D66584">
              <w:t>79 (62.2%)</w:t>
            </w:r>
          </w:p>
        </w:tc>
      </w:tr>
      <w:tr w:rsidR="00E135A0" w:rsidRPr="00D66584" w14:paraId="55BFAA3E"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763362D"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4224999" w14:textId="77777777" w:rsidR="00E135A0" w:rsidRPr="00D66584" w:rsidRDefault="00000000">
            <w:r w:rsidRPr="00D66584">
              <w:t>No</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26E1F9E" w14:textId="77777777" w:rsidR="00E135A0" w:rsidRPr="00D66584" w:rsidRDefault="00000000">
            <w:r w:rsidRPr="00D66584">
              <w:t>48 (37.8%)</w:t>
            </w:r>
          </w:p>
        </w:tc>
      </w:tr>
      <w:tr w:rsidR="00E135A0" w:rsidRPr="00D66584" w14:paraId="1A90B760"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4F2EF0F"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6C9D775"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85B8881" w14:textId="77777777" w:rsidR="00E135A0" w:rsidRPr="00D66584" w:rsidRDefault="00000000">
            <w:r w:rsidRPr="00D66584">
              <w:t xml:space="preserve"> </w:t>
            </w:r>
          </w:p>
        </w:tc>
      </w:tr>
      <w:tr w:rsidR="00E135A0" w:rsidRPr="00D66584" w14:paraId="57709088"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CD790AD" w14:textId="77777777" w:rsidR="00E135A0" w:rsidRPr="00D66584" w:rsidRDefault="00000000">
            <w:r w:rsidRPr="00D66584">
              <w:rPr>
                <w:b/>
              </w:rPr>
              <w:t>Design</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4D61C88"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5116586" w14:textId="77777777" w:rsidR="00E135A0" w:rsidRPr="00D66584" w:rsidRDefault="00000000">
            <w:r w:rsidRPr="00D66584">
              <w:t xml:space="preserve"> </w:t>
            </w:r>
          </w:p>
        </w:tc>
      </w:tr>
      <w:tr w:rsidR="00E135A0" w:rsidRPr="00D66584" w14:paraId="50ECCB7B"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4659CDB"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93F432B" w14:textId="77777777" w:rsidR="00E135A0" w:rsidRPr="00D66584" w:rsidRDefault="00000000">
            <w:r w:rsidRPr="00D66584">
              <w:t>3+3</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B0098A5" w14:textId="77777777" w:rsidR="00E135A0" w:rsidRPr="00D66584" w:rsidRDefault="00000000">
            <w:r w:rsidRPr="00D66584">
              <w:t>31 (57.4%)</w:t>
            </w:r>
          </w:p>
        </w:tc>
      </w:tr>
      <w:tr w:rsidR="00E135A0" w:rsidRPr="00D66584" w14:paraId="7A20C780"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74709D9"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B518D57" w14:textId="77777777" w:rsidR="00E135A0" w:rsidRPr="00D66584" w:rsidRDefault="00000000">
            <w:r w:rsidRPr="00D66584">
              <w:t>BOIN</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2A835B2" w14:textId="77777777" w:rsidR="00E135A0" w:rsidRPr="00D66584" w:rsidRDefault="00000000">
            <w:r w:rsidRPr="00D66584">
              <w:t>1 (1.8%)</w:t>
            </w:r>
          </w:p>
        </w:tc>
      </w:tr>
      <w:tr w:rsidR="00E135A0" w:rsidRPr="00D66584" w14:paraId="2A88E9CC"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6927189"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B1A6E4F" w14:textId="77777777" w:rsidR="00E135A0" w:rsidRPr="00D66584" w:rsidRDefault="00000000" w:rsidP="120330C2">
            <w:proofErr w:type="spellStart"/>
            <w:r w:rsidRPr="00D66584">
              <w:t>mTPI</w:t>
            </w:r>
            <w:proofErr w:type="spellEnd"/>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006A8DC" w14:textId="77777777" w:rsidR="00E135A0" w:rsidRPr="00D66584" w:rsidRDefault="00000000">
            <w:r w:rsidRPr="00D66584">
              <w:t>2 (3.7%)</w:t>
            </w:r>
          </w:p>
        </w:tc>
      </w:tr>
      <w:tr w:rsidR="00E135A0" w:rsidRPr="00D66584" w14:paraId="55FF94DC"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17E03D6"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A660295" w14:textId="77777777" w:rsidR="00E135A0" w:rsidRPr="00D66584" w:rsidRDefault="00000000">
            <w:r w:rsidRPr="00D66584">
              <w:t>CRM</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67DDFCC" w14:textId="77777777" w:rsidR="00E135A0" w:rsidRPr="00D66584" w:rsidRDefault="00000000">
            <w:r w:rsidRPr="00D66584">
              <w:t>1 (1.8%)</w:t>
            </w:r>
          </w:p>
        </w:tc>
      </w:tr>
      <w:tr w:rsidR="00E135A0" w:rsidRPr="00D66584" w14:paraId="5897A913"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8FEB096"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DC93D36" w14:textId="77777777" w:rsidR="00E135A0" w:rsidRPr="00D66584" w:rsidRDefault="00000000">
            <w:r w:rsidRPr="00D66584">
              <w:t>Other</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C3E2ED6" w14:textId="77777777" w:rsidR="00E135A0" w:rsidRPr="00D66584" w:rsidRDefault="00000000">
            <w:r w:rsidRPr="00D66584">
              <w:t>19 (35.2%)</w:t>
            </w:r>
          </w:p>
        </w:tc>
      </w:tr>
      <w:tr w:rsidR="00E135A0" w:rsidRPr="00D66584" w14:paraId="02164D3F"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D3E15DE"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1D9C8ED" w14:textId="77777777" w:rsidR="00E135A0" w:rsidRPr="00D66584" w:rsidRDefault="00000000">
            <w:r w:rsidRPr="00D66584">
              <w:t>NA</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AFE1FC9" w14:textId="77777777" w:rsidR="00E135A0" w:rsidRPr="00D66584" w:rsidRDefault="00000000">
            <w:r w:rsidRPr="00D66584">
              <w:t>73</w:t>
            </w:r>
          </w:p>
        </w:tc>
      </w:tr>
      <w:tr w:rsidR="00E135A0" w:rsidRPr="00D66584" w14:paraId="5892A76A"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C9E1AAB"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871CF1D"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12376D5" w14:textId="77777777" w:rsidR="00E135A0" w:rsidRPr="00D66584" w:rsidRDefault="00000000">
            <w:r w:rsidRPr="00D66584">
              <w:t xml:space="preserve"> </w:t>
            </w:r>
          </w:p>
        </w:tc>
      </w:tr>
      <w:tr w:rsidR="00E135A0" w:rsidRPr="00D66584" w14:paraId="25E63415"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D2D65C7" w14:textId="77777777" w:rsidR="00E135A0" w:rsidRPr="00D66584" w:rsidRDefault="00000000">
            <w:r w:rsidRPr="00D66584">
              <w:rPr>
                <w:b/>
              </w:rPr>
              <w:t>Other Design</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1A635B9"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067B70E" w14:textId="77777777" w:rsidR="00E135A0" w:rsidRPr="00D66584" w:rsidRDefault="00000000">
            <w:r w:rsidRPr="00D66584">
              <w:t xml:space="preserve"> </w:t>
            </w:r>
          </w:p>
        </w:tc>
      </w:tr>
      <w:tr w:rsidR="00E135A0" w:rsidRPr="00D66584" w14:paraId="6B945A54"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B68D29D" w14:textId="77777777" w:rsidR="00E135A0" w:rsidRPr="00D66584" w:rsidRDefault="00000000">
            <w:r w:rsidRPr="00D66584">
              <w:rPr>
                <w:b/>
              </w:rPr>
              <w:lastRenderedPageBreak/>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F648FC0" w14:textId="77777777" w:rsidR="00E135A0" w:rsidRPr="00D66584" w:rsidRDefault="00000000">
            <w:r w:rsidRPr="00D66584">
              <w:t>Parallel</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FEB93DC" w14:textId="77777777" w:rsidR="00E135A0" w:rsidRPr="00D66584" w:rsidRDefault="00000000">
            <w:r w:rsidRPr="00D66584">
              <w:t>6 (30%)</w:t>
            </w:r>
          </w:p>
        </w:tc>
      </w:tr>
      <w:tr w:rsidR="00E135A0" w:rsidRPr="00D66584" w14:paraId="4F12D3FD"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55A2893"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ED36425" w14:textId="77777777" w:rsidR="00E135A0" w:rsidRPr="00D66584" w:rsidRDefault="00000000">
            <w:r w:rsidRPr="00D66584">
              <w:t>Sequential</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EB5C9FD" w14:textId="77777777" w:rsidR="00E135A0" w:rsidRPr="00D66584" w:rsidRDefault="00000000">
            <w:r w:rsidRPr="00D66584">
              <w:t>12 (60%)</w:t>
            </w:r>
          </w:p>
        </w:tc>
      </w:tr>
      <w:tr w:rsidR="00E135A0" w:rsidRPr="00D66584" w14:paraId="1AF9F514"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05B6C1A"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E4ED717" w14:textId="77777777" w:rsidR="00E135A0" w:rsidRPr="00D66584" w:rsidRDefault="00000000">
            <w:r w:rsidRPr="00D66584">
              <w:t>EWOK</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19E8FA7" w14:textId="77777777" w:rsidR="00E135A0" w:rsidRPr="00D66584" w:rsidRDefault="00000000">
            <w:r w:rsidRPr="00D66584">
              <w:t>1 (5%)</w:t>
            </w:r>
          </w:p>
        </w:tc>
      </w:tr>
      <w:tr w:rsidR="00E135A0" w:rsidRPr="00D66584" w14:paraId="251C4625"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23BB9F7"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859E6F6" w14:textId="77777777" w:rsidR="00E135A0" w:rsidRPr="00D66584" w:rsidRDefault="00000000">
            <w:r w:rsidRPr="00D66584">
              <w:t>Rolling 6</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BFE47FB" w14:textId="77777777" w:rsidR="00E135A0" w:rsidRPr="00D66584" w:rsidRDefault="00000000">
            <w:r w:rsidRPr="00D66584">
              <w:t>1 (5%)</w:t>
            </w:r>
          </w:p>
        </w:tc>
      </w:tr>
      <w:tr w:rsidR="00E135A0" w:rsidRPr="00D66584" w14:paraId="0B44E4E5"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8BBCABD"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75D9192"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BA670DF" w14:textId="77777777" w:rsidR="00E135A0" w:rsidRPr="00D66584" w:rsidRDefault="00000000">
            <w:r w:rsidRPr="00D66584">
              <w:t xml:space="preserve"> </w:t>
            </w:r>
          </w:p>
        </w:tc>
      </w:tr>
      <w:tr w:rsidR="00E135A0" w:rsidRPr="00D66584" w14:paraId="0690B915"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D0DDC69" w14:textId="77777777" w:rsidR="00E135A0" w:rsidRPr="00D66584" w:rsidRDefault="00000000">
            <w:r w:rsidRPr="00D66584">
              <w:rPr>
                <w:b/>
              </w:rPr>
              <w:t>More Than One Drug</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7CDA354"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6FF98AB" w14:textId="77777777" w:rsidR="00E135A0" w:rsidRPr="00D66584" w:rsidRDefault="00000000">
            <w:r w:rsidRPr="00D66584">
              <w:t xml:space="preserve"> </w:t>
            </w:r>
          </w:p>
        </w:tc>
      </w:tr>
      <w:tr w:rsidR="00E135A0" w:rsidRPr="00D66584" w14:paraId="737F7E96"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9190FC0"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17E30A2" w14:textId="77777777" w:rsidR="00E135A0" w:rsidRPr="00D66584" w:rsidRDefault="00000000">
            <w:r w:rsidRPr="00D66584">
              <w:t>Yes</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11CA8AA" w14:textId="77777777" w:rsidR="00E135A0" w:rsidRPr="00D66584" w:rsidRDefault="00000000">
            <w:r w:rsidRPr="00D66584">
              <w:t>28 (22.0%)</w:t>
            </w:r>
          </w:p>
        </w:tc>
      </w:tr>
      <w:tr w:rsidR="00E135A0" w:rsidRPr="00D66584" w14:paraId="4D137118"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D283201"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A1357C3" w14:textId="77777777" w:rsidR="00E135A0" w:rsidRPr="00D66584" w:rsidRDefault="00000000">
            <w:r w:rsidRPr="00D66584">
              <w:t>No</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31A9002" w14:textId="77777777" w:rsidR="00E135A0" w:rsidRPr="00D66584" w:rsidRDefault="00000000">
            <w:r w:rsidRPr="00D66584">
              <w:t>99 (78.0%)</w:t>
            </w:r>
          </w:p>
        </w:tc>
      </w:tr>
      <w:tr w:rsidR="00E135A0" w:rsidRPr="00D66584" w14:paraId="30AF0824"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DE693C9"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1C07FB5"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0EFF5A2" w14:textId="77777777" w:rsidR="00E135A0" w:rsidRPr="00D66584" w:rsidRDefault="00000000">
            <w:r w:rsidRPr="00D66584">
              <w:t xml:space="preserve"> </w:t>
            </w:r>
          </w:p>
        </w:tc>
      </w:tr>
      <w:tr w:rsidR="00E135A0" w:rsidRPr="00D66584" w14:paraId="283E2660"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5D82113" w14:textId="77777777" w:rsidR="00E135A0" w:rsidRPr="00D66584" w:rsidRDefault="00000000">
            <w:r w:rsidRPr="00D66584">
              <w:rPr>
                <w:b/>
              </w:rPr>
              <w:t>Sample Size of Dose Escalation</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F79A122"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82756EA" w14:textId="77777777" w:rsidR="00E135A0" w:rsidRPr="00D66584" w:rsidRDefault="00000000">
            <w:r w:rsidRPr="00D66584">
              <w:t xml:space="preserve"> </w:t>
            </w:r>
          </w:p>
        </w:tc>
      </w:tr>
      <w:tr w:rsidR="00E135A0" w:rsidRPr="00D66584" w14:paraId="026733AF"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35302C5"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29E2DDC" w14:textId="77777777" w:rsidR="00E135A0" w:rsidRPr="00D66584" w:rsidRDefault="00000000">
            <w:r w:rsidRPr="00D66584">
              <w:t>n</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9523926" w14:textId="77777777" w:rsidR="00E135A0" w:rsidRPr="00D66584" w:rsidRDefault="00000000">
            <w:r w:rsidRPr="00D66584">
              <w:t>72</w:t>
            </w:r>
          </w:p>
        </w:tc>
      </w:tr>
      <w:tr w:rsidR="00E135A0" w:rsidRPr="00D66584" w14:paraId="098365DF"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C3681FC"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2259057" w14:textId="77777777" w:rsidR="00E135A0" w:rsidRPr="00D66584" w:rsidRDefault="00000000">
            <w:r w:rsidRPr="00D66584">
              <w:t xml:space="preserve">mean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61F4ABF" w14:textId="77777777" w:rsidR="00E135A0" w:rsidRPr="00D66584" w:rsidRDefault="00000000">
            <w:r w:rsidRPr="00D66584">
              <w:t>36.4</w:t>
            </w:r>
          </w:p>
        </w:tc>
      </w:tr>
      <w:tr w:rsidR="00E135A0" w:rsidRPr="00D66584" w14:paraId="5FBD9572"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0E7BF62"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5A5BBE4" w14:textId="77777777" w:rsidR="00E135A0" w:rsidRPr="00D66584" w:rsidRDefault="00000000">
            <w:r w:rsidRPr="00D66584">
              <w:t>STD</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225D086" w14:textId="77777777" w:rsidR="00E135A0" w:rsidRPr="00D66584" w:rsidRDefault="00000000">
            <w:r w:rsidRPr="00D66584">
              <w:t>39.4</w:t>
            </w:r>
          </w:p>
        </w:tc>
      </w:tr>
      <w:tr w:rsidR="00E135A0" w:rsidRPr="00D66584" w14:paraId="7F518B30"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71B1E6B"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66AA6D8" w14:textId="77777777" w:rsidR="00E135A0" w:rsidRPr="00D66584" w:rsidRDefault="00000000">
            <w:r w:rsidRPr="00D66584">
              <w:t xml:space="preserve">Median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48F7A3F" w14:textId="77777777" w:rsidR="00E135A0" w:rsidRPr="00D66584" w:rsidRDefault="00000000">
            <w:r w:rsidRPr="00D66584">
              <w:t>21.5</w:t>
            </w:r>
          </w:p>
        </w:tc>
      </w:tr>
      <w:tr w:rsidR="00E135A0" w:rsidRPr="00D66584" w14:paraId="3D421C13"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655BB80"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207227F" w14:textId="77777777" w:rsidR="00E135A0" w:rsidRPr="00D66584" w:rsidRDefault="00000000">
            <w:r w:rsidRPr="00D66584">
              <w:t>Range (Min-Max)</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6C34BDC" w14:textId="77777777" w:rsidR="00E135A0" w:rsidRPr="00D66584" w:rsidRDefault="00000000">
            <w:r w:rsidRPr="00D66584">
              <w:t>1 to 213</w:t>
            </w:r>
          </w:p>
        </w:tc>
      </w:tr>
      <w:tr w:rsidR="00E135A0" w:rsidRPr="00D66584" w14:paraId="695A1C05"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C3BE723"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11EE237"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8D909CE" w14:textId="77777777" w:rsidR="00E135A0" w:rsidRPr="00D66584" w:rsidRDefault="00000000">
            <w:r w:rsidRPr="00D66584">
              <w:t xml:space="preserve"> </w:t>
            </w:r>
          </w:p>
        </w:tc>
      </w:tr>
      <w:tr w:rsidR="00E135A0" w:rsidRPr="00D66584" w14:paraId="1871BC62"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0F1D325" w14:textId="77777777" w:rsidR="00E135A0" w:rsidRPr="00D66584" w:rsidRDefault="00000000">
            <w:r w:rsidRPr="00D66584">
              <w:rPr>
                <w:b/>
              </w:rPr>
              <w:t>No. of dose level</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83DF86D"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C703A1A" w14:textId="77777777" w:rsidR="00E135A0" w:rsidRPr="00D66584" w:rsidRDefault="00000000">
            <w:r w:rsidRPr="00D66584">
              <w:t xml:space="preserve"> </w:t>
            </w:r>
          </w:p>
        </w:tc>
      </w:tr>
      <w:tr w:rsidR="00E135A0" w:rsidRPr="00D66584" w14:paraId="4CC9D26C"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E54B346"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26E5CB1" w14:textId="77777777" w:rsidR="00E135A0" w:rsidRPr="00D66584" w:rsidRDefault="00000000">
            <w:r w:rsidRPr="00D66584">
              <w:t>n</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EE6F175" w14:textId="77777777" w:rsidR="00E135A0" w:rsidRPr="00D66584" w:rsidRDefault="00000000">
            <w:r w:rsidRPr="00D66584">
              <w:t>67</w:t>
            </w:r>
          </w:p>
        </w:tc>
      </w:tr>
      <w:tr w:rsidR="00E135A0" w:rsidRPr="00D66584" w14:paraId="68FB40FA"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59A468F"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A91C72C" w14:textId="77777777" w:rsidR="00E135A0" w:rsidRPr="00D66584" w:rsidRDefault="00000000">
            <w:r w:rsidRPr="00D66584">
              <w:t xml:space="preserve">mean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592BA21" w14:textId="77777777" w:rsidR="00E135A0" w:rsidRPr="00D66584" w:rsidRDefault="00000000">
            <w:r w:rsidRPr="00D66584">
              <w:t>3.66</w:t>
            </w:r>
          </w:p>
        </w:tc>
      </w:tr>
      <w:tr w:rsidR="00E135A0" w:rsidRPr="00D66584" w14:paraId="04E84FB7"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9F8B17B"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4BD7C6C" w14:textId="77777777" w:rsidR="00E135A0" w:rsidRPr="00D66584" w:rsidRDefault="00000000">
            <w:r w:rsidRPr="00D66584">
              <w:t>STD</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45B12AE" w14:textId="77777777" w:rsidR="00E135A0" w:rsidRPr="00D66584" w:rsidRDefault="00000000">
            <w:r w:rsidRPr="00D66584">
              <w:t>1.35</w:t>
            </w:r>
          </w:p>
        </w:tc>
      </w:tr>
      <w:tr w:rsidR="00E135A0" w:rsidRPr="00D66584" w14:paraId="324A0E97"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F46E34A"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D8A767C" w14:textId="77777777" w:rsidR="00E135A0" w:rsidRPr="00D66584" w:rsidRDefault="00000000">
            <w:r w:rsidRPr="00D66584">
              <w:t xml:space="preserve">Median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3F03C68" w14:textId="77777777" w:rsidR="00E135A0" w:rsidRPr="00D66584" w:rsidRDefault="00000000">
            <w:r w:rsidRPr="00D66584">
              <w:t>3</w:t>
            </w:r>
          </w:p>
        </w:tc>
      </w:tr>
      <w:tr w:rsidR="00E135A0" w:rsidRPr="00D66584" w14:paraId="28B257BE"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E1E8228"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374276D" w14:textId="77777777" w:rsidR="00E135A0" w:rsidRPr="00D66584" w:rsidRDefault="00000000">
            <w:r w:rsidRPr="00D66584">
              <w:t>Range (Min-Max)</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A1953D8" w14:textId="77777777" w:rsidR="00E135A0" w:rsidRPr="00D66584" w:rsidRDefault="00000000">
            <w:r w:rsidRPr="00D66584">
              <w:t>1 to 10</w:t>
            </w:r>
          </w:p>
        </w:tc>
      </w:tr>
      <w:tr w:rsidR="00E135A0" w:rsidRPr="00D66584" w14:paraId="7A37EEEC"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CDCD86E"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F67EDF2"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1202BA9" w14:textId="77777777" w:rsidR="00E135A0" w:rsidRPr="00D66584" w:rsidRDefault="00000000">
            <w:r w:rsidRPr="00D66584">
              <w:t xml:space="preserve"> </w:t>
            </w:r>
          </w:p>
        </w:tc>
      </w:tr>
      <w:tr w:rsidR="00E135A0" w:rsidRPr="00D66584" w14:paraId="1252BDFA"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ED5CFBD" w14:textId="77777777" w:rsidR="00E135A0" w:rsidRPr="00D66584" w:rsidRDefault="00000000">
            <w:r w:rsidRPr="00D66584">
              <w:rPr>
                <w:b/>
              </w:rPr>
              <w:t>Dose Expansion</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B8F772C"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9DBDA4E" w14:textId="77777777" w:rsidR="00E135A0" w:rsidRPr="00D66584" w:rsidRDefault="00000000">
            <w:r w:rsidRPr="00D66584">
              <w:t xml:space="preserve"> </w:t>
            </w:r>
          </w:p>
        </w:tc>
      </w:tr>
      <w:tr w:rsidR="00E135A0" w:rsidRPr="00D66584" w14:paraId="52CA3B4B"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B4ED8EB" w14:textId="77777777" w:rsidR="00E135A0" w:rsidRPr="00D66584" w:rsidRDefault="00000000">
            <w:r w:rsidRPr="00D66584">
              <w:rPr>
                <w:b/>
              </w:rPr>
              <w:lastRenderedPageBreak/>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AE47294" w14:textId="77777777" w:rsidR="00E135A0" w:rsidRPr="00D66584" w:rsidRDefault="00000000">
            <w:r w:rsidRPr="00D66584">
              <w:t>Yes</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90C9558" w14:textId="77777777" w:rsidR="00E135A0" w:rsidRPr="00D66584" w:rsidRDefault="00000000">
            <w:r w:rsidRPr="00D66584">
              <w:t>61 (48.0%)</w:t>
            </w:r>
          </w:p>
        </w:tc>
      </w:tr>
      <w:tr w:rsidR="00E135A0" w:rsidRPr="00D66584" w14:paraId="6A339FDF"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3517C6C"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81EFC59" w14:textId="77777777" w:rsidR="00E135A0" w:rsidRPr="00D66584" w:rsidRDefault="00000000">
            <w:r w:rsidRPr="00D66584">
              <w:t>No</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7C3B641" w14:textId="77777777" w:rsidR="00E135A0" w:rsidRPr="00D66584" w:rsidRDefault="00000000">
            <w:r w:rsidRPr="00D66584">
              <w:t>66 (52%)</w:t>
            </w:r>
          </w:p>
        </w:tc>
      </w:tr>
      <w:tr w:rsidR="00E135A0" w:rsidRPr="00D66584" w14:paraId="761AD421"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9891A0F"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BB98870"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7B42C79" w14:textId="77777777" w:rsidR="00E135A0" w:rsidRPr="00D66584" w:rsidRDefault="00000000">
            <w:r w:rsidRPr="00D66584">
              <w:t xml:space="preserve"> </w:t>
            </w:r>
          </w:p>
        </w:tc>
      </w:tr>
      <w:tr w:rsidR="00E135A0" w:rsidRPr="00D66584" w14:paraId="6F0AF041"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E48DC56" w14:textId="77777777" w:rsidR="00E135A0" w:rsidRPr="00D66584" w:rsidRDefault="00000000" w:rsidP="120330C2">
            <w:r w:rsidRPr="00D66584">
              <w:rPr>
                <w:b/>
                <w:bCs/>
              </w:rPr>
              <w:t xml:space="preserve">Sample </w:t>
            </w:r>
            <w:proofErr w:type="gramStart"/>
            <w:r w:rsidRPr="00D66584">
              <w:rPr>
                <w:b/>
                <w:bCs/>
              </w:rPr>
              <w:t>Size  Dose</w:t>
            </w:r>
            <w:proofErr w:type="gramEnd"/>
            <w:r w:rsidRPr="00D66584">
              <w:rPr>
                <w:b/>
                <w:bCs/>
              </w:rPr>
              <w:t xml:space="preserve"> Expansion</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C39D43D"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19011E2" w14:textId="77777777" w:rsidR="00E135A0" w:rsidRPr="00D66584" w:rsidRDefault="00000000">
            <w:r w:rsidRPr="00D66584">
              <w:t xml:space="preserve"> </w:t>
            </w:r>
          </w:p>
        </w:tc>
      </w:tr>
      <w:tr w:rsidR="00E135A0" w:rsidRPr="00D66584" w14:paraId="301BA110"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1AFCFB3"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0BFB0AA" w14:textId="77777777" w:rsidR="00E135A0" w:rsidRPr="00D66584" w:rsidRDefault="00000000">
            <w:r w:rsidRPr="00D66584">
              <w:t>n</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4E92ACB" w14:textId="77777777" w:rsidR="00E135A0" w:rsidRPr="00D66584" w:rsidRDefault="00000000">
            <w:r w:rsidRPr="00D66584">
              <w:t>56</w:t>
            </w:r>
          </w:p>
        </w:tc>
      </w:tr>
      <w:tr w:rsidR="00E135A0" w:rsidRPr="00D66584" w14:paraId="1905B3E6"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EFEAB45"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AFD4257" w14:textId="77777777" w:rsidR="00E135A0" w:rsidRPr="00D66584" w:rsidRDefault="00000000">
            <w:r w:rsidRPr="00D66584">
              <w:t xml:space="preserve">mean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0E7005C" w14:textId="77777777" w:rsidR="00E135A0" w:rsidRPr="00D66584" w:rsidRDefault="00000000">
            <w:r w:rsidRPr="00D66584">
              <w:t>40</w:t>
            </w:r>
          </w:p>
        </w:tc>
      </w:tr>
      <w:tr w:rsidR="00E135A0" w:rsidRPr="00D66584" w14:paraId="63F95150"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AD3364E"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3D70734" w14:textId="77777777" w:rsidR="00E135A0" w:rsidRPr="00D66584" w:rsidRDefault="00000000">
            <w:r w:rsidRPr="00D66584">
              <w:t>STD</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B3C50EC" w14:textId="77777777" w:rsidR="00E135A0" w:rsidRPr="00D66584" w:rsidRDefault="00000000">
            <w:r w:rsidRPr="00D66584">
              <w:t>42.1</w:t>
            </w:r>
          </w:p>
        </w:tc>
      </w:tr>
      <w:tr w:rsidR="00E135A0" w:rsidRPr="00D66584" w14:paraId="6C34208C"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EB15342"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3D40C14" w14:textId="77777777" w:rsidR="00E135A0" w:rsidRPr="00D66584" w:rsidRDefault="00000000">
            <w:r w:rsidRPr="00D66584">
              <w:t xml:space="preserve">Median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8E033E9" w14:textId="77777777" w:rsidR="00E135A0" w:rsidRPr="00D66584" w:rsidRDefault="00000000">
            <w:r w:rsidRPr="00D66584">
              <w:t>23.5</w:t>
            </w:r>
          </w:p>
        </w:tc>
      </w:tr>
      <w:tr w:rsidR="00E135A0" w:rsidRPr="00D66584" w14:paraId="67292E63"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6D18FD3"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08759F5" w14:textId="77777777" w:rsidR="00E135A0" w:rsidRPr="00D66584" w:rsidRDefault="00000000">
            <w:r w:rsidRPr="00D66584">
              <w:t>Range (Min-Max)</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392F0B4" w14:textId="77777777" w:rsidR="00E135A0" w:rsidRPr="00D66584" w:rsidRDefault="00000000">
            <w:r w:rsidRPr="00D66584">
              <w:t>6 to 213</w:t>
            </w:r>
          </w:p>
        </w:tc>
      </w:tr>
      <w:tr w:rsidR="00E135A0" w:rsidRPr="00D66584" w14:paraId="532D939C"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1E575B1"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AE0C617"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C1C4270" w14:textId="77777777" w:rsidR="00E135A0" w:rsidRPr="00D66584" w:rsidRDefault="00000000">
            <w:r w:rsidRPr="00D66584">
              <w:t xml:space="preserve"> </w:t>
            </w:r>
          </w:p>
        </w:tc>
      </w:tr>
      <w:tr w:rsidR="00E135A0" w:rsidRPr="00D66584" w14:paraId="4A274D14"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684A81C" w14:textId="77777777" w:rsidR="00E135A0" w:rsidRPr="00D66584" w:rsidRDefault="00000000">
            <w:r w:rsidRPr="00D66584">
              <w:rPr>
                <w:b/>
              </w:rPr>
              <w:t>Toxicity Stopping Rule for Dose Expansion</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A31E4E1"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7267A1B" w14:textId="77777777" w:rsidR="00E135A0" w:rsidRPr="00D66584" w:rsidRDefault="00000000">
            <w:r w:rsidRPr="00D66584">
              <w:t xml:space="preserve"> </w:t>
            </w:r>
          </w:p>
        </w:tc>
      </w:tr>
      <w:tr w:rsidR="00E135A0" w:rsidRPr="00D66584" w14:paraId="312D22E8"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0C4C7FD"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83918F0" w14:textId="77777777" w:rsidR="00E135A0" w:rsidRPr="00D66584" w:rsidRDefault="00000000">
            <w:r w:rsidRPr="00D66584">
              <w:t>Yes</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17E9BD5" w14:textId="77777777" w:rsidR="00E135A0" w:rsidRPr="00D66584" w:rsidRDefault="00000000">
            <w:r w:rsidRPr="00D66584">
              <w:t>15 (11.8%)</w:t>
            </w:r>
          </w:p>
        </w:tc>
      </w:tr>
      <w:tr w:rsidR="00E135A0" w:rsidRPr="00D66584" w14:paraId="5F693CBD"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BA0E0AB"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5D7D769" w14:textId="77777777" w:rsidR="00E135A0" w:rsidRPr="00D66584" w:rsidRDefault="00000000">
            <w:r w:rsidRPr="00D66584">
              <w:t>No</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46FC86F" w14:textId="77777777" w:rsidR="00E135A0" w:rsidRPr="00D66584" w:rsidRDefault="00000000">
            <w:r w:rsidRPr="00D66584">
              <w:t>112 (88.2%)</w:t>
            </w:r>
          </w:p>
        </w:tc>
      </w:tr>
      <w:tr w:rsidR="00E135A0" w:rsidRPr="00D66584" w14:paraId="5B0BAC04"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34C0682"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6A29FFC"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7E082ED" w14:textId="77777777" w:rsidR="00E135A0" w:rsidRPr="00D66584" w:rsidRDefault="00000000">
            <w:r w:rsidRPr="00D66584">
              <w:t xml:space="preserve"> </w:t>
            </w:r>
          </w:p>
        </w:tc>
      </w:tr>
      <w:tr w:rsidR="00E135A0" w:rsidRPr="00D66584" w14:paraId="054E6088"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9D30133" w14:textId="77777777" w:rsidR="00E135A0" w:rsidRPr="00D66584" w:rsidRDefault="00000000">
            <w:r w:rsidRPr="00D66584">
              <w:rPr>
                <w:b/>
              </w:rPr>
              <w:t>Phase II</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EE1E302"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ACEA9A2" w14:textId="77777777" w:rsidR="00E135A0" w:rsidRPr="00D66584" w:rsidRDefault="00000000">
            <w:r w:rsidRPr="00D66584">
              <w:t xml:space="preserve"> </w:t>
            </w:r>
          </w:p>
        </w:tc>
      </w:tr>
      <w:tr w:rsidR="00E135A0" w:rsidRPr="00D66584" w14:paraId="5C38642E"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AD9E91F"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4D10815" w14:textId="77777777" w:rsidR="00E135A0" w:rsidRPr="00D66584" w:rsidRDefault="00000000">
            <w:r w:rsidRPr="00D66584">
              <w:t>Yes</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22FBB7C" w14:textId="77777777" w:rsidR="00E135A0" w:rsidRPr="00D66584" w:rsidRDefault="00000000">
            <w:r w:rsidRPr="00D66584">
              <w:t>50 (39.3%)</w:t>
            </w:r>
          </w:p>
        </w:tc>
      </w:tr>
      <w:tr w:rsidR="00E135A0" w:rsidRPr="00D66584" w14:paraId="3AC8D4E4"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A681445"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5DE99ED" w14:textId="77777777" w:rsidR="00E135A0" w:rsidRPr="00D66584" w:rsidRDefault="00000000">
            <w:r w:rsidRPr="00D66584">
              <w:t>No</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7C3BA24" w14:textId="77777777" w:rsidR="00E135A0" w:rsidRPr="00D66584" w:rsidRDefault="00000000">
            <w:r w:rsidRPr="00D66584">
              <w:t>77 (60.7%)</w:t>
            </w:r>
          </w:p>
        </w:tc>
      </w:tr>
      <w:tr w:rsidR="00E135A0" w:rsidRPr="00D66584" w14:paraId="6482021C"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59BF230"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AA70098"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3CE82F0" w14:textId="77777777" w:rsidR="00E135A0" w:rsidRPr="00D66584" w:rsidRDefault="00000000">
            <w:r w:rsidRPr="00D66584">
              <w:t xml:space="preserve"> </w:t>
            </w:r>
          </w:p>
        </w:tc>
      </w:tr>
      <w:tr w:rsidR="00E135A0" w:rsidRPr="00D66584" w14:paraId="788B0380"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A97CC9A" w14:textId="77777777" w:rsidR="00E135A0" w:rsidRPr="00D66584" w:rsidRDefault="00000000">
            <w:r w:rsidRPr="00D66584">
              <w:rPr>
                <w:b/>
              </w:rPr>
              <w:t>Sample Size Phase II</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C912761" w14:textId="77777777" w:rsidR="00E135A0" w:rsidRPr="00D66584" w:rsidRDefault="00000000">
            <w:r w:rsidRPr="00D66584">
              <w:t xml:space="preserve">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7A0A29C" w14:textId="77777777" w:rsidR="00E135A0" w:rsidRPr="00D66584" w:rsidRDefault="00000000">
            <w:r w:rsidRPr="00D66584">
              <w:t xml:space="preserve"> </w:t>
            </w:r>
          </w:p>
        </w:tc>
      </w:tr>
      <w:tr w:rsidR="00E135A0" w:rsidRPr="00D66584" w14:paraId="26A833C7"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812349F"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3D7979A0" w14:textId="77777777" w:rsidR="00E135A0" w:rsidRPr="00D66584" w:rsidRDefault="00000000">
            <w:r w:rsidRPr="00D66584">
              <w:t>n</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83BBC00" w14:textId="77777777" w:rsidR="00E135A0" w:rsidRPr="00D66584" w:rsidRDefault="00000000">
            <w:r w:rsidRPr="00D66584">
              <w:t>45</w:t>
            </w:r>
          </w:p>
        </w:tc>
      </w:tr>
      <w:tr w:rsidR="00E135A0" w:rsidRPr="00D66584" w14:paraId="795D7F0F"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DD722CD"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15ECD37" w14:textId="77777777" w:rsidR="00E135A0" w:rsidRPr="00D66584" w:rsidRDefault="00000000">
            <w:r w:rsidRPr="00D66584">
              <w:t xml:space="preserve">mean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CF3A068" w14:textId="77777777" w:rsidR="00E135A0" w:rsidRPr="00D66584" w:rsidRDefault="00000000">
            <w:r w:rsidRPr="00D66584">
              <w:t>41.96</w:t>
            </w:r>
          </w:p>
        </w:tc>
      </w:tr>
      <w:tr w:rsidR="00E135A0" w:rsidRPr="00D66584" w14:paraId="3B4C05DA"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12E05505"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32A49F4" w14:textId="77777777" w:rsidR="00E135A0" w:rsidRPr="00D66584" w:rsidRDefault="00000000">
            <w:r w:rsidRPr="00D66584">
              <w:t>STD</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4863E4C4" w14:textId="77777777" w:rsidR="00E135A0" w:rsidRPr="00D66584" w:rsidRDefault="00000000">
            <w:r w:rsidRPr="00D66584">
              <w:t>45.27</w:t>
            </w:r>
          </w:p>
        </w:tc>
      </w:tr>
      <w:tr w:rsidR="00E135A0" w:rsidRPr="00D66584" w14:paraId="553C7E20"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6E893D15"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1F93402" w14:textId="77777777" w:rsidR="00E135A0" w:rsidRPr="00D66584" w:rsidRDefault="00000000">
            <w:r w:rsidRPr="00D66584">
              <w:t xml:space="preserve">Median </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704D016C" w14:textId="77777777" w:rsidR="00E135A0" w:rsidRPr="00D66584" w:rsidRDefault="00000000">
            <w:r w:rsidRPr="00D66584">
              <w:t>28</w:t>
            </w:r>
          </w:p>
        </w:tc>
      </w:tr>
      <w:tr w:rsidR="00E135A0" w:rsidRPr="00D66584" w14:paraId="674356A8" w14:textId="77777777" w:rsidTr="00437D4D">
        <w:trPr>
          <w:trHeight w:val="415"/>
        </w:trPr>
        <w:tc>
          <w:tcPr>
            <w:tcW w:w="4680" w:type="dxa"/>
            <w:tcBorders>
              <w:top w:val="nil"/>
              <w:left w:val="single" w:sz="3" w:space="0" w:color="000000" w:themeColor="text1"/>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0CBF6F10" w14:textId="77777777" w:rsidR="00E135A0" w:rsidRPr="00D66584" w:rsidRDefault="00000000">
            <w:r w:rsidRPr="00D66584">
              <w:rPr>
                <w:b/>
              </w:rPr>
              <w:t xml:space="preserve"> </w:t>
            </w:r>
          </w:p>
        </w:tc>
        <w:tc>
          <w:tcPr>
            <w:tcW w:w="234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27147FB2" w14:textId="77777777" w:rsidR="00E135A0" w:rsidRPr="00D66584" w:rsidRDefault="00000000">
            <w:r w:rsidRPr="00D66584">
              <w:t>Range (Min-Max)</w:t>
            </w:r>
          </w:p>
        </w:tc>
        <w:tc>
          <w:tcPr>
            <w:tcW w:w="1530" w:type="dxa"/>
            <w:tcBorders>
              <w:top w:val="nil"/>
              <w:left w:val="nil"/>
              <w:bottom w:val="single" w:sz="3" w:space="0" w:color="000000" w:themeColor="text1"/>
              <w:right w:val="single" w:sz="3" w:space="0" w:color="000000" w:themeColor="text1"/>
            </w:tcBorders>
            <w:shd w:val="clear" w:color="auto" w:fill="auto"/>
            <w:tcMar>
              <w:top w:w="20" w:type="dxa"/>
              <w:left w:w="20" w:type="dxa"/>
              <w:bottom w:w="100" w:type="dxa"/>
              <w:right w:w="20" w:type="dxa"/>
            </w:tcMar>
            <w:vAlign w:val="bottom"/>
          </w:tcPr>
          <w:p w14:paraId="5873A30F" w14:textId="77777777" w:rsidR="00E135A0" w:rsidRPr="00D66584" w:rsidRDefault="00000000">
            <w:r w:rsidRPr="00D66584">
              <w:t>6 to 213</w:t>
            </w:r>
          </w:p>
        </w:tc>
      </w:tr>
    </w:tbl>
    <w:p w14:paraId="1D604D90" w14:textId="77777777" w:rsidR="00E135A0" w:rsidRDefault="00E135A0"/>
    <w:p w14:paraId="61669CF3" w14:textId="0B4ED06B" w:rsidR="00C8230E" w:rsidRPr="00C8230E" w:rsidRDefault="00C8230E">
      <w:pPr>
        <w:rPr>
          <w:b/>
          <w:bCs/>
        </w:rPr>
      </w:pPr>
      <w:r w:rsidRPr="00C8230E">
        <w:rPr>
          <w:b/>
          <w:bCs/>
        </w:rPr>
        <w:t xml:space="preserve">Figure 5. Design Methods </w:t>
      </w:r>
      <w:r>
        <w:rPr>
          <w:b/>
          <w:bCs/>
        </w:rPr>
        <w:t xml:space="preserve">and Important Parameters of </w:t>
      </w:r>
      <w:r w:rsidRPr="00C8230E">
        <w:rPr>
          <w:b/>
          <w:bCs/>
        </w:rPr>
        <w:t xml:space="preserve">Phase I Clinical Trial </w:t>
      </w:r>
    </w:p>
    <w:p w14:paraId="6A666597" w14:textId="77777777" w:rsidR="00C8230E" w:rsidRDefault="00C8230E"/>
    <w:p w14:paraId="39B5767B" w14:textId="074CA200" w:rsidR="00C8230E" w:rsidRDefault="00C8230E">
      <w:r>
        <w:rPr>
          <w:noProof/>
        </w:rPr>
        <w:drawing>
          <wp:inline distT="0" distB="0" distL="0" distR="0" wp14:anchorId="5F003916" wp14:editId="449EB2BA">
            <wp:extent cx="2723515" cy="3054485"/>
            <wp:effectExtent l="0" t="0" r="32385" b="6350"/>
            <wp:docPr id="1170687250" name="Chart 1">
              <a:extLst xmlns:a="http://schemas.openxmlformats.org/drawingml/2006/main">
                <a:ext uri="{FF2B5EF4-FFF2-40B4-BE49-F238E27FC236}">
                  <a16:creationId xmlns:a16="http://schemas.microsoft.com/office/drawing/2014/main" id="{AD35C792-2F27-F1CF-E55C-6878025AB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21EF8E14" wp14:editId="5941371B">
            <wp:extent cx="3112770" cy="2996038"/>
            <wp:effectExtent l="0" t="0" r="11430" b="13970"/>
            <wp:docPr id="1037181139" name="Chart 1">
              <a:extLst xmlns:a="http://schemas.openxmlformats.org/drawingml/2006/main">
                <a:ext uri="{FF2B5EF4-FFF2-40B4-BE49-F238E27FC236}">
                  <a16:creationId xmlns:a16="http://schemas.microsoft.com/office/drawing/2014/main" id="{ADA02ABB-58CF-E28E-DC17-3007E4006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51D9F7" w14:textId="77777777" w:rsidR="00C8230E" w:rsidRDefault="00C8230E"/>
    <w:p w14:paraId="0239F0C7" w14:textId="77777777" w:rsidR="00C8230E" w:rsidRDefault="00C8230E"/>
    <w:p w14:paraId="2B0B1BF9" w14:textId="77777777" w:rsidR="00C8230E" w:rsidRDefault="00C8230E"/>
    <w:p w14:paraId="49351EA2" w14:textId="043F7EE6" w:rsidR="00C8230E" w:rsidRDefault="00C8230E">
      <w:r>
        <w:rPr>
          <w:noProof/>
        </w:rPr>
        <mc:AlternateContent>
          <mc:Choice Requires="cx1">
            <w:drawing>
              <wp:inline distT="0" distB="0" distL="0" distR="0" wp14:anchorId="7596F742" wp14:editId="4EF6E0C0">
                <wp:extent cx="2752928" cy="3978613"/>
                <wp:effectExtent l="0" t="0" r="3175" b="9525"/>
                <wp:docPr id="454420660" name="Chart 1">
                  <a:extLst xmlns:a="http://schemas.openxmlformats.org/drawingml/2006/main">
                    <a:ext uri="{FF2B5EF4-FFF2-40B4-BE49-F238E27FC236}">
                      <a16:creationId xmlns:a16="http://schemas.microsoft.com/office/drawing/2014/main" id="{7E70E9DB-591F-60D7-FD55-CFCEA91BCD4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7596F742" wp14:editId="4EF6E0C0">
                <wp:extent cx="2752928" cy="3978613"/>
                <wp:effectExtent l="0" t="0" r="3175" b="9525"/>
                <wp:docPr id="454420660" name="Chart 1">
                  <a:extLst xmlns:a="http://schemas.openxmlformats.org/drawingml/2006/main">
                    <a:ext uri="{FF2B5EF4-FFF2-40B4-BE49-F238E27FC236}">
                      <a16:creationId xmlns:a16="http://schemas.microsoft.com/office/drawing/2014/main" id="{7E70E9DB-591F-60D7-FD55-CFCEA91BCD4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54420660" name="Chart 1">
                          <a:extLst>
                            <a:ext uri="{FF2B5EF4-FFF2-40B4-BE49-F238E27FC236}">
                              <a16:creationId xmlns:a16="http://schemas.microsoft.com/office/drawing/2014/main" id="{7E70E9DB-591F-60D7-FD55-CFCEA91BCD48}"/>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2752725" cy="3978275"/>
                        </a:xfrm>
                        <a:prstGeom prst="rect">
                          <a:avLst/>
                        </a:prstGeom>
                      </pic:spPr>
                    </pic:pic>
                  </a:graphicData>
                </a:graphic>
              </wp:inline>
            </w:drawing>
          </mc:Fallback>
        </mc:AlternateContent>
      </w:r>
      <w:r>
        <w:t xml:space="preserve">  </w:t>
      </w:r>
      <w:r>
        <w:rPr>
          <w:noProof/>
        </w:rPr>
        <mc:AlternateContent>
          <mc:Choice Requires="cx1">
            <w:drawing>
              <wp:inline distT="0" distB="0" distL="0" distR="0" wp14:anchorId="42F0FB82" wp14:editId="6E4FCED1">
                <wp:extent cx="2840477" cy="3968088"/>
                <wp:effectExtent l="0" t="0" r="4445" b="7620"/>
                <wp:docPr id="93240144" name="Chart 1">
                  <a:extLst xmlns:a="http://schemas.openxmlformats.org/drawingml/2006/main">
                    <a:ext uri="{FF2B5EF4-FFF2-40B4-BE49-F238E27FC236}">
                      <a16:creationId xmlns:a16="http://schemas.microsoft.com/office/drawing/2014/main" id="{CAC75852-DF1F-CD06-54F8-1292655E92A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42F0FB82" wp14:editId="6E4FCED1">
                <wp:extent cx="2840477" cy="3968088"/>
                <wp:effectExtent l="0" t="0" r="4445" b="7620"/>
                <wp:docPr id="93240144" name="Chart 1">
                  <a:extLst xmlns:a="http://schemas.openxmlformats.org/drawingml/2006/main">
                    <a:ext uri="{FF2B5EF4-FFF2-40B4-BE49-F238E27FC236}">
                      <a16:creationId xmlns:a16="http://schemas.microsoft.com/office/drawing/2014/main" id="{CAC75852-DF1F-CD06-54F8-1292655E92A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3240144" name="Chart 1">
                          <a:extLst>
                            <a:ext uri="{FF2B5EF4-FFF2-40B4-BE49-F238E27FC236}">
                              <a16:creationId xmlns:a16="http://schemas.microsoft.com/office/drawing/2014/main" id="{CAC75852-DF1F-CD06-54F8-1292655E92AD}"/>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2840355" cy="3967480"/>
                        </a:xfrm>
                        <a:prstGeom prst="rect">
                          <a:avLst/>
                        </a:prstGeom>
                      </pic:spPr>
                    </pic:pic>
                  </a:graphicData>
                </a:graphic>
              </wp:inline>
            </w:drawing>
          </mc:Fallback>
        </mc:AlternateContent>
      </w:r>
    </w:p>
    <w:p w14:paraId="6D7AA0B1" w14:textId="77777777" w:rsidR="00C8230E" w:rsidRPr="00D66584" w:rsidRDefault="00C8230E"/>
    <w:p w14:paraId="128C61AF" w14:textId="77777777" w:rsidR="00E135A0" w:rsidRDefault="00000000" w:rsidP="120330C2">
      <w:r w:rsidRPr="00D66584">
        <w:t xml:space="preserve">The majority of studies involved a combination drug (52.8%) while 32.3% of studies used a single drug and 7.9% of studies involved both combination and single drugs. Most studies had a dose escalation stage (62.2%) which most commonly used a 3+3 dose escalation design (57.4%). Other designs used in dose escalation include sequential assignment (60.0%), parallel assignment (30.0%), EWOK (5.0%), and Rolling 6 design (5%). Most dose escalation studies did not seek to find the MTD for more than one drug (78.0%). In dose escalation studies, the mean number of dose levels was 3.66 dose levels. Even though phase I clinical trials often include both dose escalation and dose expansion stages, most studies did not include a dose expansion stage (52%) and only 11.8% of total studies had toxicity-stopping rules for dose expansion. These studies did not specify or differentiate the sample size of dose escalation from that of dose expansion, only providing the total enrollment of the study. With limited information, the mean sample size of dose escalation cohorts is 36.4 patients and the mean sample size of dose expansion cohorts is 40 patients. Most studies did not immediately follow up with a phase II trial (60.7%) in the phase I protocols. Among 45 phase II trials, the mean sample size was 41.96. </w:t>
      </w:r>
    </w:p>
    <w:p w14:paraId="2E8C3E48" w14:textId="77777777" w:rsidR="00E135A0" w:rsidRPr="00D66584" w:rsidRDefault="00E135A0"/>
    <w:p w14:paraId="407DD3B7" w14:textId="77777777" w:rsidR="00C8230E" w:rsidRDefault="00C8230E">
      <w:pPr>
        <w:rPr>
          <w:b/>
        </w:rPr>
      </w:pPr>
    </w:p>
    <w:p w14:paraId="69BE3CCB" w14:textId="77777777" w:rsidR="00C8230E" w:rsidRDefault="00C8230E">
      <w:pPr>
        <w:rPr>
          <w:b/>
        </w:rPr>
      </w:pPr>
    </w:p>
    <w:p w14:paraId="77909343" w14:textId="77777777" w:rsidR="00C8230E" w:rsidRDefault="00C8230E">
      <w:pPr>
        <w:rPr>
          <w:b/>
        </w:rPr>
      </w:pPr>
    </w:p>
    <w:p w14:paraId="553E237A" w14:textId="362FFB08" w:rsidR="00E135A0" w:rsidRPr="00D66584" w:rsidRDefault="00000000">
      <w:pPr>
        <w:rPr>
          <w:b/>
        </w:rPr>
      </w:pPr>
      <w:r w:rsidRPr="00D66584">
        <w:rPr>
          <w:b/>
        </w:rPr>
        <w:t>Conclusions</w:t>
      </w:r>
    </w:p>
    <w:p w14:paraId="4BE3D88F" w14:textId="77777777" w:rsidR="00E135A0" w:rsidRPr="00D66584" w:rsidRDefault="00E135A0">
      <w:pPr>
        <w:rPr>
          <w:b/>
        </w:rPr>
      </w:pPr>
    </w:p>
    <w:p w14:paraId="7EF7CC99" w14:textId="77777777" w:rsidR="00E135A0" w:rsidRPr="00D66584" w:rsidRDefault="00000000" w:rsidP="120330C2">
      <w:r w:rsidRPr="00D66584">
        <w:t xml:space="preserve">In the past two months of this summer internship, I have learned the importance of phase I clinical trials and how statistics </w:t>
      </w:r>
      <w:r w:rsidR="00A50A0E" w:rsidRPr="00D66584">
        <w:t>are</w:t>
      </w:r>
      <w:r w:rsidRPr="00D66584">
        <w:t xml:space="preserve"> vital in ensuring patient safety </w:t>
      </w:r>
      <w:r w:rsidR="00A50A0E" w:rsidRPr="00D66584">
        <w:t>when</w:t>
      </w:r>
      <w:r w:rsidRPr="00D66584">
        <w:t xml:space="preserve"> determining the MTD. Despite being dominated by the 3+3 design, the BOIN design stands as the most efficient and accurate dose escalation method because of its use of the Bayesian probability model which considers all observed data and previous knowledge. Additionally, the BOIN design is versatile and user-friendly, making it superior to other methods. </w:t>
      </w:r>
    </w:p>
    <w:p w14:paraId="037103F2" w14:textId="77777777" w:rsidR="00E135A0" w:rsidRPr="00D66584" w:rsidRDefault="00E135A0"/>
    <w:p w14:paraId="21B0FFDB" w14:textId="77777777" w:rsidR="00A50A0E" w:rsidRPr="00D66584" w:rsidRDefault="00A50A0E"/>
    <w:p w14:paraId="1E543D17" w14:textId="77777777" w:rsidR="00A50A0E" w:rsidRPr="00D66584" w:rsidRDefault="00A50A0E"/>
    <w:p w14:paraId="42D8C746" w14:textId="77777777" w:rsidR="00E135A0" w:rsidRPr="00D66584" w:rsidRDefault="00000000">
      <w:pPr>
        <w:rPr>
          <w:b/>
        </w:rPr>
      </w:pPr>
      <w:r w:rsidRPr="00D66584">
        <w:rPr>
          <w:b/>
        </w:rPr>
        <w:t>References</w:t>
      </w:r>
    </w:p>
    <w:p w14:paraId="1161AAAA" w14:textId="77777777" w:rsidR="00E135A0" w:rsidRPr="00D66584" w:rsidRDefault="00E135A0">
      <w:pPr>
        <w:rPr>
          <w:b/>
        </w:rPr>
      </w:pPr>
    </w:p>
    <w:p w14:paraId="39FA43DF" w14:textId="77777777" w:rsidR="00573BE2" w:rsidRPr="00D66584" w:rsidRDefault="00573BE2"/>
    <w:p w14:paraId="11BA4D2F" w14:textId="77777777" w:rsidR="003105E9" w:rsidRPr="00D66584" w:rsidRDefault="003105E9" w:rsidP="003105E9">
      <w:pPr>
        <w:numPr>
          <w:ilvl w:val="0"/>
          <w:numId w:val="2"/>
        </w:numPr>
      </w:pPr>
      <w:r w:rsidRPr="00D66584">
        <w:t xml:space="preserve">Liu S. and Yuan, Y. (2015). Bayesian optimal interval designs for phase I clinical trials, Journal of the Royal Statistical Society: Series </w:t>
      </w:r>
      <w:proofErr w:type="gramStart"/>
      <w:r w:rsidRPr="00D66584">
        <w:t>C ,</w:t>
      </w:r>
      <w:proofErr w:type="gramEnd"/>
      <w:r w:rsidRPr="00D66584">
        <w:t xml:space="preserve"> 64, 507-523.</w:t>
      </w:r>
    </w:p>
    <w:p w14:paraId="399339CE" w14:textId="77777777" w:rsidR="00E135A0" w:rsidRPr="00D66584" w:rsidRDefault="00000000" w:rsidP="120330C2">
      <w:pPr>
        <w:numPr>
          <w:ilvl w:val="0"/>
          <w:numId w:val="2"/>
        </w:numPr>
      </w:pPr>
      <w:proofErr w:type="spellStart"/>
      <w:r w:rsidRPr="00D66584">
        <w:t>Iasonos</w:t>
      </w:r>
      <w:proofErr w:type="spellEnd"/>
      <w:r w:rsidRPr="00D66584">
        <w:t xml:space="preserve"> A, Wilton AS, Riedel ER, </w:t>
      </w:r>
      <w:proofErr w:type="spellStart"/>
      <w:r w:rsidRPr="00D66584">
        <w:t>Seshan</w:t>
      </w:r>
      <w:proofErr w:type="spellEnd"/>
      <w:r w:rsidRPr="00D66584">
        <w:t xml:space="preserve"> VE, Spriggs DR. A comprehensive comparison of the continual reassessment method to the standard 3 + 3 dose escalation scheme in Phase I dose-finding studies. Clin Trials. 2008;5(5):465-77. </w:t>
      </w:r>
      <w:proofErr w:type="spellStart"/>
      <w:r w:rsidRPr="00D66584">
        <w:t>doi</w:t>
      </w:r>
      <w:proofErr w:type="spellEnd"/>
      <w:r w:rsidRPr="00D66584">
        <w:t>: 10.1177/1740774508096474. PMID: 18827039; PMCID: PMC2637378.</w:t>
      </w:r>
    </w:p>
    <w:p w14:paraId="601D65BB" w14:textId="77777777" w:rsidR="00E135A0" w:rsidRPr="00D66584" w:rsidRDefault="00000000" w:rsidP="120330C2">
      <w:pPr>
        <w:numPr>
          <w:ilvl w:val="0"/>
          <w:numId w:val="2"/>
        </w:numPr>
      </w:pPr>
      <w:r w:rsidRPr="00D66584">
        <w:t xml:space="preserve">Yuan Y, Hess KR, </w:t>
      </w:r>
      <w:proofErr w:type="spellStart"/>
      <w:r w:rsidRPr="00D66584">
        <w:t>Hilsenbeck</w:t>
      </w:r>
      <w:proofErr w:type="spellEnd"/>
      <w:r w:rsidRPr="00D66584">
        <w:t xml:space="preserve"> SG, Gilbert MR. Bayesian Optimal Interval Design: A Simple and Well-Performing Design for Phase I Oncology Trials. Clin Cancer Res. 2016 Sep 1;22(17):4291-301. </w:t>
      </w:r>
      <w:proofErr w:type="spellStart"/>
      <w:r w:rsidRPr="00D66584">
        <w:t>doi</w:t>
      </w:r>
      <w:proofErr w:type="spellEnd"/>
      <w:r w:rsidRPr="00D66584">
        <w:t xml:space="preserve">: 10.1158/1078-0432.CCR-16-0592. </w:t>
      </w:r>
      <w:proofErr w:type="spellStart"/>
      <w:r w:rsidRPr="00D66584">
        <w:t>Epub</w:t>
      </w:r>
      <w:proofErr w:type="spellEnd"/>
      <w:r w:rsidRPr="00D66584">
        <w:t xml:space="preserve"> 2016 Jul 12. PMID: 27407096; PMCID: PMC5047439.</w:t>
      </w:r>
    </w:p>
    <w:p w14:paraId="62D4A53A" w14:textId="77777777" w:rsidR="00E135A0" w:rsidRPr="00D66584" w:rsidRDefault="00000000" w:rsidP="120330C2">
      <w:pPr>
        <w:numPr>
          <w:ilvl w:val="0"/>
          <w:numId w:val="2"/>
        </w:numPr>
      </w:pPr>
      <w:r w:rsidRPr="00D66584">
        <w:t xml:space="preserve">Zhou H, Yuan Y, </w:t>
      </w:r>
      <w:proofErr w:type="spellStart"/>
      <w:r w:rsidRPr="00D66584">
        <w:t>Nie</w:t>
      </w:r>
      <w:proofErr w:type="spellEnd"/>
      <w:r w:rsidRPr="00D66584">
        <w:t xml:space="preserve"> L. Accuracy, Safety, and Reliability of Novel Phase I Trial Designs. Clin Cancer Res. 2018 Sep 15;24(18):4357-4364. </w:t>
      </w:r>
      <w:proofErr w:type="spellStart"/>
      <w:r w:rsidRPr="00D66584">
        <w:t>doi</w:t>
      </w:r>
      <w:proofErr w:type="spellEnd"/>
      <w:r w:rsidRPr="00D66584">
        <w:t xml:space="preserve">: 10.1158/1078-0432.CCR-18-0168. </w:t>
      </w:r>
      <w:proofErr w:type="spellStart"/>
      <w:r w:rsidRPr="00D66584">
        <w:t>Epub</w:t>
      </w:r>
      <w:proofErr w:type="spellEnd"/>
      <w:r w:rsidRPr="00D66584">
        <w:t xml:space="preserve"> 2018 Apr 16. PMID: 29661774.</w:t>
      </w:r>
    </w:p>
    <w:p w14:paraId="12D38A4C" w14:textId="77777777" w:rsidR="00E135A0" w:rsidRPr="00D66584" w:rsidRDefault="00000000" w:rsidP="00790ABE">
      <w:pPr>
        <w:numPr>
          <w:ilvl w:val="0"/>
          <w:numId w:val="2"/>
        </w:numPr>
      </w:pPr>
      <w:r w:rsidRPr="00D66584">
        <w:lastRenderedPageBreak/>
        <w:t xml:space="preserve">Cabrera, J. R., Taylor, J. W., &amp; Molinaro, A. M. (2016). Phase I cancer clinical trials†. Neuro-Oncology Practice, 4(1), 67–72. </w:t>
      </w:r>
    </w:p>
    <w:p w14:paraId="586D527C" w14:textId="77777777" w:rsidR="00E135A0" w:rsidRPr="00D66584" w:rsidRDefault="00000000" w:rsidP="120330C2">
      <w:pPr>
        <w:numPr>
          <w:ilvl w:val="0"/>
          <w:numId w:val="2"/>
        </w:numPr>
      </w:pPr>
      <w:r w:rsidRPr="00D66584">
        <w:t xml:space="preserve">Wheeler, G.M., </w:t>
      </w:r>
      <w:proofErr w:type="spellStart"/>
      <w:r w:rsidRPr="00D66584">
        <w:t>Mander</w:t>
      </w:r>
      <w:proofErr w:type="spellEnd"/>
      <w:r w:rsidRPr="00D66584">
        <w:t xml:space="preserve">, A.P., Bedding, A. et al. How to design a dose-finding study using the continual reassessment method. BMC Med Res </w:t>
      </w:r>
      <w:proofErr w:type="spellStart"/>
      <w:r w:rsidRPr="00D66584">
        <w:t>Methodol</w:t>
      </w:r>
      <w:proofErr w:type="spellEnd"/>
      <w:r w:rsidRPr="00D66584">
        <w:t xml:space="preserve"> 19, 18 (2019). </w:t>
      </w:r>
    </w:p>
    <w:p w14:paraId="750246D2" w14:textId="77777777" w:rsidR="00E135A0" w:rsidRPr="00D66584" w:rsidRDefault="00000000" w:rsidP="00790ABE">
      <w:pPr>
        <w:numPr>
          <w:ilvl w:val="0"/>
          <w:numId w:val="2"/>
        </w:numPr>
      </w:pPr>
      <w:r w:rsidRPr="00D66584">
        <w:t xml:space="preserve">Hess, K.R., </w:t>
      </w:r>
      <w:proofErr w:type="spellStart"/>
      <w:r w:rsidRPr="00D66584">
        <w:t>Fellman</w:t>
      </w:r>
      <w:proofErr w:type="spellEnd"/>
      <w:r w:rsidRPr="00D66584">
        <w:t xml:space="preserve">, B.M. (2020). Examining Performance of Phase I Designs: 3+3 Versus Bayesian Optimal Interval (BOIN). In: Yap, T.A., Rodon, J., Hong, D.S. (eds) Phase I Oncology Drug Development. </w:t>
      </w:r>
    </w:p>
    <w:p w14:paraId="7363D614" w14:textId="77777777" w:rsidR="00E135A0" w:rsidRPr="00D66584" w:rsidRDefault="00000000" w:rsidP="120330C2">
      <w:pPr>
        <w:numPr>
          <w:ilvl w:val="0"/>
          <w:numId w:val="2"/>
        </w:numPr>
      </w:pPr>
      <w:r w:rsidRPr="00D66584">
        <w:t xml:space="preserve">Ji Y, Wang SJ. Modified toxicity probability interval design: a safer and more reliable method than the 3 + 3 design for practical phase I trials. J Clin Oncol. 2013 May 10;31(14):1785-91. </w:t>
      </w:r>
      <w:proofErr w:type="spellStart"/>
      <w:r w:rsidRPr="00D66584">
        <w:t>doi</w:t>
      </w:r>
      <w:proofErr w:type="spellEnd"/>
      <w:r w:rsidRPr="00D66584">
        <w:t xml:space="preserve">: 10.1200/JCO.2012.45.7903. </w:t>
      </w:r>
      <w:proofErr w:type="spellStart"/>
      <w:r w:rsidRPr="00D66584">
        <w:t>Epub</w:t>
      </w:r>
      <w:proofErr w:type="spellEnd"/>
      <w:r w:rsidRPr="00D66584">
        <w:t xml:space="preserve"> 2013 Apr 8. PMID: 23569307; PMCID: PMC3641699.</w:t>
      </w:r>
    </w:p>
    <w:p w14:paraId="5818BDC4" w14:textId="77777777" w:rsidR="00790ABE" w:rsidRPr="00D66584" w:rsidRDefault="00790ABE" w:rsidP="00790ABE">
      <w:pPr>
        <w:numPr>
          <w:ilvl w:val="0"/>
          <w:numId w:val="2"/>
        </w:numPr>
      </w:pPr>
      <w:r w:rsidRPr="00D66584">
        <w:t xml:space="preserve">Kim, Guowei &amp; Tan, Hon &amp; Chen, </w:t>
      </w:r>
      <w:proofErr w:type="spellStart"/>
      <w:r w:rsidRPr="00D66584">
        <w:t>Elya</w:t>
      </w:r>
      <w:proofErr w:type="spellEnd"/>
      <w:r w:rsidRPr="00D66584">
        <w:t xml:space="preserve"> &amp; Teo, </w:t>
      </w:r>
      <w:proofErr w:type="spellStart"/>
      <w:r w:rsidRPr="00D66584">
        <w:t>Siok</w:t>
      </w:r>
      <w:proofErr w:type="spellEnd"/>
      <w:r w:rsidRPr="00D66584">
        <w:t xml:space="preserve"> &amp; Jang, Clarisse &amp; Ho, </w:t>
      </w:r>
      <w:proofErr w:type="spellStart"/>
      <w:r w:rsidRPr="00D66584">
        <w:t>Jingshan</w:t>
      </w:r>
      <w:proofErr w:type="spellEnd"/>
      <w:r w:rsidRPr="00D66584">
        <w:t xml:space="preserve"> &amp; Ang, Yvonne &amp; </w:t>
      </w:r>
      <w:proofErr w:type="spellStart"/>
      <w:r w:rsidRPr="00D66584">
        <w:t>Ngoi</w:t>
      </w:r>
      <w:proofErr w:type="spellEnd"/>
      <w:r w:rsidRPr="00D66584">
        <w:t xml:space="preserve">, Natalie &amp; Chee, Cheng &amp; Lieske, Bettina &amp; Shabbir, Asim &amp; Wang, </w:t>
      </w:r>
      <w:proofErr w:type="spellStart"/>
      <w:r w:rsidRPr="00D66584">
        <w:t>Lingzhi</w:t>
      </w:r>
      <w:proofErr w:type="spellEnd"/>
      <w:r w:rsidRPr="00D66584">
        <w:t xml:space="preserve"> &amp; So, Jimmy &amp; Yong, Wei. (2018). Study protocol: phase 1 dose escalating study of Pressurized Intra-Peritoneal Aerosol Chemotherapy (PIPAC) with oxaliplatin in peritoneal metastasis. Pleura and Peritoneum. 3. 10.1515/pp-2018-0118.</w:t>
      </w:r>
    </w:p>
    <w:p w14:paraId="4834F5D3" w14:textId="77777777" w:rsidR="00790ABE" w:rsidRPr="00D66584" w:rsidRDefault="00000000" w:rsidP="00790ABE">
      <w:pPr>
        <w:numPr>
          <w:ilvl w:val="0"/>
          <w:numId w:val="2"/>
        </w:numPr>
      </w:pPr>
      <w:hyperlink r:id="rId22" w:history="1">
        <w:r w:rsidR="00790ABE" w:rsidRPr="00D66584">
          <w:t>https://biostatistics.mdanderson.org/SoftwareDownload/SingleSoftware/Index/72</w:t>
        </w:r>
      </w:hyperlink>
    </w:p>
    <w:p w14:paraId="797FB4AE" w14:textId="2C21801C" w:rsidR="00573BE2" w:rsidRPr="00D66584" w:rsidRDefault="00000000" w:rsidP="00790ABE">
      <w:pPr>
        <w:numPr>
          <w:ilvl w:val="0"/>
          <w:numId w:val="2"/>
        </w:numPr>
      </w:pPr>
      <w:hyperlink r:id="rId23" w:history="1">
        <w:r w:rsidR="00790ABE" w:rsidRPr="00D66584">
          <w:t>https://www.precisionformedicine.com/blog/phase-i-clinical-trial-designs-bayesian-optimal-interval-design-boin/</w:t>
        </w:r>
      </w:hyperlink>
    </w:p>
    <w:p w14:paraId="2BAC27CC" w14:textId="1C3C8F3C" w:rsidR="003105E9" w:rsidRPr="00D66584" w:rsidRDefault="003105E9" w:rsidP="003105E9">
      <w:pPr>
        <w:numPr>
          <w:ilvl w:val="0"/>
          <w:numId w:val="2"/>
        </w:numPr>
      </w:pPr>
      <w:r w:rsidRPr="00D66584">
        <w:t xml:space="preserve">Le Tourneau C, Lee JJ, Siu LL. Dose escalation methods in phase I cancer clinical trials. J Natl Cancer Inst. 2009 May 20;101(10):708-20. </w:t>
      </w:r>
      <w:proofErr w:type="spellStart"/>
      <w:r w:rsidRPr="00D66584">
        <w:t>doi</w:t>
      </w:r>
      <w:proofErr w:type="spellEnd"/>
      <w:r w:rsidRPr="00D66584">
        <w:t>: 10.1093/</w:t>
      </w:r>
      <w:proofErr w:type="spellStart"/>
      <w:r w:rsidRPr="00D66584">
        <w:t>jnci</w:t>
      </w:r>
      <w:proofErr w:type="spellEnd"/>
      <w:r w:rsidRPr="00D66584">
        <w:t xml:space="preserve">/djp079. </w:t>
      </w:r>
      <w:proofErr w:type="spellStart"/>
      <w:r w:rsidRPr="00D66584">
        <w:t>Epub</w:t>
      </w:r>
      <w:proofErr w:type="spellEnd"/>
      <w:r w:rsidRPr="00D66584">
        <w:t xml:space="preserve"> 2009 May 12. PMID: 19436029; PMCID: PMC2684552.</w:t>
      </w:r>
    </w:p>
    <w:p w14:paraId="62C766B0" w14:textId="77777777" w:rsidR="003105E9" w:rsidRPr="00D66584" w:rsidRDefault="003105E9" w:rsidP="003105E9">
      <w:pPr>
        <w:ind w:left="360"/>
        <w:rPr>
          <w:color w:val="0000FF"/>
          <w:u w:val="single"/>
        </w:rPr>
      </w:pPr>
    </w:p>
    <w:p w14:paraId="6CE7EE5E" w14:textId="77777777" w:rsidR="00C8230E" w:rsidRDefault="00C8230E" w:rsidP="00573BE2">
      <w:pPr>
        <w:rPr>
          <w:color w:val="0000FF"/>
          <w:u w:val="single"/>
        </w:rPr>
      </w:pPr>
    </w:p>
    <w:p w14:paraId="01CE6DC6" w14:textId="77777777" w:rsidR="00C8230E" w:rsidRDefault="00C8230E" w:rsidP="00C8230E">
      <w:pPr>
        <w:ind w:left="360"/>
        <w:rPr>
          <w:b/>
          <w:bCs/>
        </w:rPr>
      </w:pPr>
    </w:p>
    <w:p w14:paraId="7F6F67ED" w14:textId="13C4D93B" w:rsidR="00573BE2" w:rsidRPr="00C8230E" w:rsidRDefault="00C8230E" w:rsidP="00C8230E">
      <w:pPr>
        <w:ind w:left="360"/>
        <w:rPr>
          <w:b/>
          <w:bCs/>
        </w:rPr>
      </w:pPr>
      <w:r w:rsidRPr="00C8230E">
        <w:rPr>
          <w:b/>
          <w:bCs/>
        </w:rPr>
        <w:t>Appendix I</w:t>
      </w:r>
    </w:p>
    <w:p w14:paraId="13E8C56D" w14:textId="77777777" w:rsidR="00573BE2" w:rsidRPr="00D66584" w:rsidRDefault="00573BE2" w:rsidP="00790ABE">
      <w:pPr>
        <w:ind w:left="360"/>
      </w:pPr>
    </w:p>
    <w:p w14:paraId="27999F81" w14:textId="77777777" w:rsidR="002A3BB4" w:rsidRPr="00D66584" w:rsidRDefault="002A3BB4" w:rsidP="00790ABE">
      <w:pPr>
        <w:ind w:left="360"/>
      </w:pPr>
    </w:p>
    <w:p w14:paraId="36DD7C2E" w14:textId="4158433B" w:rsidR="002A3BB4" w:rsidRPr="00D66584" w:rsidRDefault="002A3BB4" w:rsidP="002A3BB4">
      <w:pPr>
        <w:jc w:val="center"/>
        <w:rPr>
          <w:b/>
        </w:rPr>
      </w:pPr>
      <w:r w:rsidRPr="00D66584">
        <w:rPr>
          <w:b/>
        </w:rPr>
        <w:t xml:space="preserve"> Glossary of Terms </w:t>
      </w:r>
    </w:p>
    <w:p w14:paraId="69F1D244" w14:textId="77777777" w:rsidR="002A3BB4" w:rsidRPr="00D66584" w:rsidRDefault="002A3BB4" w:rsidP="002A3BB4">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A3BB4" w:rsidRPr="00D66584" w14:paraId="300F9D3E" w14:textId="77777777" w:rsidTr="00104EB2">
        <w:tc>
          <w:tcPr>
            <w:tcW w:w="4680" w:type="dxa"/>
            <w:shd w:val="clear" w:color="auto" w:fill="auto"/>
            <w:tcMar>
              <w:top w:w="100" w:type="dxa"/>
              <w:left w:w="100" w:type="dxa"/>
              <w:bottom w:w="100" w:type="dxa"/>
              <w:right w:w="100" w:type="dxa"/>
            </w:tcMar>
          </w:tcPr>
          <w:p w14:paraId="7D1C6792" w14:textId="77777777" w:rsidR="002A3BB4" w:rsidRPr="00D66584" w:rsidRDefault="002A3BB4" w:rsidP="00104EB2">
            <w:pPr>
              <w:widowControl w:val="0"/>
              <w:pBdr>
                <w:top w:val="nil"/>
                <w:left w:val="nil"/>
                <w:bottom w:val="nil"/>
                <w:right w:val="nil"/>
                <w:between w:val="nil"/>
              </w:pBdr>
              <w:rPr>
                <w:b/>
              </w:rPr>
            </w:pPr>
            <w:r w:rsidRPr="00D66584">
              <w:rPr>
                <w:b/>
              </w:rPr>
              <w:t>Term</w:t>
            </w:r>
          </w:p>
        </w:tc>
        <w:tc>
          <w:tcPr>
            <w:tcW w:w="4680" w:type="dxa"/>
            <w:shd w:val="clear" w:color="auto" w:fill="auto"/>
            <w:tcMar>
              <w:top w:w="100" w:type="dxa"/>
              <w:left w:w="100" w:type="dxa"/>
              <w:bottom w:w="100" w:type="dxa"/>
              <w:right w:w="100" w:type="dxa"/>
            </w:tcMar>
          </w:tcPr>
          <w:p w14:paraId="45BE4952" w14:textId="77777777" w:rsidR="002A3BB4" w:rsidRPr="00D66584" w:rsidRDefault="002A3BB4" w:rsidP="00104EB2">
            <w:pPr>
              <w:widowControl w:val="0"/>
              <w:pBdr>
                <w:top w:val="nil"/>
                <w:left w:val="nil"/>
                <w:bottom w:val="nil"/>
                <w:right w:val="nil"/>
                <w:between w:val="nil"/>
              </w:pBdr>
              <w:rPr>
                <w:b/>
              </w:rPr>
            </w:pPr>
            <w:r w:rsidRPr="00D66584">
              <w:rPr>
                <w:b/>
              </w:rPr>
              <w:t>Definition</w:t>
            </w:r>
          </w:p>
        </w:tc>
      </w:tr>
      <w:tr w:rsidR="002A3BB4" w:rsidRPr="00D66584" w14:paraId="159CAFED" w14:textId="77777777" w:rsidTr="00104EB2">
        <w:tc>
          <w:tcPr>
            <w:tcW w:w="4680" w:type="dxa"/>
            <w:shd w:val="clear" w:color="auto" w:fill="auto"/>
            <w:tcMar>
              <w:top w:w="100" w:type="dxa"/>
              <w:left w:w="100" w:type="dxa"/>
              <w:bottom w:w="100" w:type="dxa"/>
              <w:right w:w="100" w:type="dxa"/>
            </w:tcMar>
          </w:tcPr>
          <w:p w14:paraId="62100DD1" w14:textId="77777777" w:rsidR="002A3BB4" w:rsidRPr="00D66584" w:rsidRDefault="002A3BB4" w:rsidP="00104EB2">
            <w:pPr>
              <w:widowControl w:val="0"/>
            </w:pPr>
            <w:r w:rsidRPr="00D66584">
              <w:t>Cohort</w:t>
            </w:r>
          </w:p>
        </w:tc>
        <w:tc>
          <w:tcPr>
            <w:tcW w:w="4680" w:type="dxa"/>
            <w:shd w:val="clear" w:color="auto" w:fill="auto"/>
            <w:tcMar>
              <w:top w:w="100" w:type="dxa"/>
              <w:left w:w="100" w:type="dxa"/>
              <w:bottom w:w="100" w:type="dxa"/>
              <w:right w:w="100" w:type="dxa"/>
            </w:tcMar>
          </w:tcPr>
          <w:p w14:paraId="1CEEF0E8" w14:textId="77777777" w:rsidR="002A3BB4" w:rsidRPr="00D66584" w:rsidRDefault="002A3BB4" w:rsidP="00104EB2">
            <w:pPr>
              <w:widowControl w:val="0"/>
            </w:pPr>
            <w:r w:rsidRPr="00D66584">
              <w:t>Group of patients treated at a dose level</w:t>
            </w:r>
          </w:p>
        </w:tc>
      </w:tr>
      <w:tr w:rsidR="002A3BB4" w:rsidRPr="00D66584" w14:paraId="69B0387D" w14:textId="77777777" w:rsidTr="00104EB2">
        <w:tc>
          <w:tcPr>
            <w:tcW w:w="4680" w:type="dxa"/>
            <w:shd w:val="clear" w:color="auto" w:fill="auto"/>
            <w:tcMar>
              <w:top w:w="100" w:type="dxa"/>
              <w:left w:w="100" w:type="dxa"/>
              <w:bottom w:w="100" w:type="dxa"/>
              <w:right w:w="100" w:type="dxa"/>
            </w:tcMar>
          </w:tcPr>
          <w:p w14:paraId="3715E10E" w14:textId="77777777" w:rsidR="002A3BB4" w:rsidRPr="00D66584" w:rsidRDefault="002A3BB4" w:rsidP="00104EB2">
            <w:pPr>
              <w:widowControl w:val="0"/>
              <w:pBdr>
                <w:top w:val="nil"/>
                <w:left w:val="nil"/>
                <w:bottom w:val="nil"/>
                <w:right w:val="nil"/>
                <w:between w:val="nil"/>
              </w:pBdr>
            </w:pPr>
            <w:r w:rsidRPr="00D66584">
              <w:t>Dose-limiting toxicity (DLT)</w:t>
            </w:r>
          </w:p>
        </w:tc>
        <w:tc>
          <w:tcPr>
            <w:tcW w:w="4680" w:type="dxa"/>
            <w:shd w:val="clear" w:color="auto" w:fill="auto"/>
            <w:tcMar>
              <w:top w:w="100" w:type="dxa"/>
              <w:left w:w="100" w:type="dxa"/>
              <w:bottom w:w="100" w:type="dxa"/>
              <w:right w:w="100" w:type="dxa"/>
            </w:tcMar>
          </w:tcPr>
          <w:p w14:paraId="5D679446" w14:textId="77777777" w:rsidR="002A3BB4" w:rsidRPr="00D66584" w:rsidRDefault="002A3BB4" w:rsidP="00104EB2">
            <w:pPr>
              <w:widowControl w:val="0"/>
              <w:pBdr>
                <w:top w:val="nil"/>
                <w:left w:val="nil"/>
                <w:bottom w:val="nil"/>
                <w:right w:val="nil"/>
                <w:between w:val="nil"/>
              </w:pBdr>
            </w:pPr>
            <w:r w:rsidRPr="00D66584">
              <w:t>Toxic effects of drugs that are considered unacceptable (often because of their severity and irreversibility) will limit further dose escalation</w:t>
            </w:r>
          </w:p>
        </w:tc>
      </w:tr>
      <w:tr w:rsidR="002A3BB4" w:rsidRPr="00D66584" w14:paraId="380CDB07" w14:textId="77777777" w:rsidTr="00104EB2">
        <w:tc>
          <w:tcPr>
            <w:tcW w:w="4680" w:type="dxa"/>
            <w:shd w:val="clear" w:color="auto" w:fill="auto"/>
            <w:tcMar>
              <w:top w:w="100" w:type="dxa"/>
              <w:left w:w="100" w:type="dxa"/>
              <w:bottom w:w="100" w:type="dxa"/>
              <w:right w:w="100" w:type="dxa"/>
            </w:tcMar>
          </w:tcPr>
          <w:p w14:paraId="2874054E" w14:textId="77777777" w:rsidR="002A3BB4" w:rsidRPr="00D66584" w:rsidRDefault="002A3BB4" w:rsidP="00104EB2">
            <w:pPr>
              <w:widowControl w:val="0"/>
              <w:pBdr>
                <w:top w:val="nil"/>
                <w:left w:val="nil"/>
                <w:bottom w:val="nil"/>
                <w:right w:val="nil"/>
                <w:between w:val="nil"/>
              </w:pBdr>
            </w:pPr>
            <w:r w:rsidRPr="00D66584">
              <w:t>Maximum-tolerated dose (MTD)</w:t>
            </w:r>
          </w:p>
        </w:tc>
        <w:tc>
          <w:tcPr>
            <w:tcW w:w="4680" w:type="dxa"/>
            <w:shd w:val="clear" w:color="auto" w:fill="auto"/>
            <w:tcMar>
              <w:top w:w="100" w:type="dxa"/>
              <w:left w:w="100" w:type="dxa"/>
              <w:bottom w:w="100" w:type="dxa"/>
              <w:right w:w="100" w:type="dxa"/>
            </w:tcMar>
          </w:tcPr>
          <w:p w14:paraId="05FC3869" w14:textId="77777777" w:rsidR="002A3BB4" w:rsidRPr="00D66584" w:rsidRDefault="002A3BB4" w:rsidP="00104EB2">
            <w:pPr>
              <w:widowControl w:val="0"/>
              <w:pBdr>
                <w:top w:val="nil"/>
                <w:left w:val="nil"/>
                <w:bottom w:val="nil"/>
                <w:right w:val="nil"/>
                <w:between w:val="nil"/>
              </w:pBdr>
            </w:pPr>
            <w:r w:rsidRPr="00D66584">
              <w:t>The highest dose level that does not exceed the target toxicity</w:t>
            </w:r>
          </w:p>
        </w:tc>
      </w:tr>
      <w:tr w:rsidR="002A3BB4" w:rsidRPr="00D66584" w14:paraId="3CA37E39" w14:textId="77777777" w:rsidTr="00104EB2">
        <w:tc>
          <w:tcPr>
            <w:tcW w:w="4680" w:type="dxa"/>
            <w:shd w:val="clear" w:color="auto" w:fill="auto"/>
            <w:tcMar>
              <w:top w:w="100" w:type="dxa"/>
              <w:left w:w="100" w:type="dxa"/>
              <w:bottom w:w="100" w:type="dxa"/>
              <w:right w:w="100" w:type="dxa"/>
            </w:tcMar>
          </w:tcPr>
          <w:p w14:paraId="603B6EF0" w14:textId="77777777" w:rsidR="002A3BB4" w:rsidRPr="00D66584" w:rsidRDefault="002A3BB4" w:rsidP="00104EB2">
            <w:pPr>
              <w:widowControl w:val="0"/>
              <w:pBdr>
                <w:top w:val="nil"/>
                <w:left w:val="nil"/>
                <w:bottom w:val="nil"/>
                <w:right w:val="nil"/>
                <w:between w:val="nil"/>
              </w:pBdr>
            </w:pPr>
            <w:r w:rsidRPr="00D66584">
              <w:t>Dose Level</w:t>
            </w:r>
          </w:p>
        </w:tc>
        <w:tc>
          <w:tcPr>
            <w:tcW w:w="4680" w:type="dxa"/>
            <w:shd w:val="clear" w:color="auto" w:fill="auto"/>
            <w:tcMar>
              <w:top w:w="100" w:type="dxa"/>
              <w:left w:w="100" w:type="dxa"/>
              <w:bottom w:w="100" w:type="dxa"/>
              <w:right w:w="100" w:type="dxa"/>
            </w:tcMar>
          </w:tcPr>
          <w:p w14:paraId="631BCD65" w14:textId="77777777" w:rsidR="002A3BB4" w:rsidRPr="00D66584" w:rsidRDefault="002A3BB4" w:rsidP="00104EB2">
            <w:pPr>
              <w:widowControl w:val="0"/>
              <w:pBdr>
                <w:top w:val="nil"/>
                <w:left w:val="nil"/>
                <w:bottom w:val="nil"/>
                <w:right w:val="nil"/>
                <w:between w:val="nil"/>
              </w:pBdr>
            </w:pPr>
            <w:r w:rsidRPr="00D66584">
              <w:rPr>
                <w:color w:val="1D2228"/>
                <w:highlight w:val="white"/>
              </w:rPr>
              <w:t xml:space="preserve">The starting dose is usually a fraction of the dose found to be safe in preclinical studies; dose levels are increased according to predefined escalation schemes until the MTD </w:t>
            </w:r>
            <w:r w:rsidRPr="00D66584">
              <w:rPr>
                <w:color w:val="1D2228"/>
                <w:highlight w:val="white"/>
              </w:rPr>
              <w:lastRenderedPageBreak/>
              <w:t>is reached</w:t>
            </w:r>
          </w:p>
        </w:tc>
      </w:tr>
      <w:tr w:rsidR="002A3BB4" w:rsidRPr="00D66584" w14:paraId="76DD1EC6" w14:textId="77777777" w:rsidTr="00104EB2">
        <w:tc>
          <w:tcPr>
            <w:tcW w:w="4680" w:type="dxa"/>
            <w:shd w:val="clear" w:color="auto" w:fill="auto"/>
            <w:tcMar>
              <w:top w:w="100" w:type="dxa"/>
              <w:left w:w="100" w:type="dxa"/>
              <w:bottom w:w="100" w:type="dxa"/>
              <w:right w:w="100" w:type="dxa"/>
            </w:tcMar>
          </w:tcPr>
          <w:p w14:paraId="672E2513" w14:textId="77777777" w:rsidR="002A3BB4" w:rsidRPr="00D66584" w:rsidRDefault="002A3BB4" w:rsidP="00104EB2">
            <w:pPr>
              <w:widowControl w:val="0"/>
              <w:pBdr>
                <w:top w:val="nil"/>
                <w:left w:val="nil"/>
                <w:bottom w:val="nil"/>
                <w:right w:val="nil"/>
                <w:between w:val="nil"/>
              </w:pBdr>
            </w:pPr>
            <w:r w:rsidRPr="00D66584">
              <w:lastRenderedPageBreak/>
              <w:t>Recommended phase II dose</w:t>
            </w:r>
          </w:p>
        </w:tc>
        <w:tc>
          <w:tcPr>
            <w:tcW w:w="4680" w:type="dxa"/>
            <w:shd w:val="clear" w:color="auto" w:fill="auto"/>
            <w:tcMar>
              <w:top w:w="100" w:type="dxa"/>
              <w:left w:w="100" w:type="dxa"/>
              <w:bottom w:w="100" w:type="dxa"/>
              <w:right w:w="100" w:type="dxa"/>
            </w:tcMar>
          </w:tcPr>
          <w:p w14:paraId="705137F8" w14:textId="77777777" w:rsidR="002A3BB4" w:rsidRPr="00D66584" w:rsidRDefault="002A3BB4" w:rsidP="00104EB2">
            <w:pPr>
              <w:widowControl w:val="0"/>
              <w:pBdr>
                <w:top w:val="nil"/>
                <w:left w:val="nil"/>
                <w:bottom w:val="nil"/>
                <w:right w:val="nil"/>
                <w:between w:val="nil"/>
              </w:pBdr>
            </w:pPr>
            <w:r w:rsidRPr="00D66584">
              <w:t>The drug dose found in phase 1 and identified for continued study in future clinical trials; cannot exceed MTD</w:t>
            </w:r>
          </w:p>
        </w:tc>
      </w:tr>
      <w:tr w:rsidR="002A3BB4" w:rsidRPr="00D66584" w14:paraId="1C59F451" w14:textId="77777777" w:rsidTr="00104EB2">
        <w:tc>
          <w:tcPr>
            <w:tcW w:w="4680" w:type="dxa"/>
            <w:shd w:val="clear" w:color="auto" w:fill="auto"/>
            <w:tcMar>
              <w:top w:w="100" w:type="dxa"/>
              <w:left w:w="100" w:type="dxa"/>
              <w:bottom w:w="100" w:type="dxa"/>
              <w:right w:w="100" w:type="dxa"/>
            </w:tcMar>
          </w:tcPr>
          <w:p w14:paraId="1BF29189" w14:textId="77777777" w:rsidR="002A3BB4" w:rsidRPr="00D66584" w:rsidRDefault="002A3BB4" w:rsidP="00104EB2">
            <w:pPr>
              <w:widowControl w:val="0"/>
              <w:pBdr>
                <w:top w:val="nil"/>
                <w:left w:val="nil"/>
                <w:bottom w:val="nil"/>
                <w:right w:val="nil"/>
                <w:between w:val="nil"/>
              </w:pBdr>
            </w:pPr>
            <w:r w:rsidRPr="00D66584">
              <w:t>Single or Combination</w:t>
            </w:r>
          </w:p>
        </w:tc>
        <w:tc>
          <w:tcPr>
            <w:tcW w:w="4680" w:type="dxa"/>
            <w:shd w:val="clear" w:color="auto" w:fill="auto"/>
            <w:tcMar>
              <w:top w:w="100" w:type="dxa"/>
              <w:left w:w="100" w:type="dxa"/>
              <w:bottom w:w="100" w:type="dxa"/>
              <w:right w:w="100" w:type="dxa"/>
            </w:tcMar>
          </w:tcPr>
          <w:p w14:paraId="43C5F522" w14:textId="77777777" w:rsidR="002A3BB4" w:rsidRPr="00D66584" w:rsidRDefault="002A3BB4" w:rsidP="00104EB2">
            <w:pPr>
              <w:widowControl w:val="0"/>
              <w:pBdr>
                <w:top w:val="nil"/>
                <w:left w:val="nil"/>
                <w:bottom w:val="nil"/>
                <w:right w:val="nil"/>
                <w:between w:val="nil"/>
              </w:pBdr>
            </w:pPr>
            <w:r w:rsidRPr="00D66584">
              <w:t xml:space="preserve">Only one type of drug is administered (single); a combination of multiple drugs </w:t>
            </w:r>
            <w:proofErr w:type="gramStart"/>
            <w:r w:rsidRPr="00D66584">
              <w:t>are</w:t>
            </w:r>
            <w:proofErr w:type="gramEnd"/>
            <w:r w:rsidRPr="00D66584">
              <w:t xml:space="preserve"> being administered at once (combination)</w:t>
            </w:r>
          </w:p>
        </w:tc>
      </w:tr>
      <w:tr w:rsidR="002A3BB4" w:rsidRPr="00D66584" w14:paraId="18C8F69A" w14:textId="77777777" w:rsidTr="00104EB2">
        <w:tc>
          <w:tcPr>
            <w:tcW w:w="4680" w:type="dxa"/>
            <w:shd w:val="clear" w:color="auto" w:fill="auto"/>
            <w:tcMar>
              <w:top w:w="100" w:type="dxa"/>
              <w:left w:w="100" w:type="dxa"/>
              <w:bottom w:w="100" w:type="dxa"/>
              <w:right w:w="100" w:type="dxa"/>
            </w:tcMar>
          </w:tcPr>
          <w:p w14:paraId="41FE8E88" w14:textId="77777777" w:rsidR="002A3BB4" w:rsidRPr="00D66584" w:rsidRDefault="002A3BB4" w:rsidP="00104EB2">
            <w:pPr>
              <w:widowControl w:val="0"/>
              <w:pBdr>
                <w:top w:val="nil"/>
                <w:left w:val="nil"/>
                <w:bottom w:val="nil"/>
                <w:right w:val="nil"/>
                <w:between w:val="nil"/>
              </w:pBdr>
            </w:pPr>
            <w:r w:rsidRPr="00D66584">
              <w:t xml:space="preserve">Dose escalation </w:t>
            </w:r>
          </w:p>
        </w:tc>
        <w:tc>
          <w:tcPr>
            <w:tcW w:w="4680" w:type="dxa"/>
            <w:shd w:val="clear" w:color="auto" w:fill="auto"/>
            <w:tcMar>
              <w:top w:w="100" w:type="dxa"/>
              <w:left w:w="100" w:type="dxa"/>
              <w:bottom w:w="100" w:type="dxa"/>
              <w:right w:w="100" w:type="dxa"/>
            </w:tcMar>
          </w:tcPr>
          <w:p w14:paraId="5DAEDFB4" w14:textId="77777777" w:rsidR="002A3BB4" w:rsidRPr="00D66584" w:rsidRDefault="002A3BB4" w:rsidP="00104EB2">
            <w:pPr>
              <w:widowControl w:val="0"/>
              <w:pBdr>
                <w:top w:val="nil"/>
                <w:left w:val="nil"/>
                <w:bottom w:val="nil"/>
                <w:right w:val="nil"/>
                <w:between w:val="nil"/>
              </w:pBdr>
            </w:pPr>
            <w:r w:rsidRPr="00D66584">
              <w:t>Patients are enrolled into different dose levels to find the MTD and/or recommended phase II dose; also known as dose-finding</w:t>
            </w:r>
          </w:p>
        </w:tc>
      </w:tr>
      <w:tr w:rsidR="002A3BB4" w:rsidRPr="00D66584" w14:paraId="20DFDA6D" w14:textId="77777777" w:rsidTr="00104EB2">
        <w:tc>
          <w:tcPr>
            <w:tcW w:w="4680" w:type="dxa"/>
            <w:shd w:val="clear" w:color="auto" w:fill="auto"/>
            <w:tcMar>
              <w:top w:w="100" w:type="dxa"/>
              <w:left w:w="100" w:type="dxa"/>
              <w:bottom w:w="100" w:type="dxa"/>
              <w:right w:w="100" w:type="dxa"/>
            </w:tcMar>
          </w:tcPr>
          <w:p w14:paraId="70A92F3C" w14:textId="77777777" w:rsidR="002A3BB4" w:rsidRPr="00D66584" w:rsidRDefault="002A3BB4" w:rsidP="00104EB2">
            <w:pPr>
              <w:widowControl w:val="0"/>
              <w:pBdr>
                <w:top w:val="nil"/>
                <w:left w:val="nil"/>
                <w:bottom w:val="nil"/>
                <w:right w:val="nil"/>
                <w:between w:val="nil"/>
              </w:pBdr>
            </w:pPr>
            <w:r w:rsidRPr="00D66584">
              <w:t>Dose expansion</w:t>
            </w:r>
          </w:p>
        </w:tc>
        <w:tc>
          <w:tcPr>
            <w:tcW w:w="4680" w:type="dxa"/>
            <w:shd w:val="clear" w:color="auto" w:fill="auto"/>
            <w:tcMar>
              <w:top w:w="100" w:type="dxa"/>
              <w:left w:w="100" w:type="dxa"/>
              <w:bottom w:w="100" w:type="dxa"/>
              <w:right w:w="100" w:type="dxa"/>
            </w:tcMar>
          </w:tcPr>
          <w:p w14:paraId="258600F7" w14:textId="77777777" w:rsidR="002A3BB4" w:rsidRPr="00D66584" w:rsidRDefault="002A3BB4" w:rsidP="00104EB2">
            <w:pPr>
              <w:widowControl w:val="0"/>
              <w:pBdr>
                <w:top w:val="nil"/>
                <w:left w:val="nil"/>
                <w:bottom w:val="nil"/>
                <w:right w:val="nil"/>
                <w:between w:val="nil"/>
              </w:pBdr>
            </w:pPr>
            <w:r w:rsidRPr="00D66584">
              <w:t>Following dose escalation; adds additional patients to further evaluate the efficacy, safety, toxicity, and pharmacokinetics of a drug dose before moving into phase II</w:t>
            </w:r>
          </w:p>
        </w:tc>
      </w:tr>
      <w:tr w:rsidR="002A3BB4" w:rsidRPr="00D66584" w14:paraId="4C7776EF" w14:textId="77777777" w:rsidTr="00104EB2">
        <w:tc>
          <w:tcPr>
            <w:tcW w:w="4680" w:type="dxa"/>
            <w:shd w:val="clear" w:color="auto" w:fill="auto"/>
            <w:tcMar>
              <w:top w:w="100" w:type="dxa"/>
              <w:left w:w="100" w:type="dxa"/>
              <w:bottom w:w="100" w:type="dxa"/>
              <w:right w:w="100" w:type="dxa"/>
            </w:tcMar>
          </w:tcPr>
          <w:p w14:paraId="46CB4124" w14:textId="77777777" w:rsidR="002A3BB4" w:rsidRPr="00D66584" w:rsidRDefault="002A3BB4" w:rsidP="00104EB2">
            <w:pPr>
              <w:widowControl w:val="0"/>
              <w:pBdr>
                <w:top w:val="nil"/>
                <w:left w:val="nil"/>
                <w:bottom w:val="nil"/>
                <w:right w:val="nil"/>
                <w:between w:val="nil"/>
              </w:pBdr>
            </w:pPr>
            <w:r w:rsidRPr="00D66584">
              <w:t>Pharmacokinetics (PK)</w:t>
            </w:r>
          </w:p>
        </w:tc>
        <w:tc>
          <w:tcPr>
            <w:tcW w:w="4680" w:type="dxa"/>
            <w:shd w:val="clear" w:color="auto" w:fill="auto"/>
            <w:tcMar>
              <w:top w:w="100" w:type="dxa"/>
              <w:left w:w="100" w:type="dxa"/>
              <w:bottom w:w="100" w:type="dxa"/>
              <w:right w:w="100" w:type="dxa"/>
            </w:tcMar>
          </w:tcPr>
          <w:p w14:paraId="7E8EEF18" w14:textId="77777777" w:rsidR="002A3BB4" w:rsidRPr="00D66584" w:rsidRDefault="002A3BB4" w:rsidP="00104EB2">
            <w:pPr>
              <w:widowControl w:val="0"/>
              <w:pBdr>
                <w:top w:val="nil"/>
                <w:left w:val="nil"/>
                <w:bottom w:val="nil"/>
                <w:right w:val="nil"/>
                <w:between w:val="nil"/>
              </w:pBdr>
            </w:pPr>
            <w:r w:rsidRPr="00D66584">
              <w:t xml:space="preserve">How the body affects the drug; includes the absorption, distribution, and excretion of a drug </w:t>
            </w:r>
          </w:p>
        </w:tc>
      </w:tr>
      <w:tr w:rsidR="002A3BB4" w:rsidRPr="00D66584" w14:paraId="0928C505" w14:textId="77777777" w:rsidTr="00104EB2">
        <w:tc>
          <w:tcPr>
            <w:tcW w:w="4680" w:type="dxa"/>
            <w:shd w:val="clear" w:color="auto" w:fill="auto"/>
            <w:tcMar>
              <w:top w:w="100" w:type="dxa"/>
              <w:left w:w="100" w:type="dxa"/>
              <w:bottom w:w="100" w:type="dxa"/>
              <w:right w:w="100" w:type="dxa"/>
            </w:tcMar>
          </w:tcPr>
          <w:p w14:paraId="1E1A9B66" w14:textId="77777777" w:rsidR="002A3BB4" w:rsidRPr="00D66584" w:rsidRDefault="002A3BB4" w:rsidP="00104EB2">
            <w:pPr>
              <w:widowControl w:val="0"/>
              <w:pBdr>
                <w:top w:val="nil"/>
                <w:left w:val="nil"/>
                <w:bottom w:val="nil"/>
                <w:right w:val="nil"/>
                <w:between w:val="nil"/>
              </w:pBdr>
            </w:pPr>
            <w:r w:rsidRPr="00D66584">
              <w:t>Pharmacodynamics (PD)</w:t>
            </w:r>
          </w:p>
        </w:tc>
        <w:tc>
          <w:tcPr>
            <w:tcW w:w="4680" w:type="dxa"/>
            <w:shd w:val="clear" w:color="auto" w:fill="auto"/>
            <w:tcMar>
              <w:top w:w="100" w:type="dxa"/>
              <w:left w:w="100" w:type="dxa"/>
              <w:bottom w:w="100" w:type="dxa"/>
              <w:right w:w="100" w:type="dxa"/>
            </w:tcMar>
          </w:tcPr>
          <w:p w14:paraId="7DC85318" w14:textId="77777777" w:rsidR="002A3BB4" w:rsidRPr="00D66584" w:rsidRDefault="002A3BB4" w:rsidP="00104EB2">
            <w:pPr>
              <w:widowControl w:val="0"/>
              <w:pBdr>
                <w:top w:val="nil"/>
                <w:left w:val="nil"/>
                <w:bottom w:val="nil"/>
                <w:right w:val="nil"/>
                <w:between w:val="nil"/>
              </w:pBdr>
            </w:pPr>
            <w:r w:rsidRPr="00D66584">
              <w:t>How the drug affects the body</w:t>
            </w:r>
          </w:p>
        </w:tc>
      </w:tr>
      <w:tr w:rsidR="002A3BB4" w:rsidRPr="00D66584" w14:paraId="67F912E3" w14:textId="77777777" w:rsidTr="00104EB2">
        <w:tc>
          <w:tcPr>
            <w:tcW w:w="4680" w:type="dxa"/>
            <w:shd w:val="clear" w:color="auto" w:fill="auto"/>
            <w:tcMar>
              <w:top w:w="100" w:type="dxa"/>
              <w:left w:w="100" w:type="dxa"/>
              <w:bottom w:w="100" w:type="dxa"/>
              <w:right w:w="100" w:type="dxa"/>
            </w:tcMar>
          </w:tcPr>
          <w:p w14:paraId="7C1B09AF" w14:textId="77777777" w:rsidR="002A3BB4" w:rsidRPr="00D66584" w:rsidRDefault="002A3BB4" w:rsidP="00104EB2">
            <w:pPr>
              <w:widowControl w:val="0"/>
              <w:pBdr>
                <w:top w:val="nil"/>
                <w:left w:val="nil"/>
                <w:bottom w:val="nil"/>
                <w:right w:val="nil"/>
                <w:between w:val="nil"/>
              </w:pBdr>
            </w:pPr>
            <w:r w:rsidRPr="00D66584">
              <w:t>Phase II</w:t>
            </w:r>
          </w:p>
        </w:tc>
        <w:tc>
          <w:tcPr>
            <w:tcW w:w="4680" w:type="dxa"/>
            <w:shd w:val="clear" w:color="auto" w:fill="auto"/>
            <w:tcMar>
              <w:top w:w="100" w:type="dxa"/>
              <w:left w:w="100" w:type="dxa"/>
              <w:bottom w:w="100" w:type="dxa"/>
              <w:right w:w="100" w:type="dxa"/>
            </w:tcMar>
          </w:tcPr>
          <w:p w14:paraId="344F799C" w14:textId="77777777" w:rsidR="002A3BB4" w:rsidRPr="00D66584" w:rsidRDefault="002A3BB4" w:rsidP="00104EB2">
            <w:pPr>
              <w:widowControl w:val="0"/>
              <w:pBdr>
                <w:top w:val="nil"/>
                <w:left w:val="nil"/>
                <w:bottom w:val="nil"/>
                <w:right w:val="nil"/>
                <w:between w:val="nil"/>
              </w:pBdr>
            </w:pPr>
            <w:r w:rsidRPr="00D66584">
              <w:t>Following phase I; evaluate the efficacy and toxicity of the drug; typically has a larger sample size compared to dose expansion</w:t>
            </w:r>
          </w:p>
        </w:tc>
      </w:tr>
      <w:tr w:rsidR="002A3BB4" w:rsidRPr="00D66584" w14:paraId="6C42D3B3" w14:textId="77777777" w:rsidTr="00104EB2">
        <w:tc>
          <w:tcPr>
            <w:tcW w:w="4680" w:type="dxa"/>
            <w:shd w:val="clear" w:color="auto" w:fill="auto"/>
            <w:tcMar>
              <w:top w:w="100" w:type="dxa"/>
              <w:left w:w="100" w:type="dxa"/>
              <w:bottom w:w="100" w:type="dxa"/>
              <w:right w:w="100" w:type="dxa"/>
            </w:tcMar>
          </w:tcPr>
          <w:p w14:paraId="595677AA" w14:textId="77777777" w:rsidR="002A3BB4" w:rsidRPr="00D66584" w:rsidRDefault="002A3BB4" w:rsidP="00104EB2">
            <w:pPr>
              <w:widowControl w:val="0"/>
              <w:pBdr>
                <w:top w:val="nil"/>
                <w:left w:val="nil"/>
                <w:bottom w:val="nil"/>
                <w:right w:val="nil"/>
                <w:between w:val="nil"/>
              </w:pBdr>
            </w:pPr>
            <w:r w:rsidRPr="00D66584">
              <w:t>Toxicity stopping rules</w:t>
            </w:r>
          </w:p>
        </w:tc>
        <w:tc>
          <w:tcPr>
            <w:tcW w:w="4680" w:type="dxa"/>
            <w:shd w:val="clear" w:color="auto" w:fill="auto"/>
            <w:tcMar>
              <w:top w:w="100" w:type="dxa"/>
              <w:left w:w="100" w:type="dxa"/>
              <w:bottom w:w="100" w:type="dxa"/>
              <w:right w:w="100" w:type="dxa"/>
            </w:tcMar>
          </w:tcPr>
          <w:p w14:paraId="65398F7E" w14:textId="77777777" w:rsidR="002A3BB4" w:rsidRPr="00D66584" w:rsidRDefault="002A3BB4" w:rsidP="00104EB2">
            <w:pPr>
              <w:widowControl w:val="0"/>
              <w:pBdr>
                <w:top w:val="nil"/>
                <w:left w:val="nil"/>
                <w:bottom w:val="nil"/>
                <w:right w:val="nil"/>
                <w:between w:val="nil"/>
              </w:pBdr>
            </w:pPr>
            <w:r w:rsidRPr="00D66584">
              <w:t>Using the Bayesian probability model to identify stopping boundaries and ensure patient’s safety</w:t>
            </w:r>
          </w:p>
        </w:tc>
      </w:tr>
    </w:tbl>
    <w:p w14:paraId="5AC06EB0" w14:textId="77777777" w:rsidR="002A3BB4" w:rsidRPr="00D66584" w:rsidRDefault="002A3BB4" w:rsidP="002A3BB4"/>
    <w:p w14:paraId="5BF5E2DE" w14:textId="77777777" w:rsidR="002A3BB4" w:rsidRPr="00D66584" w:rsidRDefault="002A3BB4" w:rsidP="00790ABE">
      <w:pPr>
        <w:ind w:left="360"/>
      </w:pPr>
    </w:p>
    <w:sectPr w:rsidR="002A3BB4" w:rsidRPr="00D66584">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737D" w14:textId="77777777" w:rsidR="002E4781" w:rsidRDefault="002E4781">
      <w:r>
        <w:separator/>
      </w:r>
    </w:p>
  </w:endnote>
  <w:endnote w:type="continuationSeparator" w:id="0">
    <w:p w14:paraId="4F214B48" w14:textId="77777777" w:rsidR="002E4781" w:rsidRDefault="002E4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DE934" w14:textId="77777777" w:rsidR="00E135A0" w:rsidRDefault="00000000">
    <w:pPr>
      <w:jc w:val="right"/>
    </w:pPr>
    <w:r>
      <w:fldChar w:fldCharType="begin"/>
    </w:r>
    <w:r>
      <w:instrText>PAGE</w:instrText>
    </w:r>
    <w:r>
      <w:fldChar w:fldCharType="separate"/>
    </w:r>
    <w:r w:rsidR="00790AB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1DA7E" w14:textId="77777777" w:rsidR="002E4781" w:rsidRDefault="002E4781">
      <w:r>
        <w:separator/>
      </w:r>
    </w:p>
  </w:footnote>
  <w:footnote w:type="continuationSeparator" w:id="0">
    <w:p w14:paraId="23465C0F" w14:textId="77777777" w:rsidR="002E4781" w:rsidRDefault="002E4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5ED"/>
    <w:multiLevelType w:val="multilevel"/>
    <w:tmpl w:val="5094C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4416E4"/>
    <w:multiLevelType w:val="hybridMultilevel"/>
    <w:tmpl w:val="0BA648E2"/>
    <w:lvl w:ilvl="0" w:tplc="BC78B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4D80"/>
    <w:multiLevelType w:val="hybridMultilevel"/>
    <w:tmpl w:val="FE1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91926"/>
    <w:multiLevelType w:val="multilevel"/>
    <w:tmpl w:val="1A2A36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D1C22"/>
    <w:multiLevelType w:val="hybridMultilevel"/>
    <w:tmpl w:val="AD4C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972C6"/>
    <w:multiLevelType w:val="multilevel"/>
    <w:tmpl w:val="D2A0D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1432E3"/>
    <w:multiLevelType w:val="multilevel"/>
    <w:tmpl w:val="FDDEF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AD13D0"/>
    <w:multiLevelType w:val="hybridMultilevel"/>
    <w:tmpl w:val="0736E092"/>
    <w:lvl w:ilvl="0" w:tplc="F4180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E0D3C"/>
    <w:multiLevelType w:val="multilevel"/>
    <w:tmpl w:val="B5E0F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9817668">
    <w:abstractNumId w:val="6"/>
  </w:num>
  <w:num w:numId="2" w16cid:durableId="127360399">
    <w:abstractNumId w:val="3"/>
  </w:num>
  <w:num w:numId="3" w16cid:durableId="1769808323">
    <w:abstractNumId w:val="5"/>
  </w:num>
  <w:num w:numId="4" w16cid:durableId="1964146000">
    <w:abstractNumId w:val="8"/>
  </w:num>
  <w:num w:numId="5" w16cid:durableId="395009885">
    <w:abstractNumId w:val="0"/>
  </w:num>
  <w:num w:numId="6" w16cid:durableId="271253555">
    <w:abstractNumId w:val="1"/>
  </w:num>
  <w:num w:numId="7" w16cid:durableId="218981468">
    <w:abstractNumId w:val="7"/>
  </w:num>
  <w:num w:numId="8" w16cid:durableId="351810179">
    <w:abstractNumId w:val="2"/>
  </w:num>
  <w:num w:numId="9" w16cid:durableId="600718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5A0"/>
    <w:rsid w:val="00001BFB"/>
    <w:rsid w:val="000A3DFA"/>
    <w:rsid w:val="000B4881"/>
    <w:rsid w:val="001E7AB3"/>
    <w:rsid w:val="002026FF"/>
    <w:rsid w:val="00236D43"/>
    <w:rsid w:val="00246BDB"/>
    <w:rsid w:val="002A3BB4"/>
    <w:rsid w:val="002A49A4"/>
    <w:rsid w:val="002C0971"/>
    <w:rsid w:val="002E4781"/>
    <w:rsid w:val="003105E9"/>
    <w:rsid w:val="00354B8E"/>
    <w:rsid w:val="003771A1"/>
    <w:rsid w:val="003F23B4"/>
    <w:rsid w:val="00421074"/>
    <w:rsid w:val="00426A26"/>
    <w:rsid w:val="00437D4D"/>
    <w:rsid w:val="0047515C"/>
    <w:rsid w:val="0048477C"/>
    <w:rsid w:val="004902C5"/>
    <w:rsid w:val="00503572"/>
    <w:rsid w:val="0052212A"/>
    <w:rsid w:val="00523C4B"/>
    <w:rsid w:val="0053010F"/>
    <w:rsid w:val="00573BE2"/>
    <w:rsid w:val="00587C11"/>
    <w:rsid w:val="006268FB"/>
    <w:rsid w:val="0069736F"/>
    <w:rsid w:val="0071310C"/>
    <w:rsid w:val="00733AF6"/>
    <w:rsid w:val="00774EF5"/>
    <w:rsid w:val="007771BD"/>
    <w:rsid w:val="00790ABE"/>
    <w:rsid w:val="007F28DE"/>
    <w:rsid w:val="008C0592"/>
    <w:rsid w:val="00904FC5"/>
    <w:rsid w:val="0091139A"/>
    <w:rsid w:val="00942883"/>
    <w:rsid w:val="009B4724"/>
    <w:rsid w:val="009E674C"/>
    <w:rsid w:val="00A123CD"/>
    <w:rsid w:val="00A50A0E"/>
    <w:rsid w:val="00AD0D27"/>
    <w:rsid w:val="00AD61D0"/>
    <w:rsid w:val="00AE5CE2"/>
    <w:rsid w:val="00AF4BC0"/>
    <w:rsid w:val="00B5201C"/>
    <w:rsid w:val="00C1220A"/>
    <w:rsid w:val="00C8230E"/>
    <w:rsid w:val="00C83C13"/>
    <w:rsid w:val="00CF65E9"/>
    <w:rsid w:val="00D66584"/>
    <w:rsid w:val="00DA73EB"/>
    <w:rsid w:val="00DD5FF8"/>
    <w:rsid w:val="00DF423F"/>
    <w:rsid w:val="00E135A0"/>
    <w:rsid w:val="00E208DC"/>
    <w:rsid w:val="00E2367F"/>
    <w:rsid w:val="00E43155"/>
    <w:rsid w:val="00EE4AB0"/>
    <w:rsid w:val="00F30B3B"/>
    <w:rsid w:val="00F51E63"/>
    <w:rsid w:val="00FE1726"/>
    <w:rsid w:val="12033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5A57"/>
  <w15:docId w15:val="{A860A95A-D2A2-C843-A264-BA636129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E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90ABE"/>
    <w:rPr>
      <w:color w:val="0000FF" w:themeColor="hyperlink"/>
      <w:u w:val="single"/>
    </w:rPr>
  </w:style>
  <w:style w:type="character" w:styleId="UnresolvedMention">
    <w:name w:val="Unresolved Mention"/>
    <w:basedOn w:val="DefaultParagraphFont"/>
    <w:uiPriority w:val="99"/>
    <w:semiHidden/>
    <w:unhideWhenUsed/>
    <w:rsid w:val="00790ABE"/>
    <w:rPr>
      <w:color w:val="605E5C"/>
      <w:shd w:val="clear" w:color="auto" w:fill="E1DFDD"/>
    </w:rPr>
  </w:style>
  <w:style w:type="paragraph" w:styleId="Revision">
    <w:name w:val="Revision"/>
    <w:hidden/>
    <w:uiPriority w:val="99"/>
    <w:semiHidden/>
    <w:rsid w:val="0071310C"/>
    <w:pPr>
      <w:spacing w:line="240" w:lineRule="auto"/>
    </w:pPr>
  </w:style>
  <w:style w:type="character" w:styleId="CommentReference">
    <w:name w:val="annotation reference"/>
    <w:basedOn w:val="DefaultParagraphFont"/>
    <w:uiPriority w:val="99"/>
    <w:semiHidden/>
    <w:unhideWhenUsed/>
    <w:rsid w:val="00F51E63"/>
    <w:rPr>
      <w:sz w:val="16"/>
      <w:szCs w:val="16"/>
    </w:rPr>
  </w:style>
  <w:style w:type="paragraph" w:styleId="CommentText">
    <w:name w:val="annotation text"/>
    <w:basedOn w:val="Normal"/>
    <w:link w:val="CommentTextChar"/>
    <w:uiPriority w:val="99"/>
    <w:unhideWhenUsed/>
    <w:rsid w:val="00F51E63"/>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F51E63"/>
    <w:rPr>
      <w:sz w:val="20"/>
      <w:szCs w:val="20"/>
    </w:rPr>
  </w:style>
  <w:style w:type="paragraph" w:styleId="CommentSubject">
    <w:name w:val="annotation subject"/>
    <w:basedOn w:val="CommentText"/>
    <w:next w:val="CommentText"/>
    <w:link w:val="CommentSubjectChar"/>
    <w:uiPriority w:val="99"/>
    <w:semiHidden/>
    <w:unhideWhenUsed/>
    <w:rsid w:val="00F51E63"/>
    <w:rPr>
      <w:b/>
      <w:bCs/>
    </w:rPr>
  </w:style>
  <w:style w:type="character" w:customStyle="1" w:styleId="CommentSubjectChar">
    <w:name w:val="Comment Subject Char"/>
    <w:basedOn w:val="CommentTextChar"/>
    <w:link w:val="CommentSubject"/>
    <w:uiPriority w:val="99"/>
    <w:semiHidden/>
    <w:rsid w:val="00F51E63"/>
    <w:rPr>
      <w:b/>
      <w:bCs/>
      <w:sz w:val="20"/>
      <w:szCs w:val="20"/>
    </w:rPr>
  </w:style>
  <w:style w:type="paragraph" w:styleId="ListParagraph">
    <w:name w:val="List Paragraph"/>
    <w:basedOn w:val="Normal"/>
    <w:uiPriority w:val="34"/>
    <w:qFormat/>
    <w:rsid w:val="00F51E63"/>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9976">
      <w:bodyDiv w:val="1"/>
      <w:marLeft w:val="0"/>
      <w:marRight w:val="0"/>
      <w:marTop w:val="0"/>
      <w:marBottom w:val="0"/>
      <w:divBdr>
        <w:top w:val="none" w:sz="0" w:space="0" w:color="auto"/>
        <w:left w:val="none" w:sz="0" w:space="0" w:color="auto"/>
        <w:bottom w:val="none" w:sz="0" w:space="0" w:color="auto"/>
        <w:right w:val="none" w:sz="0" w:space="0" w:color="auto"/>
      </w:divBdr>
    </w:div>
    <w:div w:id="673579171">
      <w:bodyDiv w:val="1"/>
      <w:marLeft w:val="0"/>
      <w:marRight w:val="0"/>
      <w:marTop w:val="0"/>
      <w:marBottom w:val="0"/>
      <w:divBdr>
        <w:top w:val="none" w:sz="0" w:space="0" w:color="auto"/>
        <w:left w:val="none" w:sz="0" w:space="0" w:color="auto"/>
        <w:bottom w:val="none" w:sz="0" w:space="0" w:color="auto"/>
        <w:right w:val="none" w:sz="0" w:space="0" w:color="auto"/>
      </w:divBdr>
    </w:div>
    <w:div w:id="1553538747">
      <w:bodyDiv w:val="1"/>
      <w:marLeft w:val="0"/>
      <w:marRight w:val="0"/>
      <w:marTop w:val="0"/>
      <w:marBottom w:val="0"/>
      <w:divBdr>
        <w:top w:val="none" w:sz="0" w:space="0" w:color="auto"/>
        <w:left w:val="none" w:sz="0" w:space="0" w:color="auto"/>
        <w:bottom w:val="none" w:sz="0" w:space="0" w:color="auto"/>
        <w:right w:val="none" w:sz="0" w:space="0" w:color="auto"/>
      </w:divBdr>
    </w:div>
    <w:div w:id="1785464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4/relationships/chartEx" Target="charts/chartEx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xml"/><Relationship Id="rId20" Type="http://schemas.microsoft.com/office/2014/relationships/chartEx" Target="charts/chartEx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linicaltrials.gov"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precisionformedicine.com/blog/phase-i-clinical-trial-designs-bayesian-optimal-interval-design-boin/"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iostatistics.mdanderson.org/SoftwareDownload/SingleSoftware/Index/7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wenlidong/Documents/Megan/510%20Research/Summer%20Clinical%20Tri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wenlidong/Documents/Megan/510%20Research/Summer%20Clinical%20Trial.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wenlidong/Documents/Megan/510%20Research/Summer%20Clinical%20Trial.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wenlidong/Documents/Megan/510%20Research/Summer%20Clinical%20Tri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baseline="0">
                <a:solidFill>
                  <a:schemeClr val="tx1">
                    <a:lumMod val="65000"/>
                    <a:lumOff val="35000"/>
                  </a:schemeClr>
                </a:solidFill>
                <a:latin typeface="+mn-lt"/>
                <a:ea typeface="+mn-ea"/>
                <a:cs typeface="+mn-cs"/>
              </a:defRPr>
            </a:pPr>
            <a:r>
              <a:rPr lang="en-US" sz="1000"/>
              <a:t>Phase I Clinical Trial Design Methods </a:t>
            </a:r>
          </a:p>
        </c:rich>
      </c:tx>
      <c:layout>
        <c:manualLayout>
          <c:xMode val="edge"/>
          <c:yMode val="edge"/>
          <c:x val="0.1260934499679966"/>
          <c:y val="0"/>
        </c:manualLayout>
      </c:layout>
      <c:overlay val="0"/>
      <c:spPr>
        <a:noFill/>
        <a:ln>
          <a:noFill/>
        </a:ln>
        <a:effectLst/>
      </c:spPr>
      <c:txPr>
        <a:bodyPr rot="0" spcFirstLastPara="1" vertOverflow="ellipsis" vert="horz" wrap="square" anchor="ctr" anchorCtr="1"/>
        <a:lstStyle/>
        <a:p>
          <a:pPr>
            <a:defRPr sz="10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5200000000000002E-2"/>
          <c:y val="0.10236585365853658"/>
          <c:w val="0.96479999999999999"/>
          <c:h val="0.87080487804878048"/>
        </c:manualLayout>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21EE-A648-B8AA-4FDD3AA03A08}"/>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21EE-A648-B8AA-4FDD3AA03A08}"/>
              </c:ext>
            </c:extLst>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5-21EE-A648-B8AA-4FDD3AA03A08}"/>
              </c:ext>
            </c:extLst>
          </c:dPt>
          <c:dPt>
            <c:idx val="3"/>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7-21EE-A648-B8AA-4FDD3AA03A08}"/>
              </c:ext>
            </c:extLst>
          </c:dPt>
          <c:dPt>
            <c:idx val="4"/>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9-21EE-A648-B8AA-4FDD3AA03A08}"/>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1"/>
              <c:showBubbleSize val="0"/>
              <c:extLst>
                <c:ext xmlns:c16="http://schemas.microsoft.com/office/drawing/2014/chart" uri="{C3380CC4-5D6E-409C-BE32-E72D297353CC}">
                  <c16:uniqueId val="{00000001-21EE-A648-B8AA-4FDD3AA03A08}"/>
                </c:ext>
              </c:extLst>
            </c:dLbl>
            <c:dLbl>
              <c:idx val="1"/>
              <c:layout>
                <c:manualLayout>
                  <c:x val="0.11523343914022871"/>
                  <c:y val="-4.6565596497889994E-2"/>
                </c:manualLayout>
              </c:layout>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1EE-A648-B8AA-4FDD3AA03A08}"/>
                </c:ext>
              </c:extLst>
            </c:dLbl>
            <c:dLbl>
              <c:idx val="2"/>
              <c:layout>
                <c:manualLayout>
                  <c:x val="2.0330345160573743E-3"/>
                  <c:y val="-1.5325313635158662E-3"/>
                </c:manualLayout>
              </c:layout>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1EE-A648-B8AA-4FDD3AA03A08}"/>
                </c:ext>
              </c:extLst>
            </c:dLbl>
            <c:dLbl>
              <c:idx val="3"/>
              <c:layout>
                <c:manualLayout>
                  <c:x val="-4.9443458178126459E-3"/>
                  <c:y val="-0.13566628216058979"/>
                </c:manualLayout>
              </c:layout>
              <c:spPr>
                <a:solidFill>
                  <a:schemeClr val="lt1">
                    <a:alpha val="90000"/>
                  </a:schemeClr>
                </a:solidFill>
                <a:ln w="12700" cap="flat" cmpd="sng" algn="ctr">
                  <a:solidFill>
                    <a:schemeClr val="accent4"/>
                  </a:solidFill>
                  <a:round/>
                </a:ln>
                <a:effectLst>
                  <a:outerShdw blurRad="50800" dist="38100" dir="2700000" algn="tl" rotWithShape="0">
                    <a:schemeClr val="accent4">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1EE-A648-B8AA-4FDD3AA03A08}"/>
                </c:ext>
              </c:extLst>
            </c:dLbl>
            <c:dLbl>
              <c:idx val="4"/>
              <c:spPr>
                <a:solidFill>
                  <a:schemeClr val="lt1">
                    <a:alpha val="90000"/>
                  </a:schemeClr>
                </a:solidFill>
                <a:ln w="12700" cap="flat" cmpd="sng" algn="ctr">
                  <a:solidFill>
                    <a:schemeClr val="accent5"/>
                  </a:solidFill>
                  <a:round/>
                </a:ln>
                <a:effectLst>
                  <a:outerShdw blurRad="50800" dist="38100" dir="2700000" algn="tl" rotWithShape="0">
                    <a:schemeClr val="accent5">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inEnd"/>
              <c:showLegendKey val="0"/>
              <c:showVal val="0"/>
              <c:showCatName val="1"/>
              <c:showSerName val="0"/>
              <c:showPercent val="1"/>
              <c:showBubbleSize val="0"/>
              <c:extLst>
                <c:ext xmlns:c16="http://schemas.microsoft.com/office/drawing/2014/chart" uri="{C3380CC4-5D6E-409C-BE32-E72D297353CC}">
                  <c16:uniqueId val="{00000009-21EE-A648-B8AA-4FDD3AA03A08}"/>
                </c:ext>
              </c:extLst>
            </c:dLbl>
            <c:spPr>
              <a:solidFill>
                <a:srgbClr val="FFFFFF">
                  <a:alpha val="90000"/>
                </a:srgbClr>
              </a:solidFill>
              <a:ln w="12700" cap="flat" cmpd="sng" algn="ctr">
                <a:solidFill>
                  <a:srgbClr val="4F81BD"/>
                </a:solidFill>
                <a:round/>
              </a:ln>
              <a:effectLst>
                <a:outerShdw blurRad="50800" dist="38100" dir="2700000" algn="tl" rotWithShape="0">
                  <a:srgbClr val="4F81BD">
                    <a:lumMod val="75000"/>
                    <a:alpha val="40000"/>
                  </a:srgbClr>
                </a:outerShdw>
              </a:effectLst>
            </c:spPr>
            <c:dLblPos val="in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'pie graph'!$C$2:$G$2</c:f>
              <c:strCache>
                <c:ptCount val="5"/>
                <c:pt idx="0">
                  <c:v>3+3</c:v>
                </c:pt>
                <c:pt idx="1">
                  <c:v>BOIN</c:v>
                </c:pt>
                <c:pt idx="2">
                  <c:v>mTPI</c:v>
                </c:pt>
                <c:pt idx="3">
                  <c:v>CRM</c:v>
                </c:pt>
                <c:pt idx="4">
                  <c:v>Other</c:v>
                </c:pt>
              </c:strCache>
            </c:strRef>
          </c:cat>
          <c:val>
            <c:numRef>
              <c:f>'pie graph'!$C$3:$G$3</c:f>
              <c:numCache>
                <c:formatCode>0.0%</c:formatCode>
                <c:ptCount val="5"/>
                <c:pt idx="0">
                  <c:v>0.57399999999999995</c:v>
                </c:pt>
                <c:pt idx="1">
                  <c:v>1.9E-2</c:v>
                </c:pt>
                <c:pt idx="2">
                  <c:v>3.6999999999999998E-2</c:v>
                </c:pt>
                <c:pt idx="3">
                  <c:v>1.9E-2</c:v>
                </c:pt>
                <c:pt idx="4">
                  <c:v>0.35199999999999998</c:v>
                </c:pt>
              </c:numCache>
            </c:numRef>
          </c:val>
          <c:extLst>
            <c:ext xmlns:c16="http://schemas.microsoft.com/office/drawing/2014/chart" uri="{C3380CC4-5D6E-409C-BE32-E72D297353CC}">
              <c16:uniqueId val="{0000000A-21EE-A648-B8AA-4FDD3AA03A08}"/>
            </c:ext>
          </c:extLst>
        </c:ser>
        <c:dLbls>
          <c:dLblPos val="in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sz="1000"/>
              <a:t>Single or Combination</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8009-9D4B-A1AC-238881B3849D}"/>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8009-9D4B-A1AC-238881B3849D}"/>
              </c:ext>
            </c:extLst>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5-8009-9D4B-A1AC-238881B3849D}"/>
              </c:ext>
            </c:extLst>
          </c:dPt>
          <c:dPt>
            <c:idx val="3"/>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7-8009-9D4B-A1AC-238881B3849D}"/>
              </c:ext>
            </c:extLst>
          </c:dPt>
          <c:dPt>
            <c:idx val="4"/>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9-8009-9D4B-A1AC-238881B3849D}"/>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1"/>
              <c:showBubbleSize val="0"/>
              <c:extLst>
                <c:ext xmlns:c16="http://schemas.microsoft.com/office/drawing/2014/chart" uri="{C3380CC4-5D6E-409C-BE32-E72D297353CC}">
                  <c16:uniqueId val="{00000001-8009-9D4B-A1AC-238881B3849D}"/>
                </c:ext>
              </c:extLst>
            </c:dLbl>
            <c:dLbl>
              <c:idx val="1"/>
              <c:layout>
                <c:manualLayout>
                  <c:x val="0.25351584910768227"/>
                  <c:y val="-0.22302062938287145"/>
                </c:manualLayout>
              </c:layout>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accent2"/>
                      </a:solidFill>
                      <a:effectLst/>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6724107466982783"/>
                      <c:h val="0.16068766626723588"/>
                    </c:manualLayout>
                  </c15:layout>
                </c:ext>
                <c:ext xmlns:c16="http://schemas.microsoft.com/office/drawing/2014/chart" uri="{C3380CC4-5D6E-409C-BE32-E72D297353CC}">
                  <c16:uniqueId val="{00000003-8009-9D4B-A1AC-238881B3849D}"/>
                </c:ext>
              </c:extLst>
            </c:dLbl>
            <c:dLbl>
              <c:idx val="2"/>
              <c:layout>
                <c:manualLayout>
                  <c:x val="-2.0865853728781678E-3"/>
                  <c:y val="2.9630710651480274E-2"/>
                </c:manualLayout>
              </c:layout>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009-9D4B-A1AC-238881B3849D}"/>
                </c:ext>
              </c:extLst>
            </c:dLbl>
            <c:dLbl>
              <c:idx val="3"/>
              <c:layout>
                <c:manualLayout>
                  <c:x val="3.2236807999585275E-2"/>
                  <c:y val="4.6759845836456627E-2"/>
                </c:manualLayout>
              </c:layout>
              <c:spPr>
                <a:solidFill>
                  <a:schemeClr val="lt1">
                    <a:alpha val="90000"/>
                  </a:schemeClr>
                </a:solidFill>
                <a:ln w="12700" cap="flat" cmpd="sng" algn="ctr">
                  <a:solidFill>
                    <a:schemeClr val="accent4"/>
                  </a:solidFill>
                  <a:round/>
                </a:ln>
                <a:effectLst>
                  <a:outerShdw blurRad="50800" dist="38100" dir="2700000" algn="tl" rotWithShape="0">
                    <a:schemeClr val="accent4">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009-9D4B-A1AC-238881B3849D}"/>
                </c:ext>
              </c:extLst>
            </c:dLbl>
            <c:dLbl>
              <c:idx val="4"/>
              <c:layout>
                <c:manualLayout>
                  <c:x val="8.3075186194264183E-2"/>
                  <c:y val="5.5889922984563745E-2"/>
                </c:manualLayout>
              </c:layout>
              <c:spPr>
                <a:solidFill>
                  <a:schemeClr val="lt1">
                    <a:alpha val="90000"/>
                  </a:schemeClr>
                </a:solidFill>
                <a:ln w="12700" cap="flat" cmpd="sng" algn="ctr">
                  <a:solidFill>
                    <a:schemeClr val="accent5"/>
                  </a:solidFill>
                  <a:round/>
                </a:ln>
                <a:effectLst>
                  <a:outerShdw blurRad="50800" dist="38100" dir="2700000" algn="tl" rotWithShape="0">
                    <a:schemeClr val="accent5">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8009-9D4B-A1AC-238881B3849D}"/>
                </c:ext>
              </c:extLst>
            </c:dLbl>
            <c:spPr>
              <a:solidFill>
                <a:sysClr val="window" lastClr="FFFFFF">
                  <a:alpha val="90000"/>
                </a:sysClr>
              </a:solidFill>
              <a:ln w="12700" cap="flat" cmpd="sng" algn="ctr">
                <a:solidFill>
                  <a:srgbClr val="4F81BD"/>
                </a:solidFill>
                <a:round/>
              </a:ln>
              <a:effectLst>
                <a:outerShdw blurRad="50800" dist="38100" dir="2700000" algn="tl" rotWithShape="0">
                  <a:srgbClr val="4F81BD">
                    <a:lumMod val="75000"/>
                    <a:alpha val="40000"/>
                  </a:srgbClr>
                </a:outerShdw>
              </a:effectLst>
            </c:spPr>
            <c:dLblPos val="in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'pie graph'!$B$36:$B$40</c:f>
              <c:strCache>
                <c:ptCount val="5"/>
                <c:pt idx="0">
                  <c:v>Single</c:v>
                </c:pt>
                <c:pt idx="1">
                  <c:v>Combination</c:v>
                </c:pt>
                <c:pt idx="2">
                  <c:v>Both</c:v>
                </c:pt>
                <c:pt idx="3">
                  <c:v>None</c:v>
                </c:pt>
                <c:pt idx="4">
                  <c:v>NA</c:v>
                </c:pt>
              </c:strCache>
            </c:strRef>
          </c:cat>
          <c:val>
            <c:numRef>
              <c:f>'pie graph'!$C$36:$C$40</c:f>
              <c:numCache>
                <c:formatCode>0.00%</c:formatCode>
                <c:ptCount val="5"/>
                <c:pt idx="0">
                  <c:v>0.32300000000000001</c:v>
                </c:pt>
                <c:pt idx="1">
                  <c:v>0.52800000000000002</c:v>
                </c:pt>
                <c:pt idx="2">
                  <c:v>7.9000000000000001E-2</c:v>
                </c:pt>
                <c:pt idx="3">
                  <c:v>3.9E-2</c:v>
                </c:pt>
                <c:pt idx="4">
                  <c:v>3.1E-2</c:v>
                </c:pt>
              </c:numCache>
            </c:numRef>
          </c:val>
          <c:extLst>
            <c:ext xmlns:c16="http://schemas.microsoft.com/office/drawing/2014/chart" uri="{C3380CC4-5D6E-409C-BE32-E72D297353CC}">
              <c16:uniqueId val="{0000000A-8009-9D4B-A1AC-238881B3849D}"/>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'pie graph'!$L$2:$L$1000</cx:f>
        <cx:lvl ptCount="999" formatCode="General">
          <cx:pt idx="0">0</cx:pt>
          <cx:pt idx="3">10</cx:pt>
          <cx:pt idx="5">75</cx:pt>
          <cx:pt idx="6">48</cx:pt>
          <cx:pt idx="7">22</cx:pt>
          <cx:pt idx="9">21</cx:pt>
          <cx:pt idx="10">9</cx:pt>
          <cx:pt idx="11">60</cx:pt>
          <cx:pt idx="12">50</cx:pt>
          <cx:pt idx="14">15</cx:pt>
          <cx:pt idx="15">3</cx:pt>
          <cx:pt idx="16">30</cx:pt>
          <cx:pt idx="17">8</cx:pt>
          <cx:pt idx="19">6</cx:pt>
          <cx:pt idx="20">34</cx:pt>
          <cx:pt idx="21">7</cx:pt>
          <cx:pt idx="22">56</cx:pt>
          <cx:pt idx="23">29</cx:pt>
          <cx:pt idx="24">24</cx:pt>
          <cx:pt idx="26">11</cx:pt>
          <cx:pt idx="29">13</cx:pt>
          <cx:pt idx="30">23</cx:pt>
          <cx:pt idx="31">8</cx:pt>
          <cx:pt idx="34">43</cx:pt>
          <cx:pt idx="41">19</cx:pt>
          <cx:pt idx="46">66</cx:pt>
          <cx:pt idx="49">24</cx:pt>
          <cx:pt idx="51">20</cx:pt>
          <cx:pt idx="53">11</cx:pt>
          <cx:pt idx="54">19</cx:pt>
          <cx:pt idx="56">18</cx:pt>
          <cx:pt idx="57">54</cx:pt>
          <cx:pt idx="58">15</cx:pt>
          <cx:pt idx="60">16</cx:pt>
          <cx:pt idx="61">109</cx:pt>
          <cx:pt idx="62">1</cx:pt>
          <cx:pt idx="65">8</cx:pt>
          <cx:pt idx="66">17</cx:pt>
          <cx:pt idx="67">153</cx:pt>
          <cx:pt idx="71">18</cx:pt>
          <cx:pt idx="73">52</cx:pt>
          <cx:pt idx="76">20</cx:pt>
          <cx:pt idx="80">17</cx:pt>
          <cx:pt idx="82">42</cx:pt>
          <cx:pt idx="83">27</cx:pt>
          <cx:pt idx="84">33</cx:pt>
          <cx:pt idx="85">36</cx:pt>
          <cx:pt idx="86">12</cx:pt>
          <cx:pt idx="91">28</cx:pt>
          <cx:pt idx="92">117</cx:pt>
          <cx:pt idx="93">213</cx:pt>
          <cx:pt idx="94">126</cx:pt>
          <cx:pt idx="95">12</cx:pt>
          <cx:pt idx="96">13</cx:pt>
          <cx:pt idx="98">15</cx:pt>
          <cx:pt idx="101">165</cx:pt>
          <cx:pt idx="103">12</cx:pt>
          <cx:pt idx="104">40</cx:pt>
          <cx:pt idx="105">30</cx:pt>
          <cx:pt idx="106">25</cx:pt>
          <cx:pt idx="107">46</cx:pt>
          <cx:pt idx="108">51</cx:pt>
          <cx:pt idx="109">18</cx:pt>
          <cx:pt idx="110">42</cx:pt>
          <cx:pt idx="112">19</cx:pt>
          <cx:pt idx="115">31</cx:pt>
          <cx:pt idx="116">93</cx:pt>
          <cx:pt idx="117">8</cx:pt>
          <cx:pt idx="119">17</cx:pt>
          <cx:pt idx="120">17</cx:pt>
          <cx:pt idx="122">12</cx:pt>
          <cx:pt idx="123">41</cx:pt>
          <cx:pt idx="125">21</cx:pt>
        </cx:lvl>
      </cx:numDim>
    </cx:data>
  </cx:chartData>
  <cx:chart>
    <cx:title pos="t" align="ctr" overlay="0">
      <cx:tx>
        <cx:txData>
          <cx:v>Sample Size of Dose Escalation </cx:v>
        </cx:txData>
      </cx:tx>
      <cx:txPr>
        <a:bodyPr spcFirstLastPara="1" vertOverflow="ellipsis" horzOverflow="overflow" wrap="square" lIns="0" tIns="0" rIns="0" bIns="0" anchor="ctr" anchorCtr="1"/>
        <a:lstStyle/>
        <a:p>
          <a:pPr algn="ctr" rtl="0">
            <a:defRPr/>
          </a:pPr>
          <a:r>
            <a:rPr lang="en-US" sz="1400" b="0" i="0" u="none" strike="noStrike" baseline="0">
              <a:solidFill>
                <a:srgbClr val="000000">
                  <a:lumMod val="65000"/>
                  <a:lumOff val="35000"/>
                </a:srgbClr>
              </a:solidFill>
              <a:latin typeface="Aptos Narrow"/>
            </a:rPr>
            <a:t>Sample Size of Dose Escalation </a:t>
          </a:r>
        </a:p>
      </cx:txPr>
    </cx:title>
    <cx:plotArea>
      <cx:plotAreaRegion>
        <cx:series layoutId="boxWhisker" uniqueId="{352D64DC-E089-214E-8C60-133098D32D66}">
          <cx:tx>
            <cx:txData>
              <cx:f>'pie graph'!$L$1</cx:f>
              <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'pie graph'!$T$2:$T$1000</cx:f>
        <cx:lvl ptCount="999" formatCode="General">
          <cx:pt idx="0">0</cx:pt>
          <cx:pt idx="3">3</cx:pt>
          <cx:pt idx="5">3</cx:pt>
          <cx:pt idx="6">8</cx:pt>
          <cx:pt idx="7">6</cx:pt>
          <cx:pt idx="9">3</cx:pt>
          <cx:pt idx="12">6</cx:pt>
          <cx:pt idx="14">2</cx:pt>
          <cx:pt idx="16">5</cx:pt>
          <cx:pt idx="19">2</cx:pt>
          <cx:pt idx="20">3</cx:pt>
          <cx:pt idx="21">2</cx:pt>
          <cx:pt idx="23">5</cx:pt>
          <cx:pt idx="24">3</cx:pt>
          <cx:pt idx="26">2</cx:pt>
          <cx:pt idx="27">2</cx:pt>
          <cx:pt idx="29">4</cx:pt>
          <cx:pt idx="30">3</cx:pt>
          <cx:pt idx="31">4</cx:pt>
          <cx:pt idx="34">3</cx:pt>
          <cx:pt idx="38">3</cx:pt>
          <cx:pt idx="41">4</cx:pt>
          <cx:pt idx="49">2</cx:pt>
          <cx:pt idx="51">3</cx:pt>
          <cx:pt idx="52">3</cx:pt>
          <cx:pt idx="53">2</cx:pt>
          <cx:pt idx="54">8</cx:pt>
          <cx:pt idx="56">3</cx:pt>
          <cx:pt idx="57">10</cx:pt>
          <cx:pt idx="58">4</cx:pt>
          <cx:pt idx="60">7</cx:pt>
          <cx:pt idx="61">7</cx:pt>
          <cx:pt idx="62">2</cx:pt>
          <cx:pt idx="65">3</cx:pt>
          <cx:pt idx="67">0</cx:pt>
          <cx:pt idx="71">3</cx:pt>
          <cx:pt idx="73">2</cx:pt>
          <cx:pt idx="74">3</cx:pt>
          <cx:pt idx="77">7</cx:pt>
          <cx:pt idx="80">3</cx:pt>
          <cx:pt idx="82">3</cx:pt>
          <cx:pt idx="84">3</cx:pt>
          <cx:pt idx="85">4</cx:pt>
          <cx:pt idx="86">5</cx:pt>
          <cx:pt idx="92">2</cx:pt>
          <cx:pt idx="93">3</cx:pt>
          <cx:pt idx="94">3</cx:pt>
          <cx:pt idx="95">3</cx:pt>
          <cx:pt idx="96">5</cx:pt>
          <cx:pt idx="98">2</cx:pt>
          <cx:pt idx="101">5</cx:pt>
          <cx:pt idx="103">5</cx:pt>
          <cx:pt idx="105">5</cx:pt>
          <cx:pt idx="106">2</cx:pt>
          <cx:pt idx="107">2</cx:pt>
          <cx:pt idx="108">3</cx:pt>
          <cx:pt idx="109">3</cx:pt>
          <cx:pt idx="110">3</cx:pt>
          <cx:pt idx="112">2</cx:pt>
          <cx:pt idx="115">3</cx:pt>
          <cx:pt idx="117">2</cx:pt>
          <cx:pt idx="118">1</cx:pt>
          <cx:pt idx="119">10</cx:pt>
          <cx:pt idx="120">3</cx:pt>
          <cx:pt idx="122">2</cx:pt>
          <cx:pt idx="123">2</cx:pt>
          <cx:pt idx="125">5</cx:pt>
          <cx:pt idx="127">3</cx:pt>
        </cx:lvl>
      </cx:numDim>
    </cx:data>
  </cx:chartData>
  <cx:chart>
    <cx:title pos="t" align="ctr" overlay="0">
      <cx:tx>
        <cx:txData>
          <cx:v>Dose Levels</cx:v>
        </cx:txData>
      </cx:tx>
      <cx:txPr>
        <a:bodyPr spcFirstLastPara="1" vertOverflow="ellipsis" horzOverflow="overflow" wrap="square" lIns="0" tIns="0" rIns="0" bIns="0" anchor="ctr" anchorCtr="1"/>
        <a:lstStyle/>
        <a:p>
          <a:pPr algn="ctr" rtl="0">
            <a:defRPr/>
          </a:pPr>
          <a:r>
            <a:rPr lang="en-US" sz="1400" b="0" i="0" u="none" strike="noStrike" baseline="0">
              <a:solidFill>
                <a:srgbClr val="000000">
                  <a:lumMod val="65000"/>
                  <a:lumOff val="35000"/>
                </a:srgbClr>
              </a:solidFill>
              <a:latin typeface="Aptos Narrow"/>
            </a:rPr>
            <a:t>Dose Levels</a:t>
          </a:r>
        </a:p>
      </cx:txPr>
    </cx:title>
    <cx:plotArea>
      <cx:plotAreaRegion>
        <cx:series layoutId="boxWhisker" uniqueId="{6C47789F-73C8-3847-B472-B0D344C84574}">
          <cx:tx>
            <cx:txData>
              <cx:f>'pie graph'!$T$1</cx:f>
              <cx:v/>
            </cx:txData>
          </cx:tx>
          <cx:spPr>
            <a:solidFill>
              <a:schemeClr val="accent3">
                <a:lumMod val="60000"/>
                <a:lumOff val="40000"/>
              </a:schemeClr>
            </a:solidFill>
          </cx:spPr>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282ba90-ddec-4a13-ae54-b66a1cb5bf6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FBBDD9F0ACC4C4094BBA50EF7D5EF89" ma:contentTypeVersion="18" ma:contentTypeDescription="Create a new document." ma:contentTypeScope="" ma:versionID="ce4899c93d487a4e9aa414fa0e9d68a3">
  <xsd:schema xmlns:xsd="http://www.w3.org/2001/XMLSchema" xmlns:xs="http://www.w3.org/2001/XMLSchema" xmlns:p="http://schemas.microsoft.com/office/2006/metadata/properties" xmlns:ns3="1d4a5150-cbf4-4235-bd97-0c12de4f47da" xmlns:ns4="5282ba90-ddec-4a13-ae54-b66a1cb5bf68" targetNamespace="http://schemas.microsoft.com/office/2006/metadata/properties" ma:root="true" ma:fieldsID="700676347c6a98103414593bcd138187" ns3:_="" ns4:_="">
    <xsd:import namespace="1d4a5150-cbf4-4235-bd97-0c12de4f47da"/>
    <xsd:import namespace="5282ba90-ddec-4a13-ae54-b66a1cb5bf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LengthInSeconds"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a5150-cbf4-4235-bd97-0c12de4f47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82ba90-ddec-4a13-ae54-b66a1cb5bf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412B6B-7843-45FB-AB0A-0849DA271B43}">
  <ds:schemaRefs>
    <ds:schemaRef ds:uri="http://schemas.openxmlformats.org/officeDocument/2006/bibliography"/>
  </ds:schemaRefs>
</ds:datastoreItem>
</file>

<file path=customXml/itemProps2.xml><?xml version="1.0" encoding="utf-8"?>
<ds:datastoreItem xmlns:ds="http://schemas.openxmlformats.org/officeDocument/2006/customXml" ds:itemID="{468C3717-F392-43B2-92E1-81A9D4DCC4DC}">
  <ds:schemaRefs>
    <ds:schemaRef ds:uri="http://schemas.microsoft.com/office/2006/metadata/properties"/>
    <ds:schemaRef ds:uri="http://schemas.microsoft.com/office/infopath/2007/PartnerControls"/>
    <ds:schemaRef ds:uri="5282ba90-ddec-4a13-ae54-b66a1cb5bf68"/>
  </ds:schemaRefs>
</ds:datastoreItem>
</file>

<file path=customXml/itemProps3.xml><?xml version="1.0" encoding="utf-8"?>
<ds:datastoreItem xmlns:ds="http://schemas.openxmlformats.org/officeDocument/2006/customXml" ds:itemID="{5EE15680-63CF-482F-AE8A-5C6F46B76AF7}">
  <ds:schemaRefs>
    <ds:schemaRef ds:uri="http://schemas.microsoft.com/sharepoint/v3/contenttype/forms"/>
  </ds:schemaRefs>
</ds:datastoreItem>
</file>

<file path=customXml/itemProps4.xml><?xml version="1.0" encoding="utf-8"?>
<ds:datastoreItem xmlns:ds="http://schemas.openxmlformats.org/officeDocument/2006/customXml" ds:itemID="{EEE8719F-15B8-4298-A050-51ED41ACA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a5150-cbf4-4235-bd97-0c12de4f47da"/>
    <ds:schemaRef ds:uri="5282ba90-ddec-4a13-ae54-b66a1cb5bf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Wenli Dong</cp:lastModifiedBy>
  <cp:revision>6</cp:revision>
  <dcterms:created xsi:type="dcterms:W3CDTF">2024-09-22T21:47:00Z</dcterms:created>
  <dcterms:modified xsi:type="dcterms:W3CDTF">2024-10-30T04:47:00Z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0x010100EFBBDD9F0ACC4C4094BBA50EF7D5EF89</vt:lpwstr>
  </property>
</Properties>
</file>