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3235E8"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Ph.D.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BSc.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872C04">
          <w:pPr>
            <w:pStyle w:val="Tartalomjegyzkcmsora"/>
            <w:spacing w:line="360" w:lineRule="auto"/>
            <w:jc w:val="both"/>
          </w:pPr>
          <w:r>
            <w:t>Tartalomjegyzék</w:t>
          </w:r>
        </w:p>
        <w:p w14:paraId="016012A0" w14:textId="3F8FD7EB" w:rsidR="00B9341F" w:rsidRDefault="00803148">
          <w:pPr>
            <w:pStyle w:val="TJ1"/>
            <w:tabs>
              <w:tab w:val="right" w:leader="dot" w:pos="8493"/>
            </w:tabs>
            <w:rPr>
              <w:rFonts w:eastAsiaTheme="minorEastAsia"/>
              <w:noProof/>
              <w:lang w:eastAsia="hu-HU"/>
            </w:rPr>
          </w:pPr>
          <w:r>
            <w:fldChar w:fldCharType="begin"/>
          </w:r>
          <w:r>
            <w:instrText xml:space="preserve"> TOC \o "1-3" \h \z \u </w:instrText>
          </w:r>
          <w:r>
            <w:fldChar w:fldCharType="separate"/>
          </w:r>
          <w:hyperlink w:anchor="_Toc69812429" w:history="1">
            <w:r w:rsidR="00B9341F" w:rsidRPr="003D6625">
              <w:rPr>
                <w:rStyle w:val="Hiperhivatkozs"/>
                <w:rFonts w:cs="Times New Roman"/>
                <w:noProof/>
              </w:rPr>
              <w:t>Bevezetés</w:t>
            </w:r>
            <w:r w:rsidR="00B9341F">
              <w:rPr>
                <w:noProof/>
                <w:webHidden/>
              </w:rPr>
              <w:tab/>
            </w:r>
            <w:r w:rsidR="00B9341F">
              <w:rPr>
                <w:noProof/>
                <w:webHidden/>
              </w:rPr>
              <w:fldChar w:fldCharType="begin"/>
            </w:r>
            <w:r w:rsidR="00B9341F">
              <w:rPr>
                <w:noProof/>
                <w:webHidden/>
              </w:rPr>
              <w:instrText xml:space="preserve"> PAGEREF _Toc69812429 \h </w:instrText>
            </w:r>
            <w:r w:rsidR="00B9341F">
              <w:rPr>
                <w:noProof/>
                <w:webHidden/>
              </w:rPr>
            </w:r>
            <w:r w:rsidR="00B9341F">
              <w:rPr>
                <w:noProof/>
                <w:webHidden/>
              </w:rPr>
              <w:fldChar w:fldCharType="separate"/>
            </w:r>
            <w:r w:rsidR="00B9341F">
              <w:rPr>
                <w:noProof/>
                <w:webHidden/>
              </w:rPr>
              <w:t>3</w:t>
            </w:r>
            <w:r w:rsidR="00B9341F">
              <w:rPr>
                <w:noProof/>
                <w:webHidden/>
              </w:rPr>
              <w:fldChar w:fldCharType="end"/>
            </w:r>
          </w:hyperlink>
        </w:p>
        <w:p w14:paraId="5DB73919" w14:textId="6C25AE60" w:rsidR="00B9341F" w:rsidRDefault="00B9341F">
          <w:pPr>
            <w:pStyle w:val="TJ2"/>
            <w:tabs>
              <w:tab w:val="right" w:leader="dot" w:pos="8493"/>
            </w:tabs>
            <w:rPr>
              <w:rFonts w:eastAsiaTheme="minorEastAsia"/>
              <w:noProof/>
              <w:lang w:eastAsia="hu-HU"/>
            </w:rPr>
          </w:pPr>
          <w:hyperlink w:anchor="_Toc69812430" w:history="1">
            <w:r w:rsidRPr="003D6625">
              <w:rPr>
                <w:rStyle w:val="Hiperhivatkozs"/>
                <w:noProof/>
              </w:rPr>
              <w:t>Köszönetnyilvánítás</w:t>
            </w:r>
            <w:r>
              <w:rPr>
                <w:noProof/>
                <w:webHidden/>
              </w:rPr>
              <w:tab/>
            </w:r>
            <w:r>
              <w:rPr>
                <w:noProof/>
                <w:webHidden/>
              </w:rPr>
              <w:fldChar w:fldCharType="begin"/>
            </w:r>
            <w:r>
              <w:rPr>
                <w:noProof/>
                <w:webHidden/>
              </w:rPr>
              <w:instrText xml:space="preserve"> PAGEREF _Toc69812430 \h </w:instrText>
            </w:r>
            <w:r>
              <w:rPr>
                <w:noProof/>
                <w:webHidden/>
              </w:rPr>
            </w:r>
            <w:r>
              <w:rPr>
                <w:noProof/>
                <w:webHidden/>
              </w:rPr>
              <w:fldChar w:fldCharType="separate"/>
            </w:r>
            <w:r>
              <w:rPr>
                <w:noProof/>
                <w:webHidden/>
              </w:rPr>
              <w:t>3</w:t>
            </w:r>
            <w:r>
              <w:rPr>
                <w:noProof/>
                <w:webHidden/>
              </w:rPr>
              <w:fldChar w:fldCharType="end"/>
            </w:r>
          </w:hyperlink>
        </w:p>
        <w:p w14:paraId="59165E08" w14:textId="520C1C98" w:rsidR="00B9341F" w:rsidRDefault="00B9341F">
          <w:pPr>
            <w:pStyle w:val="TJ1"/>
            <w:tabs>
              <w:tab w:val="right" w:leader="dot" w:pos="8493"/>
            </w:tabs>
            <w:rPr>
              <w:rFonts w:eastAsiaTheme="minorEastAsia"/>
              <w:noProof/>
              <w:lang w:eastAsia="hu-HU"/>
            </w:rPr>
          </w:pPr>
          <w:hyperlink w:anchor="_Toc69812431" w:history="1">
            <w:r w:rsidRPr="003D6625">
              <w:rPr>
                <w:rStyle w:val="Hiperhivatkozs"/>
                <w:noProof/>
              </w:rPr>
              <w:t>Felhasználói dokumentáció</w:t>
            </w:r>
            <w:r>
              <w:rPr>
                <w:noProof/>
                <w:webHidden/>
              </w:rPr>
              <w:tab/>
            </w:r>
            <w:r>
              <w:rPr>
                <w:noProof/>
                <w:webHidden/>
              </w:rPr>
              <w:fldChar w:fldCharType="begin"/>
            </w:r>
            <w:r>
              <w:rPr>
                <w:noProof/>
                <w:webHidden/>
              </w:rPr>
              <w:instrText xml:space="preserve"> PAGEREF _Toc69812431 \h </w:instrText>
            </w:r>
            <w:r>
              <w:rPr>
                <w:noProof/>
                <w:webHidden/>
              </w:rPr>
            </w:r>
            <w:r>
              <w:rPr>
                <w:noProof/>
                <w:webHidden/>
              </w:rPr>
              <w:fldChar w:fldCharType="separate"/>
            </w:r>
            <w:r>
              <w:rPr>
                <w:noProof/>
                <w:webHidden/>
              </w:rPr>
              <w:t>4</w:t>
            </w:r>
            <w:r>
              <w:rPr>
                <w:noProof/>
                <w:webHidden/>
              </w:rPr>
              <w:fldChar w:fldCharType="end"/>
            </w:r>
          </w:hyperlink>
        </w:p>
        <w:p w14:paraId="4A223811" w14:textId="6D6BE653" w:rsidR="00B9341F" w:rsidRDefault="00B9341F">
          <w:pPr>
            <w:pStyle w:val="TJ2"/>
            <w:tabs>
              <w:tab w:val="right" w:leader="dot" w:pos="8493"/>
            </w:tabs>
            <w:rPr>
              <w:rFonts w:eastAsiaTheme="minorEastAsia"/>
              <w:noProof/>
              <w:lang w:eastAsia="hu-HU"/>
            </w:rPr>
          </w:pPr>
          <w:hyperlink w:anchor="_Toc69812432" w:history="1">
            <w:r w:rsidRPr="003D6625">
              <w:rPr>
                <w:rStyle w:val="Hiperhivatkozs"/>
                <w:noProof/>
              </w:rPr>
              <w:t>Rendszerkövetelmény</w:t>
            </w:r>
            <w:r>
              <w:rPr>
                <w:noProof/>
                <w:webHidden/>
              </w:rPr>
              <w:tab/>
            </w:r>
            <w:r>
              <w:rPr>
                <w:noProof/>
                <w:webHidden/>
              </w:rPr>
              <w:fldChar w:fldCharType="begin"/>
            </w:r>
            <w:r>
              <w:rPr>
                <w:noProof/>
                <w:webHidden/>
              </w:rPr>
              <w:instrText xml:space="preserve"> PAGEREF _Toc69812432 \h </w:instrText>
            </w:r>
            <w:r>
              <w:rPr>
                <w:noProof/>
                <w:webHidden/>
              </w:rPr>
            </w:r>
            <w:r>
              <w:rPr>
                <w:noProof/>
                <w:webHidden/>
              </w:rPr>
              <w:fldChar w:fldCharType="separate"/>
            </w:r>
            <w:r>
              <w:rPr>
                <w:noProof/>
                <w:webHidden/>
              </w:rPr>
              <w:t>4</w:t>
            </w:r>
            <w:r>
              <w:rPr>
                <w:noProof/>
                <w:webHidden/>
              </w:rPr>
              <w:fldChar w:fldCharType="end"/>
            </w:r>
          </w:hyperlink>
        </w:p>
        <w:p w14:paraId="1DCDB1E1" w14:textId="6B9C039C" w:rsidR="00B9341F" w:rsidRDefault="00B9341F">
          <w:pPr>
            <w:pStyle w:val="TJ2"/>
            <w:tabs>
              <w:tab w:val="right" w:leader="dot" w:pos="8493"/>
            </w:tabs>
            <w:rPr>
              <w:rFonts w:eastAsiaTheme="minorEastAsia"/>
              <w:noProof/>
              <w:lang w:eastAsia="hu-HU"/>
            </w:rPr>
          </w:pPr>
          <w:hyperlink w:anchor="_Toc69812433" w:history="1">
            <w:r w:rsidRPr="003D6625">
              <w:rPr>
                <w:rStyle w:val="Hiperhivatkozs"/>
                <w:noProof/>
              </w:rPr>
              <w:t>Használati útmutató</w:t>
            </w:r>
            <w:r>
              <w:rPr>
                <w:noProof/>
                <w:webHidden/>
              </w:rPr>
              <w:tab/>
            </w:r>
            <w:r>
              <w:rPr>
                <w:noProof/>
                <w:webHidden/>
              </w:rPr>
              <w:fldChar w:fldCharType="begin"/>
            </w:r>
            <w:r>
              <w:rPr>
                <w:noProof/>
                <w:webHidden/>
              </w:rPr>
              <w:instrText xml:space="preserve"> PAGEREF _Toc69812433 \h </w:instrText>
            </w:r>
            <w:r>
              <w:rPr>
                <w:noProof/>
                <w:webHidden/>
              </w:rPr>
            </w:r>
            <w:r>
              <w:rPr>
                <w:noProof/>
                <w:webHidden/>
              </w:rPr>
              <w:fldChar w:fldCharType="separate"/>
            </w:r>
            <w:r>
              <w:rPr>
                <w:noProof/>
                <w:webHidden/>
              </w:rPr>
              <w:t>4</w:t>
            </w:r>
            <w:r>
              <w:rPr>
                <w:noProof/>
                <w:webHidden/>
              </w:rPr>
              <w:fldChar w:fldCharType="end"/>
            </w:r>
          </w:hyperlink>
        </w:p>
        <w:p w14:paraId="772DC613" w14:textId="743767AE" w:rsidR="00B9341F" w:rsidRDefault="00B9341F">
          <w:pPr>
            <w:pStyle w:val="TJ1"/>
            <w:tabs>
              <w:tab w:val="right" w:leader="dot" w:pos="8493"/>
            </w:tabs>
            <w:rPr>
              <w:rFonts w:eastAsiaTheme="minorEastAsia"/>
              <w:noProof/>
              <w:lang w:eastAsia="hu-HU"/>
            </w:rPr>
          </w:pPr>
          <w:hyperlink w:anchor="_Toc69812434" w:history="1">
            <w:r w:rsidRPr="003D6625">
              <w:rPr>
                <w:rStyle w:val="Hiperhivatkozs"/>
                <w:noProof/>
              </w:rPr>
              <w:t>Fejlesztői dokumentáció</w:t>
            </w:r>
            <w:r>
              <w:rPr>
                <w:noProof/>
                <w:webHidden/>
              </w:rPr>
              <w:tab/>
            </w:r>
            <w:r>
              <w:rPr>
                <w:noProof/>
                <w:webHidden/>
              </w:rPr>
              <w:fldChar w:fldCharType="begin"/>
            </w:r>
            <w:r>
              <w:rPr>
                <w:noProof/>
                <w:webHidden/>
              </w:rPr>
              <w:instrText xml:space="preserve"> PAGEREF _Toc69812434 \h </w:instrText>
            </w:r>
            <w:r>
              <w:rPr>
                <w:noProof/>
                <w:webHidden/>
              </w:rPr>
            </w:r>
            <w:r>
              <w:rPr>
                <w:noProof/>
                <w:webHidden/>
              </w:rPr>
              <w:fldChar w:fldCharType="separate"/>
            </w:r>
            <w:r>
              <w:rPr>
                <w:noProof/>
                <w:webHidden/>
              </w:rPr>
              <w:t>18</w:t>
            </w:r>
            <w:r>
              <w:rPr>
                <w:noProof/>
                <w:webHidden/>
              </w:rPr>
              <w:fldChar w:fldCharType="end"/>
            </w:r>
          </w:hyperlink>
        </w:p>
        <w:p w14:paraId="3214AFBA" w14:textId="5123C2B9" w:rsidR="00B9341F" w:rsidRDefault="00B9341F">
          <w:pPr>
            <w:pStyle w:val="TJ1"/>
            <w:tabs>
              <w:tab w:val="right" w:leader="dot" w:pos="8493"/>
            </w:tabs>
            <w:rPr>
              <w:rFonts w:eastAsiaTheme="minorEastAsia"/>
              <w:noProof/>
              <w:lang w:eastAsia="hu-HU"/>
            </w:rPr>
          </w:pPr>
          <w:hyperlink w:anchor="_Toc69812435" w:history="1">
            <w:r w:rsidRPr="003D6625">
              <w:rPr>
                <w:rStyle w:val="Hiperhivatkozs"/>
                <w:noProof/>
              </w:rPr>
              <w:t>Összefoglaló</w:t>
            </w:r>
            <w:r>
              <w:rPr>
                <w:noProof/>
                <w:webHidden/>
              </w:rPr>
              <w:tab/>
            </w:r>
            <w:r>
              <w:rPr>
                <w:noProof/>
                <w:webHidden/>
              </w:rPr>
              <w:fldChar w:fldCharType="begin"/>
            </w:r>
            <w:r>
              <w:rPr>
                <w:noProof/>
                <w:webHidden/>
              </w:rPr>
              <w:instrText xml:space="preserve"> PAGEREF _Toc69812435 \h </w:instrText>
            </w:r>
            <w:r>
              <w:rPr>
                <w:noProof/>
                <w:webHidden/>
              </w:rPr>
            </w:r>
            <w:r>
              <w:rPr>
                <w:noProof/>
                <w:webHidden/>
              </w:rPr>
              <w:fldChar w:fldCharType="separate"/>
            </w:r>
            <w:r>
              <w:rPr>
                <w:noProof/>
                <w:webHidden/>
              </w:rPr>
              <w:t>19</w:t>
            </w:r>
            <w:r>
              <w:rPr>
                <w:noProof/>
                <w:webHidden/>
              </w:rPr>
              <w:fldChar w:fldCharType="end"/>
            </w:r>
          </w:hyperlink>
        </w:p>
        <w:p w14:paraId="5EA650E7" w14:textId="2F8BA559" w:rsidR="00B9341F" w:rsidRDefault="00B9341F">
          <w:pPr>
            <w:pStyle w:val="TJ1"/>
            <w:tabs>
              <w:tab w:val="right" w:leader="dot" w:pos="8493"/>
            </w:tabs>
            <w:rPr>
              <w:rFonts w:eastAsiaTheme="minorEastAsia"/>
              <w:noProof/>
              <w:lang w:eastAsia="hu-HU"/>
            </w:rPr>
          </w:pPr>
          <w:hyperlink w:anchor="_Toc69812436" w:history="1">
            <w:r w:rsidRPr="003D6625">
              <w:rPr>
                <w:rStyle w:val="Hiperhivatkozs"/>
                <w:noProof/>
              </w:rPr>
              <w:t>Irodalomjegyzék</w:t>
            </w:r>
            <w:r>
              <w:rPr>
                <w:noProof/>
                <w:webHidden/>
              </w:rPr>
              <w:tab/>
            </w:r>
            <w:r>
              <w:rPr>
                <w:noProof/>
                <w:webHidden/>
              </w:rPr>
              <w:fldChar w:fldCharType="begin"/>
            </w:r>
            <w:r>
              <w:rPr>
                <w:noProof/>
                <w:webHidden/>
              </w:rPr>
              <w:instrText xml:space="preserve"> PAGEREF _Toc69812436 \h </w:instrText>
            </w:r>
            <w:r>
              <w:rPr>
                <w:noProof/>
                <w:webHidden/>
              </w:rPr>
            </w:r>
            <w:r>
              <w:rPr>
                <w:noProof/>
                <w:webHidden/>
              </w:rPr>
              <w:fldChar w:fldCharType="separate"/>
            </w:r>
            <w:r>
              <w:rPr>
                <w:noProof/>
                <w:webHidden/>
              </w:rPr>
              <w:t>20</w:t>
            </w:r>
            <w:r>
              <w:rPr>
                <w:noProof/>
                <w:webHidden/>
              </w:rPr>
              <w:fldChar w:fldCharType="end"/>
            </w:r>
          </w:hyperlink>
        </w:p>
        <w:p w14:paraId="0C207950" w14:textId="2D7AA20F" w:rsidR="00803148" w:rsidRDefault="00803148" w:rsidP="00872C04">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872C04">
      <w:pPr>
        <w:pStyle w:val="Cmsor1"/>
        <w:spacing w:line="360" w:lineRule="auto"/>
        <w:jc w:val="both"/>
        <w:rPr>
          <w:rFonts w:cs="Times New Roman"/>
        </w:rPr>
      </w:pPr>
      <w:bookmarkStart w:id="0" w:name="_Toc69812429"/>
      <w:r w:rsidRPr="001A4CDC">
        <w:rPr>
          <w:rFonts w:cs="Times New Roman"/>
        </w:rPr>
        <w:lastRenderedPageBreak/>
        <w:t>Bevezetés</w:t>
      </w:r>
      <w:bookmarkEnd w:id="0"/>
    </w:p>
    <w:p w14:paraId="22AD1227" w14:textId="311A45B0" w:rsidR="008D7288" w:rsidRDefault="00555C6F"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Szakdolgozatom témája – mint a címből is kiderül - egy életszimulátor játék az Android rendszerre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rendszereken is elérhető legyen egy ehhez hasonló játék. Bár a Real Lives 2007 megfelelőnek tűnhet erre a célra, de az már eléggé elavult és beszerezni sem egyszerű.</w:t>
      </w:r>
    </w:p>
    <w:p w14:paraId="26F43148" w14:textId="5A910051" w:rsidR="008D7288" w:rsidRDefault="008D7288"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Végső motivációm az eseményvezérelt alkalmazások témaköre volt. Harmadik félévemben végeztem el az ehhez tartozó tárgyat, és bár nem volt egyszerű teljesíteni, rengeteget dolgoztam a beadandókon és a ZH-kra való készülés is rengeteg időmet felemésztette,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872C04">
      <w:pPr>
        <w:pStyle w:val="Cmsor2"/>
        <w:spacing w:line="360" w:lineRule="auto"/>
        <w:jc w:val="both"/>
      </w:pPr>
      <w:bookmarkStart w:id="1" w:name="_Toc69812430"/>
      <w:r>
        <w:t>Köszönetnyilvánítás</w:t>
      </w:r>
      <w:bookmarkEnd w:id="1"/>
    </w:p>
    <w:p w14:paraId="0AB83B5A" w14:textId="7ACACCC5" w:rsidR="00125798" w:rsidRPr="00125798" w:rsidRDefault="003456BC"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lelkileg és anyagilag is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872C04">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872C04">
      <w:pPr>
        <w:pStyle w:val="Cmsor1"/>
        <w:spacing w:line="360" w:lineRule="auto"/>
        <w:jc w:val="both"/>
      </w:pPr>
      <w:bookmarkStart w:id="2" w:name="_Toc69812431"/>
      <w:r>
        <w:lastRenderedPageBreak/>
        <w:t>Felhasználói dokumentáció</w:t>
      </w:r>
      <w:bookmarkEnd w:id="2"/>
    </w:p>
    <w:p w14:paraId="1CF5EDCD" w14:textId="77777777" w:rsidR="000A3A77" w:rsidRDefault="000A3A77" w:rsidP="00872C04">
      <w:pPr>
        <w:pStyle w:val="Cmsor2"/>
        <w:spacing w:line="360" w:lineRule="auto"/>
        <w:jc w:val="both"/>
      </w:pPr>
      <w:bookmarkStart w:id="3" w:name="_Toc69812432"/>
      <w:r>
        <w:t>Rendszerkövetelmény</w:t>
      </w:r>
      <w:bookmarkEnd w:id="3"/>
    </w:p>
    <w:p w14:paraId="151DA623" w14:textId="77777777" w:rsidR="000A3A77" w:rsidRPr="000A3A77" w:rsidRDefault="000A3A77" w:rsidP="00872C04">
      <w:pPr>
        <w:pStyle w:val="Listaszerbekezds"/>
        <w:numPr>
          <w:ilvl w:val="0"/>
          <w:numId w:val="8"/>
        </w:numPr>
        <w:spacing w:line="360" w:lineRule="auto"/>
        <w:jc w:val="both"/>
      </w:pPr>
      <w:r w:rsidRPr="000A3A77">
        <w:rPr>
          <w:rFonts w:ascii="Times New Roman" w:hAnsi="Times New Roman" w:cs="Times New Roman"/>
          <w:sz w:val="24"/>
          <w:szCs w:val="24"/>
        </w:rPr>
        <w:t>D</w:t>
      </w:r>
      <w:r>
        <w:rPr>
          <w:rFonts w:ascii="Times New Roman" w:hAnsi="Times New Roman" w:cs="Times New Roman"/>
          <w:sz w:val="24"/>
          <w:szCs w:val="24"/>
        </w:rPr>
        <w:t>ual Core 1GHz-es, vagy gyorsabb processzor</w:t>
      </w:r>
    </w:p>
    <w:p w14:paraId="52CCD55F" w14:textId="77777777" w:rsidR="000A3A77" w:rsidRPr="000A3A77" w:rsidRDefault="000A3A77" w:rsidP="00872C04">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872C04">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872C04">
      <w:pPr>
        <w:pStyle w:val="Listaszerbekezds"/>
        <w:numPr>
          <w:ilvl w:val="1"/>
          <w:numId w:val="8"/>
        </w:numPr>
        <w:spacing w:line="360" w:lineRule="auto"/>
        <w:jc w:val="both"/>
      </w:pPr>
      <w:r>
        <w:rPr>
          <w:rFonts w:ascii="Times New Roman" w:hAnsi="Times New Roman" w:cs="Times New Roman"/>
          <w:sz w:val="24"/>
          <w:szCs w:val="24"/>
        </w:rPr>
        <w:t>Visual Studio 2019 a buildeléshez és futtatáshoz</w:t>
      </w:r>
    </w:p>
    <w:p w14:paraId="43C59D7B" w14:textId="77777777" w:rsidR="001963E4" w:rsidRDefault="000A3A77" w:rsidP="00872C04">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r w:rsidR="00AE4152">
        <w:rPr>
          <w:rFonts w:ascii="Times New Roman" w:hAnsi="Times New Roman" w:cs="Times New Roman"/>
          <w:sz w:val="24"/>
          <w:szCs w:val="24"/>
        </w:rPr>
        <w:t>Core</w:t>
      </w:r>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5CC0A2B6" w14:textId="77777777" w:rsidR="000A5B46" w:rsidRDefault="001963E4" w:rsidP="00872C04">
      <w:pPr>
        <w:pStyle w:val="Cmsor2"/>
        <w:spacing w:line="360" w:lineRule="auto"/>
        <w:jc w:val="both"/>
      </w:pPr>
      <w:bookmarkStart w:id="4" w:name="_Toc69812433"/>
      <w:r>
        <w:t>Használati útmutató</w:t>
      </w:r>
      <w:bookmarkEnd w:id="4"/>
    </w:p>
    <w:p w14:paraId="1BC0DA80" w14:textId="77777777" w:rsidR="00356534" w:rsidRDefault="000A5B46" w:rsidP="00872C04">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ablak jelenik meg, ahol kiválaszthatjuk, hogy egy véletlenszerűen generált emberrel, vagy egy testreszabható emberrel kezdünk neki a játéknak.</w:t>
      </w:r>
    </w:p>
    <w:p w14:paraId="508B2C8D" w14:textId="77777777" w:rsidR="00356534" w:rsidRDefault="00356534"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402FA3">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testreszabhatjuk karakterünk nevét és nemét.</w:t>
      </w:r>
    </w:p>
    <w:p w14:paraId="61BAC4D6" w14:textId="77777777" w:rsidR="00356534" w:rsidRDefault="000A5B46"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mber testreszabása</w:t>
      </w:r>
    </w:p>
    <w:p w14:paraId="577508DB" w14:textId="7F74C024" w:rsidR="007360B7" w:rsidRDefault="007360B7"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’Achievementek’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xml:space="preserve">, akikkel </w:t>
      </w:r>
      <w:r w:rsidR="008753A5">
        <w:rPr>
          <w:rFonts w:ascii="Times New Roman" w:eastAsiaTheme="majorEastAsia" w:hAnsi="Times New Roman" w:cstheme="majorBidi"/>
          <w:sz w:val="24"/>
          <w:szCs w:val="24"/>
        </w:rPr>
        <w:lastRenderedPageBreak/>
        <w:t>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402FA3">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872C04">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402FA3">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1B014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050D32">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Szakítás esetén kapunk egy figyelmeztető ablakot, aminél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387511">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38751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387511">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38751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2B480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2B4809">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3D405F">
      <w:pPr>
        <w:spacing w:after="160" w:line="259" w:lineRule="auto"/>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F64BCB">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5A36D5">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EC35A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EC35A9">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EC35A9">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9D5EF1">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527CD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527CD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A7620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A7620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F02B1E">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E7058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E7058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2B480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Itt ha van elég pénzünk, akkor el tudunk költözni a szülői lakásból, ami extra boldogságot jelent minden évben. Érdemes viszont odafigyelni arra, hogy a drágább házaknak többe kerül az éves fenntartása, </w:t>
      </w:r>
      <w:r w:rsidR="00505624">
        <w:rPr>
          <w:rFonts w:ascii="Times New Roman" w:eastAsiaTheme="majorEastAsia" w:hAnsi="Times New Roman" w:cstheme="majorBidi"/>
          <w:sz w:val="24"/>
          <w:szCs w:val="24"/>
        </w:rPr>
        <w:t>így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DC14D2">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DC14D2">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DC14D2">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77777777" w:rsidR="004522EC" w:rsidRDefault="00DC14D2" w:rsidP="00DC14D2">
      <w:pPr>
        <w:spacing w:after="160" w:line="360" w:lineRule="auto"/>
        <w:jc w:val="center"/>
        <w:rPr>
          <w:rFonts w:ascii="Times New Roman" w:eastAsiaTheme="majorEastAsia" w:hAnsi="Times New Roman" w:cstheme="majorBidi"/>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4EAF189D" w14:textId="77777777" w:rsidR="004522EC" w:rsidRDefault="004522EC" w:rsidP="004522EC">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4522EC">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játék részét képzik a különböző véletlenszerűen bekövetkező események is. Ilyen pl. a betegség elkapása. Ez lehet egy kisebb megfázás, de lehet akár valami komolyabb </w:t>
      </w:r>
      <w:r>
        <w:rPr>
          <w:rFonts w:ascii="Times New Roman" w:eastAsiaTheme="majorEastAsia" w:hAnsi="Times New Roman" w:cstheme="majorBidi"/>
          <w:sz w:val="24"/>
          <w:szCs w:val="24"/>
        </w:rPr>
        <w:lastRenderedPageBreak/>
        <w:t>betegség is, amit csak orvos tud diagnosztizálni és gyógyítani. Ez pénzbe kerül, és nem mindig sikerül a kezelés.</w:t>
      </w:r>
    </w:p>
    <w:p w14:paraId="2D901CEE" w14:textId="77777777" w:rsidR="004522EC" w:rsidRDefault="004522EC" w:rsidP="004522EC">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77777777" w:rsidR="008968C2" w:rsidRDefault="004522EC" w:rsidP="004522EC">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 xml:space="preserve">25.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8968C2">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6369BF">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77777777" w:rsidR="003D74A3" w:rsidRDefault="002D0608" w:rsidP="006369BF">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26. ábra: Repülőgép-szerencsétlenség</w:t>
      </w:r>
    </w:p>
    <w:p w14:paraId="09D69063" w14:textId="36C9BF53" w:rsidR="003D74A3" w:rsidRDefault="003D74A3" w:rsidP="003D74A3">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p>
    <w:p w14:paraId="74BD94F0" w14:textId="77777777" w:rsidR="003D74A3" w:rsidRDefault="003D74A3">
      <w:pPr>
        <w:spacing w:after="160" w:line="259" w:lineRule="auto"/>
        <w:rPr>
          <w:rFonts w:ascii="Times New Roman" w:eastAsiaTheme="majorEastAsia" w:hAnsi="Times New Roman" w:cstheme="majorBidi"/>
          <w:sz w:val="24"/>
          <w:szCs w:val="24"/>
        </w:rPr>
      </w:pPr>
      <w:r>
        <w:rPr>
          <w:rFonts w:ascii="Times New Roman" w:eastAsiaTheme="majorEastAsia" w:hAnsi="Times New Roman" w:cstheme="majorBidi"/>
          <w:sz w:val="24"/>
          <w:szCs w:val="24"/>
        </w:rPr>
        <w:br w:type="page"/>
      </w:r>
    </w:p>
    <w:p w14:paraId="652425C4" w14:textId="77777777" w:rsidR="003D74A3" w:rsidRDefault="003D74A3" w:rsidP="003D74A3">
      <w:pPr>
        <w:spacing w:after="160" w:line="360" w:lineRule="auto"/>
        <w:jc w:val="both"/>
        <w:rPr>
          <w:rFonts w:ascii="Times New Roman" w:eastAsiaTheme="majorEastAsia" w:hAnsi="Times New Roman" w:cstheme="majorBidi"/>
          <w:sz w:val="24"/>
          <w:szCs w:val="24"/>
        </w:rPr>
      </w:pPr>
    </w:p>
    <w:p w14:paraId="33710986" w14:textId="2807A776" w:rsidR="003D74A3" w:rsidRDefault="003D74A3" w:rsidP="003D74A3">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3D74A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3D74A3">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3D74A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EA54F0">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Végül, de nem utolsó sorban a játék rendelkezik egy achievement-rendszerrel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achievements.ach fájlban. Ez egy jó motiváció lehet azoknak a játékosoknak, akik szeretnek valamilyen célért küzdeni. A meglévő achievementjeinket játék közben az ’Achievementek’ menüpontra kattintással lehet megtekinteni.</w:t>
      </w:r>
      <w:r w:rsidR="003A563B">
        <w:rPr>
          <w:rFonts w:ascii="Times New Roman" w:eastAsiaTheme="majorEastAsia" w:hAnsi="Times New Roman" w:cstheme="majorBidi"/>
          <w:sz w:val="24"/>
          <w:szCs w:val="24"/>
        </w:rPr>
        <w:t xml:space="preserve"> A zöld betűvel írt achievementeket már megszereztük, a piros betűseket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29. ábra: Achievement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6F1C6BF6" w14:textId="77777777" w:rsidR="003812F8" w:rsidRDefault="00035CDC" w:rsidP="00872C04">
      <w:pPr>
        <w:pStyle w:val="Cmsor1"/>
        <w:spacing w:line="360" w:lineRule="auto"/>
        <w:jc w:val="both"/>
      </w:pPr>
      <w:bookmarkStart w:id="5" w:name="_Toc69812434"/>
      <w:r>
        <w:lastRenderedPageBreak/>
        <w:t>Fejlesztői dokumentáció</w:t>
      </w:r>
      <w:bookmarkEnd w:id="5"/>
    </w:p>
    <w:p w14:paraId="6DADFD9E" w14:textId="77777777" w:rsidR="003812F8" w:rsidRDefault="003812F8" w:rsidP="00872C04">
      <w:pPr>
        <w:spacing w:after="160" w:line="360" w:lineRule="auto"/>
        <w:jc w:val="both"/>
        <w:rPr>
          <w:rFonts w:ascii="Times New Roman" w:eastAsiaTheme="majorEastAsia" w:hAnsi="Times New Roman" w:cstheme="majorBidi"/>
          <w:b/>
          <w:bCs/>
          <w:sz w:val="48"/>
          <w:szCs w:val="28"/>
        </w:rPr>
      </w:pPr>
      <w:r>
        <w:br w:type="page"/>
      </w:r>
    </w:p>
    <w:p w14:paraId="5B52B7BA" w14:textId="1576E3E3" w:rsidR="00035CDC" w:rsidRDefault="003812F8" w:rsidP="00872C04">
      <w:pPr>
        <w:pStyle w:val="Cmsor1"/>
        <w:spacing w:line="360" w:lineRule="auto"/>
        <w:jc w:val="both"/>
      </w:pPr>
      <w:bookmarkStart w:id="6" w:name="_Toc69812435"/>
      <w:r>
        <w:lastRenderedPageBreak/>
        <w:t>Összefoglaló</w:t>
      </w:r>
      <w:bookmarkEnd w:id="6"/>
      <w:r w:rsidR="00035CDC">
        <w:br w:type="page"/>
      </w:r>
    </w:p>
    <w:p w14:paraId="2BE1B6F6" w14:textId="6BA607DE" w:rsidR="00803148" w:rsidRDefault="00F648BF" w:rsidP="00872C04">
      <w:pPr>
        <w:pStyle w:val="Cmsor1"/>
        <w:spacing w:line="360" w:lineRule="auto"/>
        <w:jc w:val="both"/>
        <w:rPr>
          <w:noProof/>
        </w:rPr>
      </w:pPr>
      <w:bookmarkStart w:id="7" w:name="_Toc69812436"/>
      <w:r>
        <w:lastRenderedPageBreak/>
        <w:t>Irodalomjegyzék</w:t>
      </w:r>
      <w:bookmarkEnd w:id="7"/>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BE2AD" w14:textId="77777777" w:rsidR="003235E8" w:rsidRDefault="003235E8" w:rsidP="00803148">
      <w:pPr>
        <w:spacing w:after="0" w:line="240" w:lineRule="auto"/>
      </w:pPr>
      <w:r>
        <w:separator/>
      </w:r>
    </w:p>
  </w:endnote>
  <w:endnote w:type="continuationSeparator" w:id="0">
    <w:p w14:paraId="3FBB61F6" w14:textId="77777777" w:rsidR="003235E8" w:rsidRDefault="003235E8"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6860" w14:textId="77777777" w:rsidR="003235E8" w:rsidRDefault="003235E8" w:rsidP="00803148">
      <w:pPr>
        <w:spacing w:after="0" w:line="240" w:lineRule="auto"/>
      </w:pPr>
      <w:r>
        <w:separator/>
      </w:r>
    </w:p>
  </w:footnote>
  <w:footnote w:type="continuationSeparator" w:id="0">
    <w:p w14:paraId="66F70D5D" w14:textId="77777777" w:rsidR="003235E8" w:rsidRDefault="003235E8"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3"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4"/>
  </w:num>
  <w:num w:numId="2">
    <w:abstractNumId w:val="8"/>
  </w:num>
  <w:num w:numId="3">
    <w:abstractNumId w:val="3"/>
  </w:num>
  <w:num w:numId="4">
    <w:abstractNumId w:val="2"/>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35CDC"/>
    <w:rsid w:val="00050D32"/>
    <w:rsid w:val="0006721B"/>
    <w:rsid w:val="000A3A77"/>
    <w:rsid w:val="000A5B46"/>
    <w:rsid w:val="00125798"/>
    <w:rsid w:val="001306CC"/>
    <w:rsid w:val="00132D18"/>
    <w:rsid w:val="001442F2"/>
    <w:rsid w:val="00154059"/>
    <w:rsid w:val="00184E6D"/>
    <w:rsid w:val="001963E4"/>
    <w:rsid w:val="001A4CDC"/>
    <w:rsid w:val="001B0143"/>
    <w:rsid w:val="001B2CEC"/>
    <w:rsid w:val="001D5A76"/>
    <w:rsid w:val="001E0681"/>
    <w:rsid w:val="001F223B"/>
    <w:rsid w:val="001F4155"/>
    <w:rsid w:val="002A073E"/>
    <w:rsid w:val="002B4809"/>
    <w:rsid w:val="002D0608"/>
    <w:rsid w:val="002F0308"/>
    <w:rsid w:val="002F7755"/>
    <w:rsid w:val="003235E8"/>
    <w:rsid w:val="003456BC"/>
    <w:rsid w:val="00356534"/>
    <w:rsid w:val="003571AA"/>
    <w:rsid w:val="00357A90"/>
    <w:rsid w:val="003812F8"/>
    <w:rsid w:val="00387511"/>
    <w:rsid w:val="003A563B"/>
    <w:rsid w:val="003D405F"/>
    <w:rsid w:val="003D74A3"/>
    <w:rsid w:val="003F2FD4"/>
    <w:rsid w:val="00402FA3"/>
    <w:rsid w:val="004054BF"/>
    <w:rsid w:val="00431CD4"/>
    <w:rsid w:val="004522EC"/>
    <w:rsid w:val="00453D1D"/>
    <w:rsid w:val="004674E2"/>
    <w:rsid w:val="004C0A24"/>
    <w:rsid w:val="004C235C"/>
    <w:rsid w:val="004D4462"/>
    <w:rsid w:val="004E14A2"/>
    <w:rsid w:val="004E7286"/>
    <w:rsid w:val="004F11F4"/>
    <w:rsid w:val="00505624"/>
    <w:rsid w:val="00527CD1"/>
    <w:rsid w:val="005343EC"/>
    <w:rsid w:val="00555C6F"/>
    <w:rsid w:val="005A36D5"/>
    <w:rsid w:val="005D00F8"/>
    <w:rsid w:val="006127AB"/>
    <w:rsid w:val="006369BF"/>
    <w:rsid w:val="0068682F"/>
    <w:rsid w:val="00686EC4"/>
    <w:rsid w:val="006A503B"/>
    <w:rsid w:val="006E7255"/>
    <w:rsid w:val="0070547F"/>
    <w:rsid w:val="0071576A"/>
    <w:rsid w:val="007360B7"/>
    <w:rsid w:val="00743E83"/>
    <w:rsid w:val="00753487"/>
    <w:rsid w:val="00766A78"/>
    <w:rsid w:val="00792CB4"/>
    <w:rsid w:val="007A50CC"/>
    <w:rsid w:val="007B4BA3"/>
    <w:rsid w:val="00803148"/>
    <w:rsid w:val="00806413"/>
    <w:rsid w:val="008723A8"/>
    <w:rsid w:val="00872C04"/>
    <w:rsid w:val="008753A5"/>
    <w:rsid w:val="008968C2"/>
    <w:rsid w:val="008C6FB2"/>
    <w:rsid w:val="008D7288"/>
    <w:rsid w:val="00931BA5"/>
    <w:rsid w:val="00946806"/>
    <w:rsid w:val="00960A3C"/>
    <w:rsid w:val="00986825"/>
    <w:rsid w:val="009B738A"/>
    <w:rsid w:val="009D203B"/>
    <w:rsid w:val="009D47D3"/>
    <w:rsid w:val="009D5EF1"/>
    <w:rsid w:val="00A7620A"/>
    <w:rsid w:val="00AB51A3"/>
    <w:rsid w:val="00AD6DF2"/>
    <w:rsid w:val="00AE07D6"/>
    <w:rsid w:val="00AE4152"/>
    <w:rsid w:val="00AF6B55"/>
    <w:rsid w:val="00B04480"/>
    <w:rsid w:val="00B17472"/>
    <w:rsid w:val="00B840E5"/>
    <w:rsid w:val="00B9341F"/>
    <w:rsid w:val="00BA67D3"/>
    <w:rsid w:val="00C3260F"/>
    <w:rsid w:val="00CB07D4"/>
    <w:rsid w:val="00CD3495"/>
    <w:rsid w:val="00CD6EA8"/>
    <w:rsid w:val="00D16837"/>
    <w:rsid w:val="00DC14D2"/>
    <w:rsid w:val="00DE22BA"/>
    <w:rsid w:val="00E05D56"/>
    <w:rsid w:val="00E10706"/>
    <w:rsid w:val="00E31416"/>
    <w:rsid w:val="00E3492F"/>
    <w:rsid w:val="00E70581"/>
    <w:rsid w:val="00E74810"/>
    <w:rsid w:val="00E90A2F"/>
    <w:rsid w:val="00EA54F0"/>
    <w:rsid w:val="00EA76E5"/>
    <w:rsid w:val="00EC35A9"/>
    <w:rsid w:val="00EE0604"/>
    <w:rsid w:val="00EF47DD"/>
    <w:rsid w:val="00F02B1E"/>
    <w:rsid w:val="00F27688"/>
    <w:rsid w:val="00F57360"/>
    <w:rsid w:val="00F648BF"/>
    <w:rsid w:val="00F64BCB"/>
    <w:rsid w:val="00F65636"/>
    <w:rsid w:val="00FA15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22</Pages>
  <Words>1539</Words>
  <Characters>10625</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109</cp:revision>
  <dcterms:created xsi:type="dcterms:W3CDTF">2021-03-21T12:04:00Z</dcterms:created>
  <dcterms:modified xsi:type="dcterms:W3CDTF">2021-04-20T11:17:00Z</dcterms:modified>
</cp:coreProperties>
</file>