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B6C95" w14:textId="77777777" w:rsidR="0064398A" w:rsidRDefault="00ED27EA"/>
    <w:p w14:paraId="07E0045B" w14:textId="77777777" w:rsidR="001C60F6" w:rsidRPr="001C60F6" w:rsidRDefault="001C60F6" w:rsidP="001C60F6">
      <w:pPr>
        <w:rPr>
          <w:rFonts w:ascii="Times New Roman" w:eastAsia="Times New Roman" w:hAnsi="Times New Roman" w:cs="Times New Roman"/>
        </w:rPr>
      </w:pPr>
    </w:p>
    <w:p w14:paraId="768A924A" w14:textId="77777777" w:rsidR="00ED27EA" w:rsidRDefault="00ED27EA" w:rsidP="00ED27EA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72A3A"/>
          <w:sz w:val="20"/>
          <w:szCs w:val="20"/>
        </w:rPr>
      </w:pPr>
      <w:r>
        <w:rPr>
          <w:rFonts w:ascii="Arial" w:hAnsi="Arial" w:cs="Arial"/>
          <w:b/>
          <w:bCs/>
          <w:color w:val="172A3A"/>
          <w:sz w:val="18"/>
          <w:szCs w:val="18"/>
        </w:rPr>
        <w:t>﻿﻿INTRODUCTION</w:t>
      </w:r>
    </w:p>
    <w:p w14:paraId="3D1B0D01" w14:textId="77777777" w:rsidR="00ED27EA" w:rsidRDefault="00ED27EA" w:rsidP="00ED27EA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72A3A"/>
          <w:sz w:val="20"/>
          <w:szCs w:val="20"/>
        </w:rPr>
      </w:pPr>
      <w:r>
        <w:rPr>
          <w:rFonts w:ascii="Calibri" w:hAnsi="Calibri"/>
          <w:color w:val="172A3A"/>
          <w:sz w:val="18"/>
          <w:szCs w:val="18"/>
        </w:rPr>
        <w:t xml:space="preserve">This report is to summarize the results and outcome of the Risk Assessment for the new </w:t>
      </w:r>
      <w:proofErr w:type="spellStart"/>
      <w:r>
        <w:rPr>
          <w:rFonts w:ascii="Calibri" w:hAnsi="Calibri"/>
          <w:color w:val="172A3A"/>
          <w:sz w:val="18"/>
          <w:szCs w:val="18"/>
        </w:rPr>
        <w:t>Mundipharma</w:t>
      </w:r>
      <w:proofErr w:type="spellEnd"/>
      <w:r>
        <w:rPr>
          <w:rFonts w:ascii="Calibri" w:hAnsi="Calibri"/>
          <w:color w:val="172A3A"/>
          <w:sz w:val="18"/>
          <w:szCs w:val="18"/>
        </w:rPr>
        <w:t xml:space="preserve"> Plant, a Greenfield site at Plot 4, 10 </w:t>
      </w:r>
      <w:proofErr w:type="spellStart"/>
      <w:r>
        <w:rPr>
          <w:rFonts w:ascii="Calibri" w:hAnsi="Calibri"/>
          <w:color w:val="172A3A"/>
          <w:sz w:val="18"/>
          <w:szCs w:val="18"/>
        </w:rPr>
        <w:t>Tuas</w:t>
      </w:r>
      <w:proofErr w:type="spellEnd"/>
      <w:r>
        <w:rPr>
          <w:rFonts w:ascii="Calibri" w:hAnsi="Calibri"/>
          <w:color w:val="172A3A"/>
          <w:sz w:val="18"/>
          <w:szCs w:val="18"/>
        </w:rPr>
        <w:t xml:space="preserve"> South Avenue 14, </w:t>
      </w:r>
      <w:proofErr w:type="spellStart"/>
      <w:r>
        <w:rPr>
          <w:rFonts w:ascii="Calibri" w:hAnsi="Calibri"/>
          <w:color w:val="172A3A"/>
          <w:sz w:val="18"/>
          <w:szCs w:val="18"/>
        </w:rPr>
        <w:t>Tuas</w:t>
      </w:r>
      <w:proofErr w:type="spellEnd"/>
      <w:r>
        <w:rPr>
          <w:rFonts w:ascii="Calibri" w:hAnsi="Calibri"/>
          <w:color w:val="172A3A"/>
          <w:sz w:val="18"/>
          <w:szCs w:val="18"/>
        </w:rPr>
        <w:t xml:space="preserve"> Industrial Estate, Singapore.  The new production facility shall be used for the manufacturing and filling of Betadine® antiseptic liquid products.</w:t>
      </w:r>
    </w:p>
    <w:p w14:paraId="51CEBD66" w14:textId="77777777" w:rsidR="00ED27EA" w:rsidRDefault="00ED27EA" w:rsidP="00ED27EA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72A3A"/>
          <w:sz w:val="20"/>
          <w:szCs w:val="20"/>
        </w:rPr>
      </w:pPr>
      <w:r>
        <w:rPr>
          <w:rFonts w:ascii="Arial" w:hAnsi="Arial" w:cs="Arial"/>
          <w:b/>
          <w:bCs/>
          <w:color w:val="172A3A"/>
          <w:sz w:val="20"/>
          <w:szCs w:val="20"/>
        </w:rPr>
        <w:t>﻿﻿</w:t>
      </w:r>
      <w:r>
        <w:rPr>
          <w:rFonts w:ascii="Arial" w:hAnsi="Arial" w:cs="Arial"/>
          <w:b/>
          <w:bCs/>
          <w:color w:val="172A3A"/>
          <w:sz w:val="18"/>
          <w:szCs w:val="18"/>
        </w:rPr>
        <w:t>PURPOSE</w:t>
      </w:r>
    </w:p>
    <w:p w14:paraId="0344CA53" w14:textId="77777777" w:rsidR="00ED27EA" w:rsidRDefault="00ED27EA" w:rsidP="00ED27EA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72A3A"/>
          <w:sz w:val="20"/>
          <w:szCs w:val="20"/>
        </w:rPr>
      </w:pPr>
      <w:r>
        <w:rPr>
          <w:rFonts w:ascii="Calibri" w:hAnsi="Calibri"/>
          <w:color w:val="172A3A"/>
          <w:sz w:val="18"/>
          <w:szCs w:val="18"/>
        </w:rPr>
        <w:t xml:space="preserve">The purpose of the Risk Assessment is to identify potential failures and causes of the failures, associated with the facility and process design </w:t>
      </w:r>
      <w:proofErr w:type="gramStart"/>
      <w:r>
        <w:rPr>
          <w:rFonts w:ascii="Calibri" w:hAnsi="Calibri"/>
          <w:color w:val="172A3A"/>
          <w:sz w:val="18"/>
          <w:szCs w:val="18"/>
        </w:rPr>
        <w:t>in order to</w:t>
      </w:r>
      <w:proofErr w:type="gramEnd"/>
      <w:r>
        <w:rPr>
          <w:rFonts w:ascii="Calibri" w:hAnsi="Calibri"/>
          <w:color w:val="172A3A"/>
          <w:sz w:val="18"/>
          <w:szCs w:val="18"/>
        </w:rPr>
        <w:t xml:space="preserve"> prevent or reduce the occurrence of these causes thereby mitigating the risk to the patient.  The outcome of the assessment shall summarize the risks that require design action or further </w:t>
      </w:r>
      <w:proofErr w:type="gramStart"/>
      <w:r>
        <w:rPr>
          <w:rFonts w:ascii="Calibri" w:hAnsi="Calibri"/>
          <w:color w:val="172A3A"/>
          <w:sz w:val="18"/>
          <w:szCs w:val="18"/>
        </w:rPr>
        <w:t>analysis ,</w:t>
      </w:r>
      <w:proofErr w:type="gramEnd"/>
      <w:r>
        <w:rPr>
          <w:rFonts w:ascii="Calibri" w:hAnsi="Calibri"/>
          <w:color w:val="172A3A"/>
          <w:sz w:val="18"/>
          <w:szCs w:val="18"/>
        </w:rPr>
        <w:t xml:space="preserve"> if any and also determine the appropriate level of </w:t>
      </w:r>
      <w:proofErr w:type="spellStart"/>
      <w:r>
        <w:rPr>
          <w:rFonts w:ascii="Calibri" w:hAnsi="Calibri"/>
          <w:color w:val="172A3A"/>
          <w:sz w:val="18"/>
          <w:szCs w:val="18"/>
        </w:rPr>
        <w:t>qualitication</w:t>
      </w:r>
      <w:proofErr w:type="spellEnd"/>
      <w:r>
        <w:rPr>
          <w:rFonts w:ascii="Calibri" w:hAnsi="Calibri"/>
          <w:color w:val="172A3A"/>
          <w:sz w:val="18"/>
          <w:szCs w:val="18"/>
        </w:rPr>
        <w:t xml:space="preserve"> and testing (Test Matrix) required for the system, in order to remediate the risks identified.</w:t>
      </w:r>
    </w:p>
    <w:p w14:paraId="01128495" w14:textId="77777777" w:rsidR="00ED27EA" w:rsidRDefault="00ED27EA" w:rsidP="00ED27EA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72A3A"/>
          <w:sz w:val="20"/>
          <w:szCs w:val="20"/>
        </w:rPr>
      </w:pPr>
      <w:r>
        <w:rPr>
          <w:rFonts w:ascii="Arial" w:hAnsi="Arial" w:cs="Arial"/>
          <w:b/>
          <w:bCs/>
          <w:color w:val="172A3A"/>
          <w:sz w:val="18"/>
          <w:szCs w:val="18"/>
        </w:rPr>
        <w:t>SCOPE</w:t>
      </w:r>
    </w:p>
    <w:p w14:paraId="3E7504F9" w14:textId="77777777" w:rsidR="00ED27EA" w:rsidRDefault="00ED27EA" w:rsidP="00ED27EA">
      <w:pPr>
        <w:pStyle w:val="NormalWeb"/>
        <w:shd w:val="clear" w:color="auto" w:fill="FFFFFF"/>
        <w:spacing w:before="0" w:beforeAutospacing="0"/>
        <w:rPr>
          <w:rFonts w:ascii="Calibri" w:hAnsi="Calibri"/>
          <w:color w:val="172A3A"/>
          <w:sz w:val="18"/>
          <w:szCs w:val="18"/>
        </w:rPr>
      </w:pPr>
      <w:r>
        <w:rPr>
          <w:rFonts w:ascii="Calibri" w:hAnsi="Calibri"/>
          <w:color w:val="172A3A"/>
          <w:sz w:val="18"/>
          <w:szCs w:val="18"/>
        </w:rPr>
        <w:t>The scope of the assessment is confined to Direct Impact Systems which has been identified through the System Level Impact Assessment per PES-SOP-002.</w:t>
      </w:r>
      <w:bookmarkStart w:id="0" w:name="_GoBack"/>
      <w:bookmarkEnd w:id="0"/>
    </w:p>
    <w:p w14:paraId="270AA3B1" w14:textId="77777777" w:rsidR="00ED27EA" w:rsidRDefault="00ED27EA" w:rsidP="00ED27EA">
      <w:pPr>
        <w:pStyle w:val="NormalWeb"/>
        <w:shd w:val="clear" w:color="auto" w:fill="FFFFFF"/>
        <w:spacing w:before="0" w:beforeAutospacing="0"/>
        <w:rPr>
          <w:rFonts w:ascii="Calibri" w:hAnsi="Calibri"/>
          <w:color w:val="172A3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3"/>
        <w:gridCol w:w="1784"/>
        <w:gridCol w:w="1785"/>
        <w:gridCol w:w="1828"/>
        <w:gridCol w:w="1650"/>
      </w:tblGrid>
      <w:tr w:rsidR="00ED27EA" w14:paraId="23D34D60" w14:textId="77777777" w:rsidTr="005C259B">
        <w:trPr>
          <w:trHeight w:val="326"/>
        </w:trPr>
        <w:tc>
          <w:tcPr>
            <w:tcW w:w="1963" w:type="dxa"/>
          </w:tcPr>
          <w:p w14:paraId="6E541D21" w14:textId="77777777" w:rsidR="00ED27EA" w:rsidRDefault="00ED27EA" w:rsidP="005C259B">
            <w:r>
              <w:t>Instruction</w:t>
            </w:r>
          </w:p>
        </w:tc>
        <w:tc>
          <w:tcPr>
            <w:tcW w:w="1784" w:type="dxa"/>
          </w:tcPr>
          <w:p w14:paraId="2BEE65C3" w14:textId="77777777" w:rsidR="00ED27EA" w:rsidRDefault="00ED27EA" w:rsidP="005C259B">
            <w:r>
              <w:t>Data In</w:t>
            </w:r>
          </w:p>
        </w:tc>
        <w:tc>
          <w:tcPr>
            <w:tcW w:w="1785" w:type="dxa"/>
          </w:tcPr>
          <w:p w14:paraId="73C2BD88" w14:textId="77777777" w:rsidR="00ED27EA" w:rsidRDefault="00ED27EA" w:rsidP="005C259B">
            <w:r>
              <w:t>Data Out</w:t>
            </w:r>
          </w:p>
        </w:tc>
        <w:tc>
          <w:tcPr>
            <w:tcW w:w="1828" w:type="dxa"/>
          </w:tcPr>
          <w:p w14:paraId="10EE067E" w14:textId="77777777" w:rsidR="00ED27EA" w:rsidRDefault="00ED27EA" w:rsidP="005C259B">
            <w:r>
              <w:t>Result</w:t>
            </w:r>
          </w:p>
        </w:tc>
        <w:tc>
          <w:tcPr>
            <w:tcW w:w="1650" w:type="dxa"/>
          </w:tcPr>
          <w:p w14:paraId="167BBB76" w14:textId="77777777" w:rsidR="00ED27EA" w:rsidRDefault="00ED27EA" w:rsidP="005C259B">
            <w:r>
              <w:t>Sign / Date</w:t>
            </w:r>
          </w:p>
        </w:tc>
      </w:tr>
      <w:tr w:rsidR="00ED27EA" w14:paraId="26EF997C" w14:textId="77777777" w:rsidTr="005C259B">
        <w:trPr>
          <w:trHeight w:val="326"/>
        </w:trPr>
        <w:tc>
          <w:tcPr>
            <w:tcW w:w="1963" w:type="dxa"/>
          </w:tcPr>
          <w:p w14:paraId="7C4C157E" w14:textId="77777777" w:rsidR="00ED27EA" w:rsidRPr="007D33CF" w:rsidRDefault="00ED27EA" w:rsidP="005C259B">
            <w:pPr>
              <w:rPr>
                <w:rFonts w:ascii="Times New Roman" w:eastAsia="Times New Roman" w:hAnsi="Times New Roman" w:cs="Times New Roman"/>
              </w:rPr>
            </w:pPr>
            <w:r w:rsidRPr="007D33CF">
              <w:rPr>
                <w:rFonts w:ascii="Helvetica Neue" w:eastAsia="Times New Roman" w:hAnsi="Helvetica Neue" w:cs="Times New Roman"/>
                <w:color w:val="172A3A"/>
                <w:sz w:val="20"/>
                <w:szCs w:val="20"/>
                <w:shd w:val="clear" w:color="auto" w:fill="FFFFFF"/>
              </w:rPr>
              <w:t>Add the instruction of the text here</w:t>
            </w:r>
          </w:p>
          <w:p w14:paraId="0DE176C4" w14:textId="77777777" w:rsidR="00ED27EA" w:rsidRDefault="00ED27EA" w:rsidP="005C259B"/>
        </w:tc>
        <w:tc>
          <w:tcPr>
            <w:tcW w:w="1784" w:type="dxa"/>
          </w:tcPr>
          <w:p w14:paraId="1D95F793" w14:textId="77777777" w:rsidR="00ED27EA" w:rsidRPr="007D33CF" w:rsidRDefault="00ED27EA" w:rsidP="005C259B">
            <w:pPr>
              <w:rPr>
                <w:rFonts w:ascii="Times New Roman" w:eastAsia="Times New Roman" w:hAnsi="Times New Roman" w:cs="Times New Roman"/>
              </w:rPr>
            </w:pPr>
            <w:r w:rsidRPr="007D33CF">
              <w:rPr>
                <w:rFonts w:ascii="Helvetica Neue" w:eastAsia="Times New Roman" w:hAnsi="Helvetica Neue" w:cs="Times New Roman"/>
                <w:color w:val="172A3A"/>
                <w:sz w:val="20"/>
                <w:szCs w:val="20"/>
                <w:shd w:val="clear" w:color="auto" w:fill="FFFFFF"/>
              </w:rPr>
              <w:t>[model-number]</w:t>
            </w:r>
          </w:p>
          <w:p w14:paraId="1D4788FD" w14:textId="77777777" w:rsidR="00ED27EA" w:rsidRDefault="00ED27EA" w:rsidP="005C259B"/>
        </w:tc>
        <w:tc>
          <w:tcPr>
            <w:tcW w:w="1785" w:type="dxa"/>
          </w:tcPr>
          <w:p w14:paraId="5C5F096E" w14:textId="77777777" w:rsidR="00ED27EA" w:rsidRDefault="00ED27EA" w:rsidP="005C259B">
            <w:r>
              <w:t>[ attribute = serial-number]</w:t>
            </w:r>
          </w:p>
        </w:tc>
        <w:tc>
          <w:tcPr>
            <w:tcW w:w="1828" w:type="dxa"/>
          </w:tcPr>
          <w:p w14:paraId="44F9B1A7" w14:textId="77777777" w:rsidR="00ED27EA" w:rsidRDefault="00ED27EA" w:rsidP="005C259B"/>
        </w:tc>
        <w:tc>
          <w:tcPr>
            <w:tcW w:w="1650" w:type="dxa"/>
          </w:tcPr>
          <w:p w14:paraId="3A2134B3" w14:textId="77777777" w:rsidR="00ED27EA" w:rsidRDefault="00ED27EA" w:rsidP="005C259B"/>
        </w:tc>
      </w:tr>
      <w:tr w:rsidR="00ED27EA" w14:paraId="3DD96ACB" w14:textId="77777777" w:rsidTr="005C259B">
        <w:trPr>
          <w:trHeight w:val="256"/>
        </w:trPr>
        <w:tc>
          <w:tcPr>
            <w:tcW w:w="1963" w:type="dxa"/>
          </w:tcPr>
          <w:p w14:paraId="50DFF772" w14:textId="77777777" w:rsidR="00ED27EA" w:rsidRPr="007D33CF" w:rsidRDefault="00ED27EA" w:rsidP="005C259B">
            <w:pPr>
              <w:rPr>
                <w:rFonts w:ascii="Times New Roman" w:eastAsia="Times New Roman" w:hAnsi="Times New Roman" w:cs="Times New Roman"/>
              </w:rPr>
            </w:pPr>
            <w:r w:rsidRPr="007D33CF">
              <w:rPr>
                <w:rFonts w:ascii="Helvetica Neue" w:eastAsia="Times New Roman" w:hAnsi="Helvetica Neue" w:cs="Times New Roman"/>
                <w:color w:val="172A3A"/>
                <w:sz w:val="20"/>
                <w:szCs w:val="20"/>
                <w:shd w:val="clear" w:color="auto" w:fill="FFFFFF"/>
              </w:rPr>
              <w:t>Add the instruction of the text here</w:t>
            </w:r>
          </w:p>
          <w:p w14:paraId="3B24C29B" w14:textId="77777777" w:rsidR="00ED27EA" w:rsidRDefault="00ED27EA" w:rsidP="005C259B"/>
        </w:tc>
        <w:tc>
          <w:tcPr>
            <w:tcW w:w="1784" w:type="dxa"/>
          </w:tcPr>
          <w:p w14:paraId="0C4A8742" w14:textId="77777777" w:rsidR="00ED27EA" w:rsidRPr="007D33CF" w:rsidRDefault="00ED27EA" w:rsidP="005C259B">
            <w:pPr>
              <w:rPr>
                <w:rFonts w:ascii="Times New Roman" w:eastAsia="Times New Roman" w:hAnsi="Times New Roman" w:cs="Times New Roman"/>
              </w:rPr>
            </w:pPr>
            <w:r w:rsidRPr="007D33CF">
              <w:rPr>
                <w:rFonts w:ascii="Helvetica Neue" w:eastAsia="Times New Roman" w:hAnsi="Helvetica Neue" w:cs="Times New Roman"/>
                <w:color w:val="172A3A"/>
                <w:sz w:val="20"/>
                <w:szCs w:val="20"/>
                <w:shd w:val="clear" w:color="auto" w:fill="FFFFFF"/>
              </w:rPr>
              <w:t>[model-number]</w:t>
            </w:r>
          </w:p>
          <w:p w14:paraId="2233A560" w14:textId="77777777" w:rsidR="00ED27EA" w:rsidRDefault="00ED27EA" w:rsidP="005C259B"/>
        </w:tc>
        <w:tc>
          <w:tcPr>
            <w:tcW w:w="1785" w:type="dxa"/>
          </w:tcPr>
          <w:p w14:paraId="325C28C5" w14:textId="77777777" w:rsidR="00ED27EA" w:rsidRDefault="00ED27EA" w:rsidP="005C259B">
            <w:r>
              <w:t>[ attribute = serial-number]</w:t>
            </w:r>
          </w:p>
        </w:tc>
        <w:tc>
          <w:tcPr>
            <w:tcW w:w="1828" w:type="dxa"/>
          </w:tcPr>
          <w:p w14:paraId="1494DFB1" w14:textId="77777777" w:rsidR="00ED27EA" w:rsidRDefault="00ED27EA" w:rsidP="005C259B"/>
        </w:tc>
        <w:tc>
          <w:tcPr>
            <w:tcW w:w="1650" w:type="dxa"/>
          </w:tcPr>
          <w:p w14:paraId="2E563FC6" w14:textId="77777777" w:rsidR="00ED27EA" w:rsidRDefault="00ED27EA" w:rsidP="005C259B"/>
        </w:tc>
      </w:tr>
      <w:tr w:rsidR="00ED27EA" w14:paraId="1D751CDD" w14:textId="77777777" w:rsidTr="005C259B">
        <w:trPr>
          <w:trHeight w:val="256"/>
        </w:trPr>
        <w:tc>
          <w:tcPr>
            <w:tcW w:w="1963" w:type="dxa"/>
          </w:tcPr>
          <w:p w14:paraId="58E2BBBF" w14:textId="77777777" w:rsidR="00ED27EA" w:rsidRPr="007D33CF" w:rsidRDefault="00ED27EA" w:rsidP="005C259B">
            <w:pPr>
              <w:rPr>
                <w:rFonts w:ascii="Times New Roman" w:eastAsia="Times New Roman" w:hAnsi="Times New Roman" w:cs="Times New Roman"/>
              </w:rPr>
            </w:pPr>
            <w:r w:rsidRPr="007D33CF">
              <w:rPr>
                <w:rFonts w:ascii="Helvetica Neue" w:eastAsia="Times New Roman" w:hAnsi="Helvetica Neue" w:cs="Times New Roman"/>
                <w:color w:val="172A3A"/>
                <w:sz w:val="20"/>
                <w:szCs w:val="20"/>
                <w:shd w:val="clear" w:color="auto" w:fill="FFFFFF"/>
              </w:rPr>
              <w:t>Add the instruction of the text here</w:t>
            </w:r>
          </w:p>
          <w:p w14:paraId="0D496B9A" w14:textId="77777777" w:rsidR="00ED27EA" w:rsidRDefault="00ED27EA" w:rsidP="005C259B"/>
        </w:tc>
        <w:tc>
          <w:tcPr>
            <w:tcW w:w="1784" w:type="dxa"/>
          </w:tcPr>
          <w:p w14:paraId="54B1A4EC" w14:textId="77777777" w:rsidR="00ED27EA" w:rsidRPr="007D33CF" w:rsidRDefault="00ED27EA" w:rsidP="005C259B">
            <w:pPr>
              <w:rPr>
                <w:rFonts w:ascii="Times New Roman" w:eastAsia="Times New Roman" w:hAnsi="Times New Roman" w:cs="Times New Roman"/>
              </w:rPr>
            </w:pPr>
            <w:r w:rsidRPr="007D33CF">
              <w:rPr>
                <w:rFonts w:ascii="Helvetica Neue" w:eastAsia="Times New Roman" w:hAnsi="Helvetica Neue" w:cs="Times New Roman"/>
                <w:color w:val="172A3A"/>
                <w:sz w:val="20"/>
                <w:szCs w:val="20"/>
                <w:shd w:val="clear" w:color="auto" w:fill="FFFFFF"/>
              </w:rPr>
              <w:t>[model-number]</w:t>
            </w:r>
          </w:p>
          <w:p w14:paraId="3E10D17E" w14:textId="77777777" w:rsidR="00ED27EA" w:rsidRDefault="00ED27EA" w:rsidP="005C259B"/>
        </w:tc>
        <w:tc>
          <w:tcPr>
            <w:tcW w:w="1785" w:type="dxa"/>
          </w:tcPr>
          <w:p w14:paraId="2641ADDC" w14:textId="77777777" w:rsidR="00ED27EA" w:rsidRDefault="00ED27EA" w:rsidP="005C259B">
            <w:r>
              <w:t>[ attribute = serial-number]</w:t>
            </w:r>
          </w:p>
        </w:tc>
        <w:tc>
          <w:tcPr>
            <w:tcW w:w="1828" w:type="dxa"/>
          </w:tcPr>
          <w:p w14:paraId="40B797A8" w14:textId="77777777" w:rsidR="00ED27EA" w:rsidRDefault="00ED27EA" w:rsidP="005C259B"/>
        </w:tc>
        <w:tc>
          <w:tcPr>
            <w:tcW w:w="1650" w:type="dxa"/>
          </w:tcPr>
          <w:p w14:paraId="5E41CD7D" w14:textId="77777777" w:rsidR="00ED27EA" w:rsidRDefault="00ED27EA" w:rsidP="005C259B"/>
        </w:tc>
      </w:tr>
      <w:tr w:rsidR="00ED27EA" w14:paraId="7BB1C53F" w14:textId="77777777" w:rsidTr="005C259B">
        <w:trPr>
          <w:trHeight w:val="256"/>
        </w:trPr>
        <w:tc>
          <w:tcPr>
            <w:tcW w:w="1963" w:type="dxa"/>
          </w:tcPr>
          <w:p w14:paraId="30E105B4" w14:textId="77777777" w:rsidR="00ED27EA" w:rsidRPr="007D33CF" w:rsidRDefault="00ED27EA" w:rsidP="005C259B">
            <w:pPr>
              <w:rPr>
                <w:rFonts w:ascii="Times New Roman" w:eastAsia="Times New Roman" w:hAnsi="Times New Roman" w:cs="Times New Roman"/>
              </w:rPr>
            </w:pPr>
            <w:r w:rsidRPr="007D33CF">
              <w:rPr>
                <w:rFonts w:ascii="Helvetica Neue" w:eastAsia="Times New Roman" w:hAnsi="Helvetica Neue" w:cs="Times New Roman"/>
                <w:color w:val="172A3A"/>
                <w:sz w:val="20"/>
                <w:szCs w:val="20"/>
                <w:shd w:val="clear" w:color="auto" w:fill="FFFFFF"/>
              </w:rPr>
              <w:t>Add the instruction of the text here</w:t>
            </w:r>
          </w:p>
          <w:p w14:paraId="43A4A5CE" w14:textId="77777777" w:rsidR="00ED27EA" w:rsidRDefault="00ED27EA" w:rsidP="005C259B"/>
        </w:tc>
        <w:tc>
          <w:tcPr>
            <w:tcW w:w="1784" w:type="dxa"/>
          </w:tcPr>
          <w:p w14:paraId="1E799A64" w14:textId="77777777" w:rsidR="00ED27EA" w:rsidRPr="007D33CF" w:rsidRDefault="00ED27EA" w:rsidP="005C259B">
            <w:pPr>
              <w:rPr>
                <w:rFonts w:ascii="Times New Roman" w:eastAsia="Times New Roman" w:hAnsi="Times New Roman" w:cs="Times New Roman"/>
              </w:rPr>
            </w:pPr>
            <w:r w:rsidRPr="007D33CF">
              <w:rPr>
                <w:rFonts w:ascii="Helvetica Neue" w:eastAsia="Times New Roman" w:hAnsi="Helvetica Neue" w:cs="Times New Roman"/>
                <w:color w:val="172A3A"/>
                <w:sz w:val="20"/>
                <w:szCs w:val="20"/>
                <w:shd w:val="clear" w:color="auto" w:fill="FFFFFF"/>
              </w:rPr>
              <w:t>[model-number]</w:t>
            </w:r>
          </w:p>
          <w:p w14:paraId="3A24BDE7" w14:textId="77777777" w:rsidR="00ED27EA" w:rsidRDefault="00ED27EA" w:rsidP="005C259B"/>
        </w:tc>
        <w:tc>
          <w:tcPr>
            <w:tcW w:w="1785" w:type="dxa"/>
          </w:tcPr>
          <w:p w14:paraId="2E961D03" w14:textId="77777777" w:rsidR="00ED27EA" w:rsidRDefault="00ED27EA" w:rsidP="005C259B">
            <w:r>
              <w:t>[ attribute = serial-number]</w:t>
            </w:r>
          </w:p>
        </w:tc>
        <w:tc>
          <w:tcPr>
            <w:tcW w:w="1828" w:type="dxa"/>
          </w:tcPr>
          <w:p w14:paraId="4FE3CA9D" w14:textId="77777777" w:rsidR="00ED27EA" w:rsidRDefault="00ED27EA" w:rsidP="005C259B"/>
        </w:tc>
        <w:tc>
          <w:tcPr>
            <w:tcW w:w="1650" w:type="dxa"/>
          </w:tcPr>
          <w:p w14:paraId="70E0D0A9" w14:textId="77777777" w:rsidR="00ED27EA" w:rsidRDefault="00ED27EA" w:rsidP="005C259B"/>
        </w:tc>
      </w:tr>
    </w:tbl>
    <w:p w14:paraId="5E36908B" w14:textId="77777777" w:rsidR="00ED27EA" w:rsidRDefault="00ED27EA" w:rsidP="00ED27EA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72A3A"/>
          <w:sz w:val="20"/>
          <w:szCs w:val="20"/>
        </w:rPr>
      </w:pPr>
    </w:p>
    <w:p w14:paraId="2A4CA1D0" w14:textId="77777777" w:rsidR="00ED27EA" w:rsidRDefault="00ED27EA" w:rsidP="00ED27EA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72A3A"/>
          <w:sz w:val="20"/>
          <w:szCs w:val="20"/>
        </w:rPr>
      </w:pPr>
      <w:r>
        <w:rPr>
          <w:rFonts w:ascii="Calibri" w:hAnsi="Calibri"/>
          <w:b/>
          <w:bCs/>
          <w:color w:val="172A3A"/>
          <w:sz w:val="18"/>
          <w:szCs w:val="18"/>
        </w:rPr>
        <w:t>METHOD</w:t>
      </w:r>
    </w:p>
    <w:p w14:paraId="58E87BBB" w14:textId="77777777" w:rsidR="00ED27EA" w:rsidRDefault="00ED27EA" w:rsidP="00ED27EA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72A3A"/>
          <w:sz w:val="20"/>
          <w:szCs w:val="20"/>
        </w:rPr>
      </w:pPr>
      <w:r>
        <w:rPr>
          <w:rFonts w:ascii="Calibri" w:hAnsi="Calibri"/>
          <w:color w:val="172A3A"/>
          <w:sz w:val="18"/>
          <w:szCs w:val="18"/>
        </w:rPr>
        <w:t>The Risk Assessment was performed using Figaro per PES-SOP-003, which utilize the process Failure Modes Effects and Criticality Analysis (PFMECA) methodology to identify the possible failure modes and ranks their overall impact based on their individual</w:t>
      </w:r>
      <w:r>
        <w:rPr>
          <w:rStyle w:val="apple-converted-space"/>
          <w:rFonts w:ascii="Calibri" w:hAnsi="Calibri"/>
          <w:color w:val="172A3A"/>
          <w:sz w:val="18"/>
          <w:szCs w:val="18"/>
        </w:rPr>
        <w:t> </w:t>
      </w:r>
      <w:r>
        <w:rPr>
          <w:rFonts w:ascii="Calibri" w:hAnsi="Calibri"/>
          <w:i/>
          <w:iCs/>
          <w:color w:val="172A3A"/>
          <w:sz w:val="18"/>
          <w:szCs w:val="18"/>
        </w:rPr>
        <w:t>Severity (1-10),</w:t>
      </w:r>
      <w:r>
        <w:rPr>
          <w:rStyle w:val="apple-converted-space"/>
          <w:rFonts w:ascii="Calibri" w:hAnsi="Calibri"/>
          <w:color w:val="172A3A"/>
          <w:sz w:val="18"/>
          <w:szCs w:val="18"/>
        </w:rPr>
        <w:t> </w:t>
      </w:r>
      <w:r>
        <w:rPr>
          <w:rFonts w:ascii="Calibri" w:hAnsi="Calibri"/>
          <w:i/>
          <w:iCs/>
          <w:color w:val="172A3A"/>
          <w:sz w:val="18"/>
          <w:szCs w:val="18"/>
        </w:rPr>
        <w:t>Probability (1-10)</w:t>
      </w:r>
      <w:r>
        <w:rPr>
          <w:rStyle w:val="apple-converted-space"/>
          <w:rFonts w:ascii="Calibri" w:hAnsi="Calibri"/>
          <w:color w:val="172A3A"/>
          <w:sz w:val="18"/>
          <w:szCs w:val="18"/>
        </w:rPr>
        <w:t> </w:t>
      </w:r>
      <w:r>
        <w:rPr>
          <w:rFonts w:ascii="Calibri" w:hAnsi="Calibri"/>
          <w:color w:val="172A3A"/>
          <w:sz w:val="18"/>
          <w:szCs w:val="18"/>
        </w:rPr>
        <w:t>and</w:t>
      </w:r>
      <w:r>
        <w:rPr>
          <w:rStyle w:val="apple-converted-space"/>
          <w:rFonts w:ascii="Calibri" w:hAnsi="Calibri"/>
          <w:color w:val="172A3A"/>
          <w:sz w:val="18"/>
          <w:szCs w:val="18"/>
        </w:rPr>
        <w:t> </w:t>
      </w:r>
      <w:proofErr w:type="spellStart"/>
      <w:r>
        <w:rPr>
          <w:rFonts w:ascii="Calibri" w:hAnsi="Calibri"/>
          <w:i/>
          <w:iCs/>
          <w:color w:val="172A3A"/>
          <w:sz w:val="18"/>
          <w:szCs w:val="18"/>
        </w:rPr>
        <w:t>Detectibility</w:t>
      </w:r>
      <w:proofErr w:type="spellEnd"/>
      <w:r>
        <w:rPr>
          <w:rFonts w:ascii="Calibri" w:hAnsi="Calibri"/>
          <w:i/>
          <w:iCs/>
          <w:color w:val="172A3A"/>
          <w:sz w:val="18"/>
          <w:szCs w:val="18"/>
        </w:rPr>
        <w:t xml:space="preserve"> (1-10</w:t>
      </w:r>
      <w:proofErr w:type="gramStart"/>
      <w:r>
        <w:rPr>
          <w:rFonts w:ascii="Calibri" w:hAnsi="Calibri"/>
          <w:i/>
          <w:iCs/>
          <w:color w:val="172A3A"/>
          <w:sz w:val="18"/>
          <w:szCs w:val="18"/>
        </w:rPr>
        <w:t>)</w:t>
      </w:r>
      <w:r>
        <w:rPr>
          <w:rStyle w:val="apple-converted-space"/>
          <w:rFonts w:ascii="Calibri" w:hAnsi="Calibri"/>
          <w:color w:val="172A3A"/>
          <w:sz w:val="18"/>
          <w:szCs w:val="18"/>
        </w:rPr>
        <w:t> </w:t>
      </w:r>
      <w:r>
        <w:rPr>
          <w:rFonts w:ascii="Calibri" w:hAnsi="Calibri"/>
          <w:color w:val="172A3A"/>
          <w:sz w:val="18"/>
          <w:szCs w:val="18"/>
        </w:rPr>
        <w:t>.</w:t>
      </w:r>
      <w:proofErr w:type="gramEnd"/>
    </w:p>
    <w:p w14:paraId="69DFA699" w14:textId="77777777" w:rsidR="00ED27EA" w:rsidRDefault="00ED27EA" w:rsidP="00ED27EA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72A3A"/>
          <w:sz w:val="20"/>
          <w:szCs w:val="20"/>
        </w:rPr>
      </w:pPr>
      <w:r>
        <w:rPr>
          <w:rFonts w:ascii="Calibri" w:hAnsi="Calibri"/>
          <w:b/>
          <w:bCs/>
          <w:color w:val="172A3A"/>
          <w:sz w:val="18"/>
          <w:szCs w:val="18"/>
        </w:rPr>
        <w:t>DEFINITION</w:t>
      </w:r>
    </w:p>
    <w:p w14:paraId="44072A7A" w14:textId="77777777" w:rsidR="00ED27EA" w:rsidRDefault="00ED27EA" w:rsidP="00ED27EA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72A3A"/>
          <w:sz w:val="20"/>
          <w:szCs w:val="20"/>
        </w:rPr>
      </w:pPr>
      <w:r>
        <w:rPr>
          <w:rFonts w:ascii="Calibri" w:hAnsi="Calibri"/>
          <w:color w:val="172A3A"/>
          <w:sz w:val="18"/>
          <w:szCs w:val="18"/>
        </w:rPr>
        <w:t>Refer to the Standard Operating Procedure (SOP) for Risk Assessment and Test Matrix, PES-SOP-003 for the definition of acronyms e.g. CPP, RPN and risk score or rating.</w:t>
      </w:r>
    </w:p>
    <w:p w14:paraId="61F55D90" w14:textId="77777777" w:rsidR="00ED27EA" w:rsidRDefault="00ED27EA" w:rsidP="00ED27EA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72A3A"/>
          <w:sz w:val="20"/>
          <w:szCs w:val="20"/>
        </w:rPr>
      </w:pPr>
      <w:r>
        <w:rPr>
          <w:rFonts w:ascii="Calibri" w:hAnsi="Calibri"/>
          <w:b/>
          <w:bCs/>
          <w:color w:val="172A3A"/>
          <w:sz w:val="18"/>
          <w:szCs w:val="18"/>
        </w:rPr>
        <w:t>CONCLUSION</w:t>
      </w:r>
    </w:p>
    <w:p w14:paraId="1D1355F3" w14:textId="77777777" w:rsidR="00ED27EA" w:rsidRDefault="00ED27EA" w:rsidP="00ED27EA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72A3A"/>
          <w:sz w:val="20"/>
          <w:szCs w:val="20"/>
        </w:rPr>
      </w:pPr>
      <w:r>
        <w:rPr>
          <w:rFonts w:ascii="Calibri" w:hAnsi="Calibri"/>
          <w:color w:val="172A3A"/>
          <w:sz w:val="18"/>
          <w:szCs w:val="18"/>
        </w:rPr>
        <w:t xml:space="preserve">A Risk Assessment for the new </w:t>
      </w:r>
      <w:proofErr w:type="spellStart"/>
      <w:r>
        <w:rPr>
          <w:rFonts w:ascii="Calibri" w:hAnsi="Calibri"/>
          <w:color w:val="172A3A"/>
          <w:sz w:val="18"/>
          <w:szCs w:val="18"/>
        </w:rPr>
        <w:t>Mundipharma</w:t>
      </w:r>
      <w:proofErr w:type="spellEnd"/>
      <w:r>
        <w:rPr>
          <w:rFonts w:ascii="Calibri" w:hAnsi="Calibri"/>
          <w:color w:val="172A3A"/>
          <w:sz w:val="18"/>
          <w:szCs w:val="18"/>
        </w:rPr>
        <w:t xml:space="preserve"> Plant – Greenfield Project have been performed and the results are documented in Appendix 1 to this document.  Furthermore, the generated Test Matrix documented in Appendix 2 have been identified for testing and qualification to mitigate the risks identified in the assessment. </w:t>
      </w:r>
    </w:p>
    <w:p w14:paraId="279007CC" w14:textId="77777777" w:rsidR="00AD2398" w:rsidRDefault="00AD2398"/>
    <w:sectPr w:rsidR="00AD2398" w:rsidSect="00E305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EB"/>
    <w:rsid w:val="000C306B"/>
    <w:rsid w:val="001C60F6"/>
    <w:rsid w:val="004C44FE"/>
    <w:rsid w:val="005B3AEB"/>
    <w:rsid w:val="006A0256"/>
    <w:rsid w:val="007D33CF"/>
    <w:rsid w:val="00AD2398"/>
    <w:rsid w:val="00B44123"/>
    <w:rsid w:val="00E3059F"/>
    <w:rsid w:val="00E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9DC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60F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D2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4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334</Words>
  <Characters>1910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Whelan</dc:creator>
  <cp:keywords/>
  <dc:description/>
  <cp:lastModifiedBy>Ronan Whelan</cp:lastModifiedBy>
  <cp:revision>5</cp:revision>
  <dcterms:created xsi:type="dcterms:W3CDTF">2017-07-20T08:48:00Z</dcterms:created>
  <dcterms:modified xsi:type="dcterms:W3CDTF">2017-07-20T08:54:00Z</dcterms:modified>
</cp:coreProperties>
</file>