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2E" w:rsidRDefault="00DC522E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iCs/>
          <w:color w:val="000000"/>
          <w:kern w:val="0"/>
          <w:sz w:val="18"/>
          <w:szCs w:val="18"/>
          <w:lang w:val="lv-LV" w:eastAsia="ru-RU" w:bidi="ar-SA"/>
        </w:rPr>
      </w:pPr>
    </w:p>
    <w:p w:rsidR="00DC522E" w:rsidRDefault="00156784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iCs/>
          <w:color w:val="000000"/>
          <w:kern w:val="0"/>
          <w:sz w:val="22"/>
          <w:szCs w:val="22"/>
          <w:lang w:val="lv-LV" w:eastAsia="ru-RU" w:bidi="ar-SA"/>
        </w:rPr>
      </w:pPr>
      <w:r>
        <w:rPr>
          <w:rFonts w:ascii="Times New Roman" w:eastAsia="Times New Roman" w:hAnsi="Times New Roman" w:cs="Times New Roman"/>
          <w:b/>
          <w:iCs/>
          <w:color w:val="000000"/>
          <w:kern w:val="0"/>
          <w:sz w:val="22"/>
          <w:szCs w:val="22"/>
          <w:lang w:eastAsia="ru-RU" w:bidi="ar-SA"/>
        </w:rPr>
        <w:t>Абонентский Договор на оказание услуг электронной связи</w:t>
      </w:r>
      <w:r>
        <w:rPr>
          <w:rFonts w:ascii="Times New Roman" w:eastAsia="Times New Roman" w:hAnsi="Times New Roman" w:cs="Times New Roman"/>
          <w:b/>
          <w:iCs/>
          <w:color w:val="000000"/>
          <w:kern w:val="0"/>
          <w:sz w:val="22"/>
          <w:szCs w:val="22"/>
          <w:lang w:val="lv-LV" w:eastAsia="ru-RU" w:bidi="ar-SA"/>
        </w:rPr>
        <w:t xml:space="preserve"> </w:t>
      </w:r>
    </w:p>
    <w:p w:rsidR="00DC522E" w:rsidRDefault="00DC522E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iCs/>
          <w:color w:val="000000"/>
          <w:kern w:val="0"/>
          <w:sz w:val="12"/>
          <w:szCs w:val="12"/>
          <w:lang w:val="lv-LV" w:eastAsia="ru-RU" w:bidi="ar-SA"/>
        </w:rPr>
      </w:pPr>
    </w:p>
    <w:p w:rsidR="00DC522E" w:rsidRDefault="00156784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17"/>
          <w:szCs w:val="17"/>
          <w:lang w:val="lv-LV" w:eastAsia="ru-RU" w:bidi="ar-SA"/>
        </w:rPr>
      </w:pPr>
      <w:r>
        <w:rPr>
          <w:rFonts w:ascii="Times New Roman" w:eastAsia="Times New Roman" w:hAnsi="Times New Roman" w:cs="Times New Roman"/>
          <w:b/>
          <w:i/>
          <w:iCs/>
          <w:kern w:val="0"/>
          <w:sz w:val="17"/>
          <w:szCs w:val="17"/>
          <w:lang w:val="en-US" w:eastAsia="ru-RU" w:bidi="ar-SA"/>
        </w:rPr>
        <w:t>I.</w:t>
      </w:r>
      <w:r>
        <w:rPr>
          <w:rFonts w:ascii="Times New Roman" w:eastAsia="Times New Roman" w:hAnsi="Times New Roman" w:cs="Times New Roman"/>
          <w:b/>
          <w:i/>
          <w:iCs/>
          <w:kern w:val="0"/>
          <w:sz w:val="17"/>
          <w:szCs w:val="17"/>
          <w:lang w:eastAsia="ru-RU" w:bidi="ar-SA"/>
        </w:rPr>
        <w:t>Основные условия</w:t>
      </w:r>
    </w:p>
    <w:p w:rsidR="00DC522E" w:rsidRPr="00AE3026" w:rsidRDefault="00DC522E">
      <w:pPr>
        <w:jc w:val="center"/>
        <w:rPr>
          <w:rFonts w:ascii="Times New Roman" w:hAnsi="Times New Roman" w:cs="Times New Roman"/>
          <w:b/>
          <w:sz w:val="15"/>
          <w:szCs w:val="15"/>
          <w:lang w:val="lv-LV"/>
        </w:rPr>
      </w:pPr>
    </w:p>
    <w:p w:rsidR="00DC522E" w:rsidRPr="00AE3026" w:rsidRDefault="00DC522E">
      <w:pPr>
        <w:rPr>
          <w:sz w:val="15"/>
          <w:szCs w:val="15"/>
        </w:rPr>
        <w:sectPr w:rsidR="00DC522E" w:rsidRPr="00AE3026">
          <w:pgSz w:w="11906" w:h="16838"/>
          <w:pgMar w:top="851" w:right="454" w:bottom="510" w:left="454" w:header="0" w:footer="0" w:gutter="0"/>
          <w:cols w:space="720"/>
          <w:formProt w:val="0"/>
          <w:docGrid w:linePitch="360"/>
        </w:sectPr>
      </w:pPr>
    </w:p>
    <w:p w:rsidR="00DC522E" w:rsidRPr="00AE3026" w:rsidRDefault="00156784">
      <w:pPr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b/>
          <w:sz w:val="15"/>
          <w:szCs w:val="15"/>
        </w:rPr>
        <w:t>Основные понятия и определения.</w:t>
      </w:r>
    </w:p>
    <w:p w:rsidR="00DC522E" w:rsidRPr="00AE3026" w:rsidRDefault="00DC522E">
      <w:pPr>
        <w:widowControl/>
        <w:ind w:left="360"/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</w:pP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Услуга (услуги) электронной связи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, или </w:t>
      </w: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Услуга (услуги)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услуга по доставке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электронного сигнала с использованием Сети электронной связи.</w:t>
      </w:r>
    </w:p>
    <w:p w:rsidR="00DC522E" w:rsidRPr="00AE3026" w:rsidRDefault="00156784">
      <w:pPr>
        <w:widowControl/>
        <w:suppressAutoHyphens w:val="0"/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 xml:space="preserve">Специальные условия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–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неотъемлемая часть Договора, определяющая конкретный вид (состав) Услуги и условия ее предоставления (абонирования).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Подписка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периодическая покупка Абонентом Услуг электронной связи.</w:t>
      </w:r>
    </w:p>
    <w:p w:rsidR="00DC522E" w:rsidRPr="00AE3026" w:rsidRDefault="0015678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</w:pPr>
      <w:r w:rsidRPr="00AE3026"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  <w:t>Абонентская плата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ежемесячная плата за Услугу. Плата за Услугу КТВ состоит из двух частей: за доставку сигнала и за содержание программы.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Оборудование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техническое конечное устройство Абонента, позволяющее получать Услугу и приобретаемое Абонентом самостоятельно.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Календарный месяц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период времени с первого числа месяца до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последнего числа месяца включительно.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День оплаты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дата поступления платежа на счёт Оператора.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Стоимость подключения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установленная Оператором стоимость услуг по прокладке инфраструктуры и установке оборудования, необходимого для предоставления Абоненту качественных Услуг.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Пункт подключения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точка соединения Сети электронной связи Оператора и Распределительной сети Абонента, которая не может находиться далее трёх метров от входа в здание или квартиру, и в которой Абоненту обеспечивается доступ к Сети электронной связи Оператора.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Сеть электронной связи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принадлежащие Оператору или арендованные им передающие системы, активное и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пассивное распределительное оборудование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и кабельные линии, позволяющие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передавать электронный сигнал до Пункта подключения.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Распределительная сеть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принадлежащее Абоненту или арендованное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им активное и пассивное распределительное оборудование, кабельные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линии, способные обеспечить передачу электронного сигнала от Пункта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подключения к конечному устройству (телевизионному приёмнику, цифровому ТВ декодеру,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компьютеру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телефону и т. п.).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 xml:space="preserve">КТВ –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кабельное телевидение.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Пакет КТВ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совокупность телевизионных и радиопрограмм, формируемая Оператором и предоставляемая по Подписке как единое целое, согласно Приложения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(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Специальным условиям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)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Публичный показ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любой показ полученных в рамках данного договора телевизионных программ с помощью технических средств в месте, открытом для свободного посещения, или в месте, где присутствует значительное число лиц, не принадлежащих к обычному кругу семьи.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eastAsia="Arial" w:hAnsi="Times New Roman" w:cs="Times New Roman"/>
          <w:b/>
          <w:color w:val="000000" w:themeColor="text1"/>
          <w:sz w:val="15"/>
          <w:szCs w:val="15"/>
          <w:lang w:eastAsia="ar-SA"/>
        </w:rPr>
        <w:t>Услуга Интернета</w:t>
      </w:r>
      <w:r w:rsidRPr="00AE3026">
        <w:rPr>
          <w:rFonts w:ascii="Times New Roman" w:eastAsia="Arial" w:hAnsi="Times New Roman" w:cs="Times New Roman"/>
          <w:color w:val="000000" w:themeColor="text1"/>
          <w:sz w:val="15"/>
          <w:szCs w:val="15"/>
          <w:lang w:val="lv-LV" w:eastAsia="ar-SA"/>
        </w:rPr>
        <w:t xml:space="preserve"> </w:t>
      </w:r>
      <w:r w:rsidRPr="00AE3026">
        <w:rPr>
          <w:rFonts w:ascii="Times New Roman" w:hAnsi="Times New Roman" w:cs="Times New Roman"/>
          <w:b/>
          <w:bCs/>
          <w:color w:val="000000" w:themeColor="text1"/>
          <w:sz w:val="15"/>
          <w:szCs w:val="15"/>
          <w:lang w:val="lv-LV"/>
        </w:rPr>
        <w:t xml:space="preserve">–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Услуга по передаче данных через Сеть электронной связи (возможность принимать и отправлять информацию в Интернете и использовать различные ресурсы Интернета).</w:t>
      </w:r>
    </w:p>
    <w:p w:rsidR="00DC522E" w:rsidRPr="00AE3026" w:rsidRDefault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  <w:t xml:space="preserve">Устройство —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Модем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(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специальные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устройства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которые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обеспечивают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получение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Интернет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-услиги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),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Адаптер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(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специальное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устройство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которое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обеспечивает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получение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услуги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IP -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телефонии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),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Приемник</w:t>
      </w:r>
      <w:r w:rsidRPr="00AE3026"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  <w:t xml:space="preserve"> (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цифровой приемник стандарта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DVB-C), CAM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модуль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Conax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или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Карта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(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специальный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микропроцессорный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модуль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который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индивидуализирует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Абонента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и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обеспечивает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ему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получение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услуг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цифрового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телевидения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).</w:t>
      </w:r>
    </w:p>
    <w:p w:rsidR="00DC522E" w:rsidRPr="00AE3026" w:rsidRDefault="00156784">
      <w:p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Форс-мажорные обстоятельства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- обстоятельства непреодолимой силы, возникшие помимо воли и желания Оператора, и которые нельзя было предвидеть или избежать, включая:</w:t>
      </w:r>
    </w:p>
    <w:p w:rsidR="00DC522E" w:rsidRPr="00AE3026" w:rsidRDefault="00156784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нормативные акты органов государственной власти и управления, ограничивающие или запрещающие деятельность Оператора по предоставлению Услуг;</w:t>
      </w:r>
    </w:p>
    <w:p w:rsidR="00DC522E" w:rsidRPr="00AE3026" w:rsidRDefault="00156784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непредусмотренный выход из строя или нарушение нормального функционирования системы спутниковой связи, используемой для доставки сигнала Оператору;</w:t>
      </w:r>
    </w:p>
    <w:p w:rsidR="00DC522E" w:rsidRPr="00AE3026" w:rsidRDefault="00156784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стихийные бедствия,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как то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: ураганы, наводнения, пожары, молнии,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землетрясения, повышенная солнечная или лунная активность и др.;</w:t>
      </w:r>
    </w:p>
    <w:p w:rsidR="00DC522E" w:rsidRPr="00AE3026" w:rsidRDefault="00156784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войны, гражданские волнения, эпидемии, блокады;</w:t>
      </w:r>
    </w:p>
    <w:p w:rsidR="00DC522E" w:rsidRPr="00AE3026" w:rsidRDefault="00156784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несанкционированная деятельность третьих лиц по использованию электромагнитного поля.</w:t>
      </w:r>
    </w:p>
    <w:p w:rsidR="00DC522E" w:rsidRPr="00AE3026" w:rsidRDefault="00DC522E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15"/>
          <w:szCs w:val="15"/>
        </w:rPr>
      </w:pPr>
    </w:p>
    <w:p w:rsidR="00DC522E" w:rsidRPr="00AE3026" w:rsidRDefault="00DC522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vanish/>
          <w:color w:val="000000" w:themeColor="text1"/>
          <w:sz w:val="15"/>
          <w:szCs w:val="15"/>
        </w:rPr>
      </w:pPr>
    </w:p>
    <w:p w:rsidR="00DC522E" w:rsidRPr="00AE3026" w:rsidRDefault="00156784">
      <w:pPr>
        <w:numPr>
          <w:ilvl w:val="0"/>
          <w:numId w:val="1"/>
        </w:numPr>
        <w:spacing w:before="15"/>
        <w:ind w:hanging="218"/>
        <w:jc w:val="center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>Предмет договора</w:t>
      </w: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  <w:t>.</w:t>
      </w:r>
    </w:p>
    <w:p w:rsidR="00DC522E" w:rsidRPr="00AE3026" w:rsidRDefault="00DC522E">
      <w:pPr>
        <w:spacing w:before="15"/>
        <w:ind w:left="360"/>
        <w:rPr>
          <w:rFonts w:ascii="Times New Roman" w:hAnsi="Times New Roman" w:cs="Times New Roman"/>
          <w:color w:val="000000" w:themeColor="text1"/>
          <w:sz w:val="15"/>
          <w:szCs w:val="15"/>
        </w:rPr>
      </w:pPr>
    </w:p>
    <w:p w:rsidR="00DC522E" w:rsidRPr="00AE3026" w:rsidRDefault="00156784">
      <w:pPr>
        <w:widowControl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2.1 Оператор, используя свою публичную Сеть электронной связи, предоставляет Абоненту выбранные последним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Услуги электронной связи по адресу, указанному Абонентом. Действие настоящего договора распространяется на все Услуги электронной связи, о которых стороны договорились, подписав соответствующие Специальные Условия, которые после их подписания становятся неотъемлемой частью Договора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.</w:t>
      </w:r>
    </w:p>
    <w:p w:rsidR="00DC522E" w:rsidRPr="00AE3026" w:rsidRDefault="00DC522E">
      <w:pPr>
        <w:jc w:val="both"/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</w:pPr>
    </w:p>
    <w:p w:rsidR="00DC522E" w:rsidRPr="00AE3026" w:rsidRDefault="00DC522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vanish/>
          <w:color w:val="000000" w:themeColor="text1"/>
          <w:sz w:val="15"/>
          <w:szCs w:val="15"/>
        </w:rPr>
      </w:pPr>
    </w:p>
    <w:p w:rsidR="00DC522E" w:rsidRPr="00AE3026" w:rsidRDefault="00156784">
      <w:pPr>
        <w:pStyle w:val="ListParagraph"/>
        <w:numPr>
          <w:ilvl w:val="0"/>
          <w:numId w:val="1"/>
        </w:numPr>
        <w:ind w:hanging="218"/>
        <w:jc w:val="center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  <w:t>Условия предоставления Услуг и цены на Услуги</w:t>
      </w:r>
    </w:p>
    <w:p w:rsidR="00DC522E" w:rsidRPr="00AE3026" w:rsidRDefault="00DC522E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color w:val="000000" w:themeColor="text1"/>
          <w:sz w:val="15"/>
          <w:szCs w:val="15"/>
        </w:rPr>
      </w:pPr>
    </w:p>
    <w:p w:rsidR="00DC522E" w:rsidRPr="00AE3026" w:rsidRDefault="00156784">
      <w:pPr>
        <w:widowControl/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3.1 Предоставление Абоненту Услуг начинается в течение семи рабочих дней после подписания Договора и соответствующих Специальных Условий, при условии оплаты Стоимости подключения согласно установленным Оператором тарифам, об ознакомлении с которыми, в том числе с величиной Абонентской платы, а также условиями предоставления Услуг (стандартами Оператора) свидетельствует подпись Абонента под Специальными Условиями к Договору.</w:t>
      </w:r>
    </w:p>
    <w:p w:rsidR="00DC522E" w:rsidRPr="00AE3026" w:rsidRDefault="00156784">
      <w:pPr>
        <w:widowControl/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3.2. </w:t>
      </w:r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 xml:space="preserve">С составом КТВ Абонент </w:t>
      </w:r>
      <w:proofErr w:type="spellStart"/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>ознакамливается</w:t>
      </w:r>
      <w:proofErr w:type="spellEnd"/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 xml:space="preserve"> при подписании настоящих Специальных Условий, данная Услуга предоставляется без права ретрансляции. Оператор оставляет за собой право менять состав КТВ пакетов и /или число входящих телевизионных программ, проинформировав об этом </w:t>
      </w:r>
      <w:proofErr w:type="gramStart"/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>Абонента  не</w:t>
      </w:r>
      <w:proofErr w:type="gramEnd"/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 xml:space="preserve"> менее </w:t>
      </w:r>
      <w:r w:rsidRPr="00AE3026">
        <w:rPr>
          <w:rFonts w:ascii="Times New Roman" w:eastAsia="Calibri" w:hAnsi="Times New Roman" w:cs="Times New Roman"/>
          <w:color w:val="000000" w:themeColor="text1"/>
          <w:sz w:val="15"/>
          <w:szCs w:val="15"/>
        </w:rPr>
        <w:t xml:space="preserve">чем за месяц, в очередном счете или по электронной почте. В случае, если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Абонент с данными изменениями не согласен, у него есть право расторгнуть Договор/Специальные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Условаия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 без применения штрафных санкций, в письменном виде сообщив об этом Оператору до вступления в силу соответствующих изменений. Поскольку Оператор не является создателем программ, он не несёт ответственность за содержание, изменение сетки вещания или полное прекращение вещания </w:t>
      </w:r>
      <w:proofErr w:type="gram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транслируемых  телевизионных</w:t>
      </w:r>
      <w:proofErr w:type="gram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 программ, происходящие по инициативе передающих телекомпаний или на основании решения органов государственной власти.</w:t>
      </w:r>
    </w:p>
    <w:p w:rsidR="00DC522E" w:rsidRPr="00AE3026" w:rsidRDefault="00156784">
      <w:pPr>
        <w:widowControl/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3.3.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Цены на Услуги устанавливает Оператор, оставляя за собой право менять их в одностороннем порядке. При этом Абонент должен быть заранее, не менее чем за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три  месяц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a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, извещен о предстоящем изменении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цены на Услугу в очередном счете или по электронной почте. В случае, если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Абонент с данными изменениями не согласен, у него есть право расторгнуть Договор/Специальные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Условаия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 без применения штрафных санкций, в письменном виде сообщив об этом Оператору до вступления в силу соответствующих изменений. </w:t>
      </w:r>
    </w:p>
    <w:p w:rsidR="00DC522E" w:rsidRPr="00AE3026" w:rsidRDefault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3.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4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. Абонентская плата уплачивается до 20-го числа каждого месяца за текущий месяц, или в срок, указанный в счёте. За месяц подключения Абонентская плата взимается с момента подключения Услуги. Возможные способы оплаты Оператор доводит до сведения Абонента любым доступным для Оператора способом.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3.5.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Оператор не несёт ответственности за некачественную работу,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расценки и правила организаций, осуществляющих перевод денежных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средств Абонента на счёт Оператора.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3.6.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Новая (дополнительная) Услуга может быть предоставлена Абоненту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только при условии соблюдения им всех обязательств по уже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подписанным Специальным условиям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В случае несоблюдения этих обязательств, в том числе, в случае наличия задолженности по Абонентской плате и другие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задолженности ,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новая (дополнительная) Услуга не предоставляется.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3.7.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Предоставление Абоненту Услуги возможно только в том случае, если это позволяют технические характеристики конечного Оборудования и Распределительной сети Абонента.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3.8.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Оператор имеет право в любой момент заменить Устройство по какой бы то ни было причине без ущерба для предоставления Услуги,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а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также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, предупредив Абонента не менее чем за три месяца, изменить величину Арендной платы.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3.9.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Абонент  ответственен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за использование и  за соблюдение норм хранения Устройства на протяжении всего времени действующего договора.  Передача Устройства третьим лицам или другое несанкционированное использование- запрещено, это является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обязанностью  по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закону Латвийской Республики и договорной ответственности. Абонент несёт материальную ответственность за любые повреждения Устройства, произошедшие по его вине или вине третьих лиц, а также за его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утрату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(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об</w:t>
      </w:r>
      <w:proofErr w:type="spellEnd"/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этом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Абоненту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необходимо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немедленно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сообщить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Oператору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)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. В случае повреждения Устройства Абонент обязан возместить Оператору расходы на его ремонт, а в случае утраты Устройства — его первоначальную стоимость. В случае выхода Устройства из строя другое Устройство на замену предоставляется Абоненту только после возврата вышедшего из строя Устройства Оператору,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но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в </w:t>
      </w:r>
      <w:proofErr w:type="spellStart"/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случае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потери</w:t>
      </w:r>
      <w:proofErr w:type="spellEnd"/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или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порче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Устройства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-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после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того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как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Абонент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возместил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первоначальную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стоимость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,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коротая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указанна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в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Специальных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условиях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.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3.10.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Устройство на протяжении всего срока действия настоящих Специальных Условий остаётся собственностью Оператора и подлежит возврату при прекращении использования Абонентом Услуги в течении трех рабочих дней ; после данного срока Устройство считается утерянным. </w:t>
      </w:r>
    </w:p>
    <w:p w:rsidR="00DC522E" w:rsidRPr="00AE3026" w:rsidRDefault="00156784" w:rsidP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3.11.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В случае использования Абонентом пароля для получения Интернет-услуги, он лично ответственен за то, чтобы пароль не стал известен несанкционированным пользователям, как и за все действия с использованием этого пароля.</w:t>
      </w:r>
    </w:p>
    <w:p w:rsidR="00DC522E" w:rsidRPr="00AE3026" w:rsidRDefault="00156784">
      <w:pPr>
        <w:pStyle w:val="NormalWeb"/>
        <w:numPr>
          <w:ilvl w:val="0"/>
          <w:numId w:val="2"/>
        </w:numPr>
        <w:spacing w:after="0" w:line="240" w:lineRule="auto"/>
        <w:jc w:val="center"/>
        <w:rPr>
          <w:sz w:val="15"/>
          <w:szCs w:val="15"/>
        </w:rPr>
      </w:pPr>
      <w:r w:rsidRPr="00AE3026">
        <w:rPr>
          <w:b/>
          <w:color w:val="000000" w:themeColor="text1"/>
          <w:sz w:val="15"/>
          <w:szCs w:val="15"/>
        </w:rPr>
        <w:t>Обязательства сторон.</w:t>
      </w:r>
    </w:p>
    <w:p w:rsidR="00DC522E" w:rsidRPr="00AE3026" w:rsidRDefault="00DC522E">
      <w:pPr>
        <w:pStyle w:val="ListParagraph"/>
        <w:widowControl/>
        <w:ind w:left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</w:pPr>
    </w:p>
    <w:p w:rsidR="00DC522E" w:rsidRPr="00AE3026" w:rsidRDefault="001567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Оператор обязан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en-US"/>
        </w:rPr>
        <w:t>: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принимать все необходимые меры для обеспечения непрерывной и качественной доставки Услуг Абоненту до Пункта подключения;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устранить возникшие в Сети электронной связи неисправности в течение 3-х рабочих дней после регистрации заявки о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неисправности, за исключением случаев наступления Форс-мажорных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обстоятельств;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без согласия Абонента не распространять его персональные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данные третьим лицам, за исключением случаев, прямо оговорённых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законодательством. Данное обязательство Оператора прекращается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неисполнением Абонентом своих обязательств по Договору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(Специальным Условиям), если в результате этого Оператору причинён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имущественный ущерб;</w:t>
      </w:r>
    </w:p>
    <w:p w:rsidR="00DC522E" w:rsidRPr="00AE3026" w:rsidRDefault="001567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Оператор имеет право: 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попросить у Абонента показать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документ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удостоверяющий личность, договор о съёме, земельную книгу, доверенность, если это необходимо;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проводить профилактический ремонт Сети электронной связи в любое время по своему усмотрению, общая продолжительность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которого не должна превышать 5 (пяти) процентов от общего времени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оказания Услуг в течение Календарного месяца;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расторгнуть Договор и отключить Абонента от своей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Сети электронной связи без предварительного уведомления 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выплаты какой-либо компенсации, если:</w:t>
      </w:r>
    </w:p>
    <w:p w:rsidR="00DC522E" w:rsidRPr="00AE3026" w:rsidRDefault="001567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у Абонента имеется задолженность по Абонентской плате более чем за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два  Календарный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месяц ;</w:t>
      </w:r>
    </w:p>
    <w:p w:rsidR="00DC522E" w:rsidRPr="00AE3026" w:rsidRDefault="001567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Абонент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своими действиями создает помехи в работе Сети электронной связи Оператора или наносит ему материальный ущерб;</w:t>
      </w:r>
    </w:p>
    <w:p w:rsidR="00DC522E" w:rsidRPr="00AE3026" w:rsidRDefault="001567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констатируются техническое вмешательство Абонента в Сеть электронной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lastRenderedPageBreak/>
        <w:t>связи;</w:t>
      </w:r>
    </w:p>
    <w:p w:rsidR="00DC522E" w:rsidRPr="00AE3026" w:rsidRDefault="001567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</w:pP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наступают Форс-мажорные обстоятельства.</w:t>
      </w:r>
    </w:p>
    <w:p w:rsidR="00DC522E" w:rsidRPr="00AE3026" w:rsidRDefault="00156784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Повторное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подключение Абонента к Сети электронной связи Оператора в течение двух недель после отключения производится без оплаты Стоимости подключения, но после уплаты всех задолженностей и предусмотренного Договором (Специальным Условиями) штрафа, а также платы за повторное подключение. Подключение Абонента после истечения вышеупомянутого двухнедельного срока считается новым подключением;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прекратить предоставление отдельных Услуг, предупредив об этом Абонента любым доступным для Оператора способом не менее, чем за один месяц;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осуществлять мероприятия, связанные с техническим развитием Сети электронной связи и расширением спектра Услуг. Если в этом случае необходимо соответственно усовершенствовать или заменить конечное устройство Абонента, то вызванные этим затраты ложатся на Абонента;</w:t>
      </w:r>
    </w:p>
    <w:p w:rsidR="00DC522E" w:rsidRPr="00AE3026" w:rsidRDefault="00156784">
      <w:p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4.2.6.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передавать третьим лицам право требования задолженности Абонента, возникшей в связи с неисполнением (ненадлежащим исполнением) условий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Договора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 (</w:t>
      </w:r>
      <w:proofErr w:type="gram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Специальных Условий)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.</w:t>
      </w:r>
    </w:p>
    <w:p w:rsidR="00DC522E" w:rsidRPr="00AE3026" w:rsidRDefault="001567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Абонент обязан: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своевременно вносить Абонентскую плату в соответствии с п. 3.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4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. Договора, а в случае задержки платежа уплатить пени в размере 1 (одного) процента от вовремя не уплаченной суммы за каждый день просрочки. Своевременно сообщать Оператору о факте неполучения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счета ;</w:t>
      </w:r>
      <w:proofErr w:type="gramEnd"/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обеспечить соответствие Распределительной сети и Оборудования латвийским стандартам и требованиям Оператора;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незамедлительно сообщать Оператору обо всех повреждениях Сети электронной связи;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обеспечить соблюдение установленных латвийским законодательством запретов на получение определённой аудиовизуальной информации определёнными категориями лиц;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при подключении к Распределительной сети более одного конечного устройства (телевизионного приёмника, цифрового ТВ декодера, компьютера и т.п.), обязательно заранее проконсультироваться со специалистами Оператора и строго следовать их рекомендациям;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разрешить в случае технической необходимости работникам Оператора доступ к Распределительной сети в заранее согласованное сторонами время;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 проводить без согласия Оператора и без присутствия его представителя, и не давать разрешения никому другому, кто бы это ни был, проводить различного вида мониторинг Сети электронной связи (используя собственные или принадлежащие другим лицам технические устройства и приспособления) и производство любых замеров;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 передавать и не уступать свои права и обязанности по Договору третьим лицам;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в течении семи дней письменно информировать Оператора о любых изменениях в реквизитах, указанных в Договоре.</w:t>
      </w:r>
    </w:p>
    <w:p w:rsidR="00DC522E" w:rsidRPr="00AE3026" w:rsidRDefault="0015678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eastAsia="Arial" w:hAnsi="Times New Roman" w:cs="Times New Roman"/>
          <w:color w:val="000000" w:themeColor="text1"/>
          <w:sz w:val="15"/>
          <w:szCs w:val="15"/>
          <w:lang w:eastAsia="ar-SA"/>
        </w:rPr>
        <w:t xml:space="preserve">Подписывая Договор,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Абонент тем самым выражает своё согласие с тем, что Оператор в течение всего срока действия настоящего договора, при согласовании с Абонентом соответствующих проектов, имеет право сооружать или модернизировать в соответствующем здании (сооружении), по указанному в Договоре адресу, любые свои электронные сети</w:t>
      </w:r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.</w:t>
      </w:r>
    </w:p>
    <w:p w:rsidR="00DC522E" w:rsidRPr="00AE3026" w:rsidRDefault="00156784">
      <w:pPr>
        <w:numPr>
          <w:ilvl w:val="1"/>
          <w:numId w:val="5"/>
        </w:numPr>
        <w:ind w:left="284" w:hanging="284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Абоненту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запрещается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en-US"/>
        </w:rPr>
        <w:t>: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производить копирование доставляемых ему телевизионных программ в коммерческих целях на любые виды носителей;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ретранслировать получаемую Услугу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en-US"/>
        </w:rPr>
        <w:t>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несанкционированное подключение к компьютерным системам и сетям Оператора, а также проникновение в сети других пользователей Интернета или в частные системы файлов;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создание помех другим пользователям Интернета;</w:t>
      </w:r>
    </w:p>
    <w:p w:rsidR="00DC522E" w:rsidRPr="00AE3026" w:rsidRDefault="001567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использовать Интернет-услугу для рассылки спама (несанкционированных адресатом электронных писем).</w:t>
      </w:r>
    </w:p>
    <w:p w:rsidR="00DC522E" w:rsidRPr="00AE3026" w:rsidRDefault="00DC522E">
      <w:pPr>
        <w:ind w:left="284"/>
        <w:jc w:val="both"/>
        <w:rPr>
          <w:rFonts w:ascii="Times New Roman" w:hAnsi="Times New Roman" w:cs="Times New Roman"/>
          <w:b/>
          <w:strike/>
          <w:color w:val="000000" w:themeColor="text1"/>
          <w:sz w:val="15"/>
          <w:szCs w:val="15"/>
        </w:rPr>
      </w:pPr>
    </w:p>
    <w:p w:rsidR="00DC522E" w:rsidRPr="00AE3026" w:rsidRDefault="00156784">
      <w:pPr>
        <w:numPr>
          <w:ilvl w:val="0"/>
          <w:numId w:val="5"/>
        </w:numPr>
        <w:ind w:hanging="218"/>
        <w:jc w:val="center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</w:rPr>
        <w:t xml:space="preserve">Прочие условия. </w:t>
      </w:r>
    </w:p>
    <w:p w:rsidR="00DC522E" w:rsidRPr="00AE3026" w:rsidRDefault="00DC522E">
      <w:pPr>
        <w:ind w:left="360"/>
        <w:rPr>
          <w:rFonts w:ascii="Times New Roman" w:hAnsi="Times New Roman" w:cs="Times New Roman"/>
          <w:color w:val="000000" w:themeColor="text1"/>
          <w:sz w:val="15"/>
          <w:szCs w:val="15"/>
        </w:rPr>
      </w:pPr>
    </w:p>
    <w:p w:rsidR="00DC522E" w:rsidRPr="00AE3026" w:rsidRDefault="00156784">
      <w:pPr>
        <w:numPr>
          <w:ilvl w:val="1"/>
          <w:numId w:val="3"/>
        </w:numPr>
        <w:ind w:left="284" w:hanging="284"/>
        <w:rPr>
          <w:rFonts w:ascii="Times New Roman" w:hAnsi="Times New Roman" w:cs="Times New Roman"/>
          <w:sz w:val="15"/>
          <w:szCs w:val="15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Абонент подтверждает, что данные предоставленные Оператору точны/ правдивы, и согласен, </w:t>
      </w:r>
      <w:proofErr w:type="gram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что  Оператор</w:t>
      </w:r>
      <w:proofErr w:type="gram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будет использовать  их в выполнении  обязательств;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>Оператор не несет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 ответственность за непредвиденные перерывы в подаче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электроэнергии, питающей его Сеть электронной связи, за любые повреждения Оборудования и Распределительной сети Абонента, возникшие по причине нарушения Абонентом правил их эксплуатации, а также за перерывы в предоставлении Услуг, вызванные Форс-мажорными обстоятельствами, уголовными преступлениями или административными проступками третьих лиц, или самовольным подключением Абонента или третьих лиц к Сети электронной связи.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 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Абонент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несет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ответственность по обязательствам, зафиксированным в Договоре (Специальных Условиях), а также за достоверность указанных в Договоре сведений. Лицо, подписавшее Договор (Специальные Условия), считается действующим от своего имени и за свой счет.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Любые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изменения и дополнения к Договору (Специальным Условиям) имеют силу только тогда, когда они оформлены письменно и подписаны обеими сторонами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.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Подписывая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настоящий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Договор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Абонент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подтверждает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что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внимательно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прочитал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все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его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положения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и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обсудил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их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с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Оператором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. 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Вся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информация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, содержащаяся в Договоре (Специальных Условиях), является конфиденциальной и не подлежит разглашению даже после его расторжения. Копировать Договор (Специальные Условия) и делать из него выписки запрещено, кроме случаев, предусмотренных законодательством (напр., если это необходимо для разрешения возникшего между сторонами спора). 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Все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споры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возникшие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между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сторонами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при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подписании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или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исполнении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Договора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(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Условий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),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разрешаются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соглашению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сторон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если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же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это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невозможно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то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-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предусмотренном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законодательством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Латвийской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Республики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порядке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и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законам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Латвийской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Республики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.</w:t>
      </w:r>
    </w:p>
    <w:p w:rsidR="00DC522E" w:rsidRPr="00AE3026" w:rsidRDefault="00DC522E">
      <w:pPr>
        <w:ind w:left="792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</w:p>
    <w:p w:rsidR="00DC522E" w:rsidRPr="00AE3026" w:rsidRDefault="00156784">
      <w:pPr>
        <w:numPr>
          <w:ilvl w:val="0"/>
          <w:numId w:val="3"/>
        </w:numPr>
        <w:ind w:hanging="218"/>
        <w:jc w:val="center"/>
        <w:rPr>
          <w:rFonts w:ascii="Times New Roman" w:hAnsi="Times New Roman" w:cs="Times New Roman"/>
          <w:sz w:val="15"/>
          <w:szCs w:val="15"/>
        </w:rPr>
      </w:pPr>
      <w:proofErr w:type="spellStart"/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  <w:t>Действие</w:t>
      </w:r>
      <w:proofErr w:type="spellEnd"/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  <w:t>договора</w:t>
      </w:r>
      <w:proofErr w:type="spellEnd"/>
      <w:r w:rsidRPr="00AE3026">
        <w:rPr>
          <w:rFonts w:ascii="Times New Roman" w:hAnsi="Times New Roman" w:cs="Times New Roman"/>
          <w:b/>
          <w:color w:val="000000" w:themeColor="text1"/>
          <w:sz w:val="15"/>
          <w:szCs w:val="15"/>
          <w:lang w:val="lv-LV"/>
        </w:rPr>
        <w:t xml:space="preserve"> .</w:t>
      </w:r>
    </w:p>
    <w:p w:rsidR="00DC522E" w:rsidRPr="00AE3026" w:rsidRDefault="00DC522E">
      <w:pPr>
        <w:ind w:left="360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Договор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(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Специальные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Условия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)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вступает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силу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с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момента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его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подписания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обеими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сторонами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и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действует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до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момента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его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расторжения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(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полного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прекращения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предоставления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(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получения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)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Услуг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)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любой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из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сторон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соответствии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с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условиями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Договора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(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Условий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val="lv-LV" w:eastAsia="ru-RU" w:bidi="ar-SA"/>
        </w:rPr>
        <w:t>).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Для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расторжения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Договора (Специальных Условий) Абонент должен погасить свою задолженность перед Оператором и направить в его адрес письменное заявление о желании расторгнуть Договор (Специальные Условия). Расторжение будет произведено Оператором после получения данного заявления и погашения задолженности, в последний день текущего Календарного месяца, а если заявление о расторжении Договора подано в том же месяце, в котором Договор был заключен, то в последний день календарного месяца, следующего за месяцем подачи заявления о расторжении Договора, исключая случай, когда Абонент использует права отказа от Договора, который заключен вне места постоянной коммерческой деятельности Оператора,- в данном случае Договор (Специальные условия) считается  расторгнутым в день ,когда Абонент выполнил условия пункта 6.4. предусматривающий сдачу Устройств/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>ва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:lang w:eastAsia="ru-RU" w:bidi="ar-SA"/>
        </w:rPr>
        <w:t xml:space="preserve">. 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15"/>
          <w:szCs w:val="15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Если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вине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(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инициативе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)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Абонента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прекращается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действие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Договора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или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данных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Условий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истечения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Минимального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срока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действия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Условий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Абонент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течение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одного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месяца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после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дня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подачи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заявления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(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отказа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) о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прекращении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действия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Договора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или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Условий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или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отправки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соответствующего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извещения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Оператора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на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указанный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данных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Специальных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Условиях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адрес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Абонента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должен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выплатить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отступные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состоящие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из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Стоимости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подключения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и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стоимости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прокладки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Распределительной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сети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, которые были в силе</w:t>
      </w:r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в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момент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/>
        </w:rPr>
        <w:t>подключения</w:t>
      </w:r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.Такая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же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обязанность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Абонента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по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оплате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действует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при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использовании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права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отказа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от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Договора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,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который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заключен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вне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места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постоянной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коммерческой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деятельности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 xml:space="preserve"> </w:t>
      </w:r>
      <w:proofErr w:type="spellStart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Оператора</w:t>
      </w:r>
      <w:proofErr w:type="spellEnd"/>
      <w:r w:rsidRPr="00AE3026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  <w:t>.</w:t>
      </w:r>
    </w:p>
    <w:p w:rsidR="00DC522E" w:rsidRPr="00AE3026" w:rsidRDefault="00156784">
      <w:pPr>
        <w:numPr>
          <w:ilvl w:val="1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lv-LV" w:eastAsia="ru-RU" w:bidi="ar-SA"/>
        </w:rPr>
      </w:pP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По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proofErr w:type="spellStart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>окончании</w:t>
      </w:r>
      <w:proofErr w:type="spellEnd"/>
      <w:r w:rsidRPr="00AE3026">
        <w:rPr>
          <w:rFonts w:ascii="Times New Roman" w:hAnsi="Times New Roman" w:cs="Times New Roman"/>
          <w:color w:val="000000" w:themeColor="text1"/>
          <w:sz w:val="15"/>
          <w:szCs w:val="15"/>
          <w:lang w:val="lv-LV"/>
        </w:rPr>
        <w:t xml:space="preserve"> </w:t>
      </w:r>
      <w:r w:rsidRPr="00AE3026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срока действия настоящих Специальных Условий или в случае досрочного их расторжения Абонент обязуется вернуть Устройство Оператору в течение трёх рабочих дней в исправном техническом состоянии, без механических повреждений и с не изменённым внешним видом, а также в той комплектации, которая отражена в приёмо-сдаточном акте, составленном при подключении Устройства в Распределительную сеть Абонента. При несоблюдении указанных в данном пункте срока и условий возврата Устройства Абонент уплачивает Оператору первоначальную стоимость Устройства, которое после этого переходит в собственность Абонента. </w:t>
      </w:r>
    </w:p>
    <w:p w:rsidR="00DC522E" w:rsidRDefault="00DC522E">
      <w:pPr>
        <w:sectPr w:rsidR="00DC522E">
          <w:type w:val="continuous"/>
          <w:pgSz w:w="11906" w:h="16838"/>
          <w:pgMar w:top="851" w:right="454" w:bottom="510" w:left="454" w:header="0" w:footer="0" w:gutter="0"/>
          <w:cols w:num="2" w:space="244"/>
          <w:formProt w:val="0"/>
          <w:docGrid w:linePitch="360"/>
        </w:sectPr>
      </w:pPr>
    </w:p>
    <w:p w:rsidR="00DC522E" w:rsidRDefault="00DC522E">
      <w:pPr>
        <w:tabs>
          <w:tab w:val="left" w:pos="284"/>
          <w:tab w:val="left" w:pos="6237"/>
        </w:tabs>
        <w:jc w:val="both"/>
        <w:rPr>
          <w:rFonts w:ascii="Times New Roman" w:hAnsi="Times New Roman"/>
          <w:sz w:val="12"/>
          <w:szCs w:val="12"/>
          <w:lang w:val="lv-LV"/>
        </w:rPr>
      </w:pPr>
    </w:p>
    <w:p w:rsidR="00DC522E" w:rsidRDefault="00DC522E">
      <w:pPr>
        <w:tabs>
          <w:tab w:val="left" w:pos="284"/>
          <w:tab w:val="left" w:pos="6237"/>
        </w:tabs>
        <w:jc w:val="both"/>
        <w:rPr>
          <w:rFonts w:ascii="Times New Roman" w:hAnsi="Times New Roman"/>
          <w:sz w:val="12"/>
          <w:szCs w:val="12"/>
          <w:lang w:val="lv-LV"/>
        </w:rPr>
      </w:pPr>
    </w:p>
    <w:p w:rsidR="00DC522E" w:rsidRDefault="00156784">
      <w:pPr>
        <w:tabs>
          <w:tab w:val="left" w:pos="284"/>
          <w:tab w:val="left" w:pos="6237"/>
        </w:tabs>
        <w:jc w:val="both"/>
        <w:rPr>
          <w:rFonts w:ascii="Times New Roman" w:hAnsi="Times New Roman"/>
          <w:b/>
          <w:i/>
          <w:lang w:val="lv-LV"/>
        </w:rPr>
      </w:pPr>
      <w:r>
        <w:rPr>
          <w:rFonts w:ascii="Times New Roman" w:hAnsi="Times New Roman"/>
          <w:b/>
          <w:i/>
          <w:lang w:val="lv-LV"/>
        </w:rPr>
        <w:tab/>
        <w:t>Operators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  <w:lang w:val="lv-LV"/>
        </w:rPr>
        <w:t>Abonents</w:t>
      </w:r>
    </w:p>
    <w:p w:rsidR="00CA3C53" w:rsidRDefault="00CA3C53">
      <w:pPr>
        <w:tabs>
          <w:tab w:val="left" w:pos="284"/>
          <w:tab w:val="left" w:pos="6237"/>
        </w:tabs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lv-LV" w:eastAsia="ru-RU" w:bidi="ar-SA"/>
        </w:rPr>
      </w:pPr>
      <w:r>
        <w:rPr>
          <w:rFonts w:ascii="Times New Roman" w:hAnsi="Times New Roman"/>
          <w:b/>
          <w:i/>
          <w:lang w:val="lv-LV"/>
        </w:rPr>
        <w:t xml:space="preserve">  </w:t>
      </w:r>
      <w:r>
        <w:pict>
          <v:group id="_x0000_s1063" style="width:217.5pt;height:127.35pt;mso-position-horizontal-relative:char;mso-position-vertical-relative:line" coordorigin="-1143" coordsize="27622,16171">
            <v:rect id="Rectangle 6" o:spid="_x0000_s1064" style="position:absolute;left:-1143;width:27622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" strokeweight=".26mm">
              <v:stroke joinstyle="round"/>
              <v:textbox style="mso-next-textbox:#Rectangle 6;mso-fit-shape-to-text:t">
                <w:txbxContent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Paraksts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Vārds</w:t>
                    </w:r>
                    <w:proofErr w:type="spellEnd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 xml:space="preserve">, </w:t>
                    </w: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uzvārds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Datums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</w:txbxContent>
              </v:textbox>
            </v:rect>
            <v:rect id="Rectangle 7" o:spid="_x0000_s1065" style="position:absolute;top:4179;width:253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" strokeweight=".35mm"/>
            <v:rect id="Rectangle 8" o:spid="_x0000_s1066" style="position:absolute;top:7747;width:25380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" strokeweight=".35mm"/>
            <w10:anchorlock/>
          </v:group>
        </w:pict>
      </w:r>
      <w:r>
        <w:rPr>
          <w:rFonts w:ascii="Times New Roman" w:hAnsi="Times New Roman"/>
          <w:b/>
          <w:i/>
          <w:lang w:val="lv-LV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lv-LV" w:eastAsia="ru-RU" w:bidi="ar-SA"/>
        </w:rPr>
      </w:r>
      <w:r>
        <w:rPr>
          <w:rFonts w:ascii="Times New Roman" w:hAnsi="Times New Roman"/>
          <w:b/>
          <w:i/>
          <w:lang w:val="lv-LV"/>
        </w:rPr>
        <w:pict>
          <v:group id="Группа 1" o:spid="_x0000_s1067" style="width:217.5pt;height:127.35pt;mso-position-horizontal-relative:char;mso-position-vertical-relative:line" coordorigin="-1143" coordsize="27622,16171">
            <v:rect id="Rectangle 6" o:spid="_x0000_s1068" style="position:absolute;left:-1143;width:27622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" strokeweight=".26mm">
              <v:stroke joinstyle="round"/>
              <v:textbox style="mso-next-textbox:#Rectangle 6;mso-fit-shape-to-text:t">
                <w:txbxContent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Paraksts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Vārds</w:t>
                    </w:r>
                    <w:proofErr w:type="spellEnd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 xml:space="preserve">, </w:t>
                    </w: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uzvārds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  <w:proofErr w:type="spellStart"/>
                    <w:r>
                      <w:rPr>
                        <w:rFonts w:ascii="Calibri" w:eastAsia="Calibri" w:hAnsi="Calibri"/>
                        <w:kern w:val="0"/>
                        <w:sz w:val="20"/>
                        <w:szCs w:val="22"/>
                        <w:lang w:eastAsia="en-US" w:bidi="ar-SA"/>
                      </w:rPr>
                      <w:t>Datums</w:t>
                    </w:r>
                    <w:proofErr w:type="spellEnd"/>
                  </w:p>
                  <w:p w:rsidR="00CA3C53" w:rsidRDefault="00CA3C53" w:rsidP="00CA3C53">
                    <w:pPr>
                      <w:overflowPunct w:val="0"/>
                    </w:pPr>
                  </w:p>
                  <w:p w:rsidR="00CA3C53" w:rsidRDefault="00CA3C53" w:rsidP="00CA3C53">
                    <w:pPr>
                      <w:overflowPunct w:val="0"/>
                    </w:pPr>
                  </w:p>
                </w:txbxContent>
              </v:textbox>
            </v:rect>
            <v:rect id="Rectangle 7" o:spid="_x0000_s1069" style="position:absolute;top:4179;width:253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" strokeweight=".35mm"/>
            <v:rect id="Rectangle 8" o:spid="_x0000_s1070" style="position:absolute;top:7747;width:25380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" strokeweight=".35mm"/>
            <w10:anchorlock/>
          </v:group>
        </w:pict>
      </w:r>
      <w:r>
        <w:rPr>
          <w:rFonts w:ascii="Times New Roman" w:hAnsi="Times New Roman"/>
          <w:b/>
          <w:i/>
          <w:lang w:val="lv-LV"/>
        </w:rPr>
        <w:t xml:space="preserve">               </w:t>
      </w:r>
      <w:bookmarkStart w:id="0" w:name="_GoBack"/>
      <w:bookmarkEnd w:id="0"/>
      <w:r>
        <w:rPr>
          <w:rFonts w:ascii="Times New Roman" w:hAnsi="Times New Roman"/>
          <w:b/>
          <w:i/>
          <w:lang w:val="lv-LV"/>
        </w:rPr>
        <w:t xml:space="preserve">                                                    </w:t>
      </w:r>
    </w:p>
    <w:p w:rsidR="00111985" w:rsidRDefault="00156784">
      <w:pPr>
        <w:tabs>
          <w:tab w:val="left" w:pos="284"/>
          <w:tab w:val="left" w:pos="6237"/>
        </w:tabs>
        <w:jc w:val="both"/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 w:bidi="ar-SA"/>
        </w:rPr>
        <w:tab/>
      </w:r>
    </w:p>
    <w:p w:rsidR="00111985" w:rsidRDefault="00111985" w:rsidP="00CA3C53">
      <w:pPr>
        <w:pStyle w:val="a1"/>
        <w:tabs>
          <w:tab w:val="left" w:pos="284"/>
          <w:tab w:val="left" w:pos="6246"/>
        </w:tabs>
        <w:jc w:val="right"/>
      </w:pPr>
      <w:r>
        <w:rPr>
          <w:rStyle w:val="a2"/>
          <w:rFonts w:ascii="Times New Roman" w:eastAsia="Times New Roman" w:hAnsi="Times New Roman" w:cs="Times New Roman"/>
          <w:color w:val="000000"/>
          <w:sz w:val="18"/>
          <w:szCs w:val="18"/>
          <w:lang w:val="lv-LV" w:eastAsia="ru-RU" w:bidi="ar-SA"/>
        </w:rPr>
        <w:tab/>
        <w:t>Abonentu daļa: Ziemeļu ielā 17, Liepāja, tālr. 63487333, http://www.ostkom.lv</w:t>
      </w:r>
    </w:p>
    <w:p w:rsidR="00DC522E" w:rsidRPr="00111985" w:rsidRDefault="00111985" w:rsidP="00111985">
      <w:pPr>
        <w:tabs>
          <w:tab w:val="left" w:pos="76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523DD" wp14:editId="755DAEAC">
            <wp:simplePos x="0" y="0"/>
            <wp:positionH relativeFrom="column">
              <wp:posOffset>5793740</wp:posOffset>
            </wp:positionH>
            <wp:positionV relativeFrom="paragraph">
              <wp:posOffset>76835</wp:posOffset>
            </wp:positionV>
            <wp:extent cx="1179832" cy="271777"/>
            <wp:effectExtent l="0" t="0" r="1268" b="0"/>
            <wp:wrapNone/>
            <wp:docPr id="1" name="Рисунок 142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832" cy="2717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DC522E" w:rsidRPr="00111985">
      <w:type w:val="continuous"/>
      <w:pgSz w:w="11906" w:h="16838"/>
      <w:pgMar w:top="851" w:right="454" w:bottom="510" w:left="45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0DC"/>
    <w:multiLevelType w:val="multilevel"/>
    <w:tmpl w:val="CDB0974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682520"/>
    <w:multiLevelType w:val="multilevel"/>
    <w:tmpl w:val="C7209C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652B0D"/>
    <w:multiLevelType w:val="multilevel"/>
    <w:tmpl w:val="B7F606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12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6"/>
        <w:szCs w:val="16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4D5710"/>
    <w:multiLevelType w:val="multilevel"/>
    <w:tmpl w:val="B558966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/>
        <w:b/>
        <w:strike w:val="0"/>
        <w:dstrike w:val="0"/>
        <w:color w:val="00000A"/>
        <w:sz w:val="16"/>
      </w:r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720" w:hanging="72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080" w:hanging="1080"/>
      </w:pPr>
    </w:lvl>
    <w:lvl w:ilvl="8">
      <w:start w:val="1"/>
      <w:numFmt w:val="decimal"/>
      <w:lvlText w:val="%1.%2.%3.%4.%5.%6.%7.%8.%9."/>
      <w:lvlJc w:val="left"/>
      <w:pPr>
        <w:ind w:left="1080" w:hanging="1080"/>
      </w:pPr>
    </w:lvl>
  </w:abstractNum>
  <w:abstractNum w:abstractNumId="4" w15:restartNumberingAfterBreak="0">
    <w:nsid w:val="423D68FF"/>
    <w:multiLevelType w:val="multilevel"/>
    <w:tmpl w:val="A8C4DD74"/>
    <w:lvl w:ilvl="0">
      <w:start w:val="3"/>
      <w:numFmt w:val="decimal"/>
      <w:lvlText w:val="%1."/>
      <w:lvlJc w:val="left"/>
      <w:pPr>
        <w:ind w:left="360" w:hanging="360"/>
      </w:pPr>
      <w:rPr>
        <w:b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trike w:val="0"/>
        <w:dstrike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6"/>
        <w:szCs w:val="16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DB6373"/>
    <w:multiLevelType w:val="multilevel"/>
    <w:tmpl w:val="E75C5B14"/>
    <w:lvl w:ilvl="0">
      <w:start w:val="1"/>
      <w:numFmt w:val="bullet"/>
      <w:lvlText w:val=""/>
      <w:lvlJc w:val="left"/>
      <w:pPr>
        <w:ind w:left="284" w:hanging="14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22E"/>
    <w:rsid w:val="00111985"/>
    <w:rsid w:val="00156784"/>
    <w:rsid w:val="00AE3026"/>
    <w:rsid w:val="00CA3C53"/>
    <w:rsid w:val="00D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58E5202A"/>
  <w15:docId w15:val="{70A684CF-041A-4C3C-AF00-D6371298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21F"/>
    <w:pPr>
      <w:widowControl w:val="0"/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20CC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ListLabel1">
    <w:name w:val="ListLabel 1"/>
    <w:qFormat/>
    <w:rPr>
      <w:rFonts w:ascii="Times New Roman" w:hAnsi="Times New Roman"/>
      <w:b/>
      <w:sz w:val="12"/>
      <w:szCs w:val="16"/>
    </w:rPr>
  </w:style>
  <w:style w:type="character" w:customStyle="1" w:styleId="ListLabel2">
    <w:name w:val="ListLabel 2"/>
    <w:qFormat/>
    <w:rPr>
      <w:b w:val="0"/>
      <w:strike w:val="0"/>
      <w:dstrike w:val="0"/>
      <w:sz w:val="16"/>
      <w:szCs w:val="16"/>
    </w:rPr>
  </w:style>
  <w:style w:type="character" w:customStyle="1" w:styleId="ListLabel3">
    <w:name w:val="ListLabel 3"/>
    <w:qFormat/>
    <w:rPr>
      <w:sz w:val="16"/>
      <w:szCs w:val="16"/>
    </w:rPr>
  </w:style>
  <w:style w:type="character" w:customStyle="1" w:styleId="ListLabel4">
    <w:name w:val="ListLabel 4"/>
    <w:qFormat/>
    <w:rPr>
      <w:b/>
      <w:sz w:val="16"/>
      <w:szCs w:val="16"/>
    </w:rPr>
  </w:style>
  <w:style w:type="character" w:customStyle="1" w:styleId="ListLabel5">
    <w:name w:val="ListLabel 5"/>
    <w:qFormat/>
    <w:rPr>
      <w:b w:val="0"/>
      <w:strike w:val="0"/>
      <w:dstrike w:val="0"/>
      <w:color w:val="00000A"/>
      <w:sz w:val="16"/>
      <w:szCs w:val="16"/>
    </w:rPr>
  </w:style>
  <w:style w:type="character" w:customStyle="1" w:styleId="ListLabel6">
    <w:name w:val="ListLabel 6"/>
    <w:qFormat/>
    <w:rPr>
      <w:sz w:val="16"/>
      <w:szCs w:val="16"/>
    </w:rPr>
  </w:style>
  <w:style w:type="character" w:customStyle="1" w:styleId="ListLabel7">
    <w:name w:val="ListLabel 7"/>
    <w:qFormat/>
    <w:rPr>
      <w:b/>
      <w:sz w:val="16"/>
      <w:szCs w:val="16"/>
    </w:rPr>
  </w:style>
  <w:style w:type="character" w:customStyle="1" w:styleId="ListLabel8">
    <w:name w:val="ListLabel 8"/>
    <w:qFormat/>
    <w:rPr>
      <w:rFonts w:ascii="Times New Roman" w:hAnsi="Times New Roman"/>
      <w:b w:val="0"/>
      <w:strike w:val="0"/>
      <w:dstrike w:val="0"/>
      <w:sz w:val="16"/>
      <w:szCs w:val="16"/>
    </w:rPr>
  </w:style>
  <w:style w:type="character" w:customStyle="1" w:styleId="ListLabel9">
    <w:name w:val="ListLabel 9"/>
    <w:qFormat/>
    <w:rPr>
      <w:sz w:val="16"/>
      <w:szCs w:val="16"/>
    </w:rPr>
  </w:style>
  <w:style w:type="character" w:customStyle="1" w:styleId="ListLabel10">
    <w:name w:val="ListLabel 10"/>
    <w:qFormat/>
    <w:rPr>
      <w:b/>
      <w:sz w:val="16"/>
      <w:szCs w:val="16"/>
    </w:rPr>
  </w:style>
  <w:style w:type="character" w:customStyle="1" w:styleId="ListLabel11">
    <w:name w:val="ListLabel 11"/>
    <w:qFormat/>
    <w:rPr>
      <w:b w:val="0"/>
      <w:strike w:val="0"/>
      <w:dstrike w:val="0"/>
      <w:sz w:val="16"/>
      <w:szCs w:val="16"/>
    </w:rPr>
  </w:style>
  <w:style w:type="character" w:customStyle="1" w:styleId="ListLabel12">
    <w:name w:val="ListLabel 12"/>
    <w:qFormat/>
    <w:rPr>
      <w:sz w:val="16"/>
      <w:szCs w:val="16"/>
    </w:rPr>
  </w:style>
  <w:style w:type="character" w:customStyle="1" w:styleId="ListLabel13">
    <w:name w:val="ListLabel 13"/>
    <w:qFormat/>
    <w:rPr>
      <w:rFonts w:eastAsia="Times New Roman"/>
      <w:b/>
    </w:rPr>
  </w:style>
  <w:style w:type="character" w:customStyle="1" w:styleId="ListLabel14">
    <w:name w:val="ListLabel 14"/>
    <w:qFormat/>
    <w:rPr>
      <w:rFonts w:eastAsia="Times New Roman"/>
      <w:color w:val="00000A"/>
    </w:rPr>
  </w:style>
  <w:style w:type="character" w:customStyle="1" w:styleId="ListLabel15">
    <w:name w:val="ListLabel 15"/>
    <w:qFormat/>
    <w:rPr>
      <w:rFonts w:eastAsia="Times New Roman"/>
    </w:rPr>
  </w:style>
  <w:style w:type="character" w:customStyle="1" w:styleId="ListLabel16">
    <w:name w:val="ListLabel 16"/>
    <w:qFormat/>
    <w:rPr>
      <w:rFonts w:eastAsia="Times New Roman"/>
    </w:rPr>
  </w:style>
  <w:style w:type="character" w:customStyle="1" w:styleId="ListLabel17">
    <w:name w:val="ListLabel 17"/>
    <w:qFormat/>
    <w:rPr>
      <w:rFonts w:eastAsia="Times New Roman"/>
    </w:rPr>
  </w:style>
  <w:style w:type="character" w:customStyle="1" w:styleId="ListLabel18">
    <w:name w:val="ListLabel 18"/>
    <w:qFormat/>
    <w:rPr>
      <w:rFonts w:eastAsia="Times New Roman"/>
    </w:rPr>
  </w:style>
  <w:style w:type="character" w:customStyle="1" w:styleId="ListLabel19">
    <w:name w:val="ListLabel 19"/>
    <w:qFormat/>
    <w:rPr>
      <w:rFonts w:eastAsia="Times New Roman"/>
    </w:rPr>
  </w:style>
  <w:style w:type="character" w:customStyle="1" w:styleId="ListLabel20">
    <w:name w:val="ListLabel 20"/>
    <w:qFormat/>
    <w:rPr>
      <w:rFonts w:eastAsia="Times New Roman"/>
    </w:rPr>
  </w:style>
  <w:style w:type="character" w:customStyle="1" w:styleId="ListLabel21">
    <w:name w:val="ListLabel 21"/>
    <w:qFormat/>
    <w:rPr>
      <w:rFonts w:eastAsia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color w:val="00000A"/>
    </w:rPr>
  </w:style>
  <w:style w:type="character" w:customStyle="1" w:styleId="ListLabel32">
    <w:name w:val="ListLabel 32"/>
    <w:qFormat/>
    <w:rPr>
      <w:sz w:val="15"/>
      <w:szCs w:val="15"/>
    </w:rPr>
  </w:style>
  <w:style w:type="character" w:customStyle="1" w:styleId="ListLabel33">
    <w:name w:val="ListLabel 33"/>
    <w:qFormat/>
    <w:rPr>
      <w:sz w:val="15"/>
      <w:szCs w:val="15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ascii="Times New Roman" w:hAnsi="Times New Roman"/>
      <w:b/>
      <w:strike w:val="0"/>
      <w:dstrike w:val="0"/>
      <w:color w:val="00000A"/>
      <w:sz w:val="16"/>
    </w:rPr>
  </w:style>
  <w:style w:type="character" w:customStyle="1" w:styleId="ListLabel50">
    <w:name w:val="ListLabel 50"/>
    <w:qFormat/>
    <w:rPr>
      <w:b w:val="0"/>
      <w:strike w:val="0"/>
      <w:dstrike w:val="0"/>
      <w:color w:val="00000A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B621F"/>
    <w:pPr>
      <w:ind w:left="708"/>
    </w:pPr>
    <w:rPr>
      <w:szCs w:val="21"/>
    </w:rPr>
  </w:style>
  <w:style w:type="paragraph" w:customStyle="1" w:styleId="western">
    <w:name w:val="western"/>
    <w:basedOn w:val="Normal"/>
    <w:qFormat/>
    <w:rsid w:val="009B621F"/>
    <w:pPr>
      <w:widowControl/>
      <w:suppressAutoHyphens w:val="0"/>
      <w:spacing w:beforeAutospacing="1" w:after="142" w:line="288" w:lineRule="auto"/>
    </w:pPr>
    <w:rPr>
      <w:rFonts w:eastAsia="Times New Roman" w:cs="Liberation Serif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20CC"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0B1698"/>
    <w:pPr>
      <w:widowControl/>
      <w:suppressAutoHyphens w:val="0"/>
      <w:spacing w:beforeAutospacing="1" w:after="119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59"/>
    <w:rsid w:val="009B621F"/>
    <w:rPr>
      <w:szCs w:val="20"/>
      <w:lang w:val="lv-LV" w:eastAsia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Обычный"/>
    <w:rsid w:val="00111985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a2">
    <w:name w:val="Основной шрифт абзаца"/>
    <w:rsid w:val="0011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2675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dc:description/>
  <cp:lastModifiedBy>Linda</cp:lastModifiedBy>
  <cp:revision>17</cp:revision>
  <dcterms:created xsi:type="dcterms:W3CDTF">2016-07-14T12:31:00Z</dcterms:created>
  <dcterms:modified xsi:type="dcterms:W3CDTF">2018-07-19T13:54:00Z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