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8296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>UNIVERSIDAD NACIONAL AUTÓNOMA DE NICARAGUA, MANAGUA (UNAN - MANAGUA)</w:t>
      </w:r>
    </w:p>
    <w:p w14:paraId="504388F0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/>
        <w:jc w:val="center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>FACULTAD DE CIENCIAS BÁSICAS Y TECNOLOGÍA / DEPARTAMENTO DE COMPUTACIÓN</w:t>
      </w:r>
    </w:p>
    <w:p w14:paraId="49E92DDD" w14:textId="0D4EDB94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Ingeniería en Sistemas de Información | </w:t>
      </w:r>
      <w:r w:rsidR="005B0C00" w:rsidRPr="005B0C00">
        <w:rPr>
          <w:rFonts w:ascii="Times New Roman" w:hAnsi="Times New Roman" w:cs="Times New Roman"/>
          <w:sz w:val="20"/>
          <w:szCs w:val="20"/>
        </w:rPr>
        <w:t>Resguardo de la información (</w:t>
      </w:r>
      <w:r w:rsidR="005B0C00" w:rsidRPr="005B0C00">
        <w:rPr>
          <w:rFonts w:ascii="Times New Roman" w:hAnsi="Times New Roman" w:cs="Times New Roman"/>
          <w:sz w:val="20"/>
          <w:szCs w:val="20"/>
        </w:rPr>
        <w:t>Roberto</w:t>
      </w:r>
      <w:r w:rsidR="005B0C00" w:rsidRPr="005B0C00">
        <w:rPr>
          <w:rFonts w:ascii="Times New Roman" w:hAnsi="Times New Roman" w:cs="Times New Roman"/>
          <w:sz w:val="20"/>
          <w:szCs w:val="20"/>
        </w:rPr>
        <w:t xml:space="preserve"> </w:t>
      </w:r>
      <w:r w:rsidR="005B0C00" w:rsidRPr="005B0C00">
        <w:rPr>
          <w:rFonts w:ascii="Times New Roman" w:hAnsi="Times New Roman" w:cs="Times New Roman"/>
          <w:sz w:val="20"/>
          <w:szCs w:val="20"/>
        </w:rPr>
        <w:t>Solís</w:t>
      </w:r>
      <w:r w:rsidR="005B0C00" w:rsidRPr="005B0C00">
        <w:rPr>
          <w:rFonts w:ascii="Times New Roman" w:hAnsi="Times New Roman" w:cs="Times New Roman"/>
          <w:sz w:val="20"/>
          <w:szCs w:val="20"/>
        </w:rPr>
        <w:t>)</w:t>
      </w:r>
    </w:p>
    <w:p w14:paraId="6FDD8A26" w14:textId="2109CB64" w:rsidR="005B0C00" w:rsidRPr="005B0C00" w:rsidRDefault="00000000" w:rsidP="005B0C00">
      <w:pPr>
        <w:spacing w:after="160" w:line="259" w:lineRule="auto"/>
        <w:ind w:left="360"/>
        <w:jc w:val="center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>Integrantes:</w:t>
      </w:r>
    </w:p>
    <w:p w14:paraId="318FD359" w14:textId="674226F6" w:rsidR="005B0C00" w:rsidRPr="005B0C00" w:rsidRDefault="005B0C00" w:rsidP="005B0C00">
      <w:pPr>
        <w:spacing w:after="160" w:line="259" w:lineRule="auto"/>
        <w:ind w:left="36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0C00">
        <w:rPr>
          <w:rFonts w:ascii="Times New Roman" w:hAnsi="Times New Roman" w:cs="Times New Roman"/>
          <w:color w:val="000000" w:themeColor="text1"/>
          <w:sz w:val="20"/>
          <w:szCs w:val="20"/>
        </w:rPr>
        <w:t>Alberto Sebastián López Cruz. (25401775)</w:t>
      </w:r>
    </w:p>
    <w:p w14:paraId="75ABBBAB" w14:textId="77777777" w:rsidR="005B0C00" w:rsidRPr="005B0C00" w:rsidRDefault="005B0C00" w:rsidP="005B0C00">
      <w:pPr>
        <w:spacing w:after="160" w:line="259" w:lineRule="auto"/>
        <w:ind w:left="36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0C00">
        <w:rPr>
          <w:rFonts w:ascii="Times New Roman" w:hAnsi="Times New Roman" w:cs="Times New Roman"/>
          <w:color w:val="000000" w:themeColor="text1"/>
          <w:sz w:val="20"/>
          <w:szCs w:val="20"/>
        </w:rPr>
        <w:t>Cesar David Bermúdez Campos. (25418891)</w:t>
      </w:r>
    </w:p>
    <w:p w14:paraId="584B941E" w14:textId="77777777" w:rsidR="005B0C00" w:rsidRPr="005B0C00" w:rsidRDefault="005B0C00" w:rsidP="005B0C00">
      <w:pPr>
        <w:spacing w:after="160" w:line="259" w:lineRule="auto"/>
        <w:ind w:left="36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0C00">
        <w:rPr>
          <w:rFonts w:ascii="Times New Roman" w:hAnsi="Times New Roman" w:cs="Times New Roman"/>
          <w:color w:val="000000" w:themeColor="text1"/>
          <w:sz w:val="20"/>
          <w:szCs w:val="20"/>
        </w:rPr>
        <w:t>José Ángel Borja Medrano. (25401247)</w:t>
      </w:r>
    </w:p>
    <w:p w14:paraId="667E2C9F" w14:textId="77777777" w:rsidR="005B0C00" w:rsidRPr="005B0C00" w:rsidRDefault="005B0C00" w:rsidP="005B0C00">
      <w:pPr>
        <w:spacing w:after="160" w:line="259" w:lineRule="auto"/>
        <w:ind w:left="36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0C00">
        <w:rPr>
          <w:rFonts w:ascii="Times New Roman" w:hAnsi="Times New Roman" w:cs="Times New Roman"/>
          <w:color w:val="000000" w:themeColor="text1"/>
          <w:sz w:val="20"/>
          <w:szCs w:val="20"/>
        </w:rPr>
        <w:t>Javier de Jesús Salinas Arteaga. (25403425)</w:t>
      </w:r>
    </w:p>
    <w:p w14:paraId="1191467D" w14:textId="1182B4EB" w:rsidR="000C4CEB" w:rsidRPr="005B0C00" w:rsidRDefault="000C4CEB">
      <w:pPr>
        <w:pBdr>
          <w:top w:val="nil"/>
          <w:left w:val="nil"/>
          <w:bottom w:val="nil"/>
          <w:right w:val="nil"/>
          <w:between w:val="nil"/>
        </w:pBdr>
        <w:spacing w:after="210"/>
        <w:jc w:val="center"/>
        <w:rPr>
          <w:rFonts w:ascii="Times New Roman" w:hAnsi="Times New Roman" w:cs="Times New Roman"/>
          <w:sz w:val="20"/>
          <w:szCs w:val="20"/>
        </w:rPr>
      </w:pPr>
    </w:p>
    <w:p w14:paraId="0D49DCAA" w14:textId="77777777" w:rsidR="000C4CEB" w:rsidRPr="005B0C00" w:rsidRDefault="00000000">
      <w:pPr>
        <w:pStyle w:val="Ttulo2"/>
        <w:spacing w:before="0" w:after="180"/>
        <w:jc w:val="center"/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</w:pPr>
      <w:r w:rsidRPr="005B0C00"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  <w:t xml:space="preserve">Resguardo de la Información en la Nube y su Aplicación en Ecosistemas Educativos: Caso </w:t>
      </w:r>
      <w:proofErr w:type="spellStart"/>
      <w:r w:rsidRPr="005B0C00"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  <w:t>PlayKids</w:t>
      </w:r>
      <w:proofErr w:type="spellEnd"/>
    </w:p>
    <w:p w14:paraId="65A32286" w14:textId="77777777" w:rsidR="000C4CEB" w:rsidRPr="005B0C00" w:rsidRDefault="00000000">
      <w:pPr>
        <w:pStyle w:val="Ttulo3"/>
        <w:spacing w:before="0" w:after="60"/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</w:pPr>
      <w:r w:rsidRPr="005B0C00"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  <w:t>1. Introducción</w:t>
      </w:r>
    </w:p>
    <w:p w14:paraId="3E70546F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>La computación en la nube ha transformado el almacenamiento y procesamiento digital al permitir el acceso a recursos remotos mediante Internet en sustitución de soportes locales físicos, aportando alta disponibilidad, elasticidad y reducción de costos operativos. No obstante, este cambio tecnológico ha expandido sensiblemente la superficie de ataque frente a ciberdelincuentes. La seguridad de la información —fundamentada en la confidencialidad, integridad y disponibilidad— no constituye un producto cerrado o estático, sino un proceso de gestión continua y adaptativa frente a amenazas cambiantes.</w:t>
      </w:r>
    </w:p>
    <w:p w14:paraId="7663F36C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180" w:line="275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Este reto es especialmente crítico en entornos educativos orientados a la niñez, como el proyecto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PlayKids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de la carrera de Ingeniería en Sistemas de Información (UNAN-Managua). Concebida como una aplicación lúdica para el aprendizaje de inglés alineada al ODS 4 y al Plan Nacional de Lucha contra la Pobreza, su arquitectura inicial en C# y base de datos relacional local (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PlayKidsDB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en SQL Server) presentó brechas graves: contraseñas en texto plano, credenciales expuestas en el archivo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ConexionDB.cs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y ausencia total de copias de seguridad. La transición de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PlayKids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hacia plataformas en la nube requiere comprender el principio de responsabilidad compartida y acatar de forma estricta el marco normativo de Nicaragua, integrado por la Ley 1040 (Ley Especial de Ciberdelitos) y la Ley 891 (Ley de Protección de Datos Personales).</w:t>
      </w:r>
    </w:p>
    <w:p w14:paraId="737E72EA" w14:textId="77777777" w:rsidR="000C4CEB" w:rsidRPr="005B0C00" w:rsidRDefault="00000000">
      <w:pPr>
        <w:pStyle w:val="Ttulo3"/>
        <w:spacing w:before="0" w:after="60"/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</w:pPr>
      <w:r w:rsidRPr="005B0C00"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  <w:t>2. Desarrollo</w:t>
      </w:r>
    </w:p>
    <w:p w14:paraId="550B5E70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El Modelo de Responsabilidad Compartida es el eje de la seguridad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cloud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: mientras el proveedor (AWS, Azure o Google Cloud) asegura la infraestructura física, virtualización y centros de datos, el cliente retiene la obligación indelegable de proteger sus datos, identidades y configuraciones lógicas. Según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Safetica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, el 82% de las brechas registradas en 2023 comprometieron datos en la nube, mientras que Gartner proyecta que el 99% de las fallas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cloud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hasta 2025 derivan de fallos humanos de configuración del cliente (permisos excesivos, ausencia de cifrado y falta de segmentación de redes).</w:t>
      </w:r>
    </w:p>
    <w:p w14:paraId="3032CA07" w14:textId="77777777" w:rsidR="000C4C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Asimismo,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Plain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Concepts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destaca que el 61% de las intrusiones involucran credenciales comprometidas, facilitando ataques como el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ransomware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con extorsión doble. Frente a ello, la industria establece pilares ineludibles: Autenticación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Multifactor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(MFA), capaz de frenar más del 99.9% de intrusiones basadas en identidad (Microsoft); Cifrado Integral mediante algoritmos robustos AES de 256 bits en reposo y TLS 1.3 en tránsito (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Ilimit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>); Control de Acceso Basado en Roles (RBAC) bajo el principio de menor privilegio; y Monitoreo Continuo de logs con alertas tempranas.</w:t>
      </w:r>
    </w:p>
    <w:p w14:paraId="363EEF7C" w14:textId="77777777" w:rsidR="005B0C00" w:rsidRPr="005B0C00" w:rsidRDefault="005B0C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6"/>
        <w:gridCol w:w="3088"/>
        <w:gridCol w:w="3276"/>
      </w:tblGrid>
      <w:tr w:rsidR="000C4CEB" w:rsidRPr="005B0C00" w14:paraId="0261F81E" w14:textId="77777777">
        <w:trPr>
          <w:tblHeader/>
        </w:trPr>
        <w:tc>
          <w:tcPr>
            <w:tcW w:w="2995" w:type="dxa"/>
            <w:shd w:val="clear" w:color="auto" w:fill="F0F4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7D3221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Hallazgo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PlayKids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(BOA / 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CheckList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3088" w:type="dxa"/>
            <w:shd w:val="clear" w:color="auto" w:fill="F0F4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F8EFB0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Riesgo y Marco Jurídico Nacional</w:t>
            </w:r>
          </w:p>
        </w:tc>
        <w:tc>
          <w:tcPr>
            <w:tcW w:w="3276" w:type="dxa"/>
            <w:shd w:val="clear" w:color="auto" w:fill="F0F4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FE24B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Mitigación Técnica en la Nube</w:t>
            </w:r>
          </w:p>
          <w:p w14:paraId="6969294A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C4CEB" w:rsidRPr="005B0C00" w14:paraId="40A57C63" w14:textId="77777777">
        <w:tc>
          <w:tcPr>
            <w:tcW w:w="299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785086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Contraseñas de usuarios en texto plano en la tabla Usuarios (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PlayKidsDB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3088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5CBF2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Fuga masiva de perfiles de menores; violación de la Ley 891 y Ley 1040 (Art. 38).</w:t>
            </w:r>
          </w:p>
        </w:tc>
        <w:tc>
          <w:tcPr>
            <w:tcW w:w="3276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5DD448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Hashing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 xml:space="preserve"> con algoritmo seguro (Argon2/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 xml:space="preserve">) y gestión centralizada en Azure Key 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Vault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C4CEB" w:rsidRPr="005B0C00" w14:paraId="63E06E20" w14:textId="77777777">
        <w:tc>
          <w:tcPr>
            <w:tcW w:w="299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1BE94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 xml:space="preserve">Cadena de conexión a SQL Server expuesta en 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ConexionDB.cs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088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8FABA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Ingeniería inversa al software en C# y alteración de tablas (Art. 6, Ley 1040).</w:t>
            </w:r>
          </w:p>
        </w:tc>
        <w:tc>
          <w:tcPr>
            <w:tcW w:w="3276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576591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Migración a API REST autenticada mediante tokens JWT; aislamiento del motor de base de datos.</w:t>
            </w:r>
          </w:p>
        </w:tc>
      </w:tr>
      <w:tr w:rsidR="000C4CEB" w:rsidRPr="005B0C00" w14:paraId="35F153B6" w14:textId="77777777">
        <w:tc>
          <w:tcPr>
            <w:tcW w:w="2995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EDBB89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Sin copias de seguridad (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Backups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) ni parches automáticos en equipos locales.</w:t>
            </w:r>
          </w:p>
        </w:tc>
        <w:tc>
          <w:tcPr>
            <w:tcW w:w="3088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403E8D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5B0C00">
              <w:rPr>
                <w:rFonts w:ascii="Times New Roman" w:hAnsi="Times New Roman" w:cs="Times New Roman"/>
                <w:sz w:val="20"/>
                <w:szCs w:val="20"/>
              </w:rPr>
              <w:t xml:space="preserve">Pérdida irreversible de datos educativos por fallo de disco o </w:t>
            </w: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ransomware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76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AC8183" w14:textId="77777777" w:rsidR="000C4CEB" w:rsidRPr="005B0C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>Backups</w:t>
            </w:r>
            <w:proofErr w:type="spellEnd"/>
            <w:r w:rsidRPr="005B0C00">
              <w:rPr>
                <w:rFonts w:ascii="Times New Roman" w:hAnsi="Times New Roman" w:cs="Times New Roman"/>
                <w:sz w:val="20"/>
                <w:szCs w:val="20"/>
              </w:rPr>
              <w:t xml:space="preserve"> programados georredundantes y distribución continua de parches desde la nube.</w:t>
            </w:r>
          </w:p>
        </w:tc>
      </w:tr>
    </w:tbl>
    <w:p w14:paraId="06252DC9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0" w:line="275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La elección del modelo de despliegue define la postura defensiva: la nube pública ofrece escalabilidad económica para la entrega de lecciones interactivas, pero exige una configuración rigurosa; la nube privada brinda mayor soberanía y control de cumplimiento a mayor costo; y la nube híbrida permite distribuir recursos, reteniendo los datos personales sensibles de los alumnos en repositorios protegidos mientras aprovecha la nube pública para la descarga de contenido multimedia. En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PlayKids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>, la seguridad en la nube no es solo una optimización técnica, sino una garantía indispensable para evitar negligencia legal en la tutela de datos de menores de edad.</w:t>
      </w:r>
    </w:p>
    <w:p w14:paraId="5B5A2221" w14:textId="77777777" w:rsidR="000C4CEB" w:rsidRPr="005B0C00" w:rsidRDefault="00000000">
      <w:pPr>
        <w:pStyle w:val="Ttulo3"/>
        <w:spacing w:before="0" w:after="60"/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</w:pPr>
      <w:r w:rsidRPr="005B0C00"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  <w:t>3. Conclusiones</w:t>
      </w:r>
    </w:p>
    <w:p w14:paraId="2BDC28FA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>El resguardo de la información en la nube es un proceso activo y estructurado que exige rigor técnico y gobernanza permanente. Los incidentes de seguridad son prevenibles cuando se supera la falsa creencia de que el proveedor asume la protección total. La implementación disciplinada de MFA, cifrado fuerte (AES-256 / TLS 1.3), políticas de privilegio mínimo y monitoreo constante neutraliza la gran mayoría de los vectores de ataque contemporáneos.</w:t>
      </w:r>
    </w:p>
    <w:p w14:paraId="381CC242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Para el proyecto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PlayKids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>, migrar hacia la nube representa la solución definitiva a las vulnerabilidades identificadas en su etapa de prototipo de escritorio. Al blindar las identidades con almacenamiento seguro de credenciales, establecer copias de seguridad automatizadas y aislar el acceso a la base de datos, el equipo desarrollador cumple rigurosamente con las Leyes 1040 y 891 de Nicaragua, garantizando un entorno confiable, resiliente y de alto impacto educativo para los niños y docentes beneficiarios.</w:t>
      </w:r>
    </w:p>
    <w:p w14:paraId="425523BC" w14:textId="77777777" w:rsidR="000C4CEB" w:rsidRPr="005B0C00" w:rsidRDefault="00000000">
      <w:pPr>
        <w:pStyle w:val="Ttulo3"/>
        <w:spacing w:before="0" w:after="30"/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</w:pPr>
      <w:r w:rsidRPr="005B0C00">
        <w:rPr>
          <w:rFonts w:ascii="Times New Roman" w:hAnsi="Times New Roman" w:cs="Times New Roman"/>
          <w:b w:val="0"/>
          <w:bCs w:val="0"/>
          <w:color w:val="1A365D"/>
          <w:sz w:val="20"/>
          <w:szCs w:val="20"/>
        </w:rPr>
        <w:t>Referencias Bibliográficas</w:t>
      </w:r>
    </w:p>
    <w:p w14:paraId="5748C141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 w:line="264" w:lineRule="auto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• Asamblea Nacional de Nicaragua. (2015). Ley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N°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891, Ley de Protección de Datos Personales. La Gaceta.</w:t>
      </w:r>
    </w:p>
    <w:p w14:paraId="1D2AD247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 w:line="264" w:lineRule="auto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• Asamblea Nacional de Nicaragua. (2020). Ley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N°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1040, Ley Especial de Ciberdelitos. La Gaceta.</w:t>
      </w:r>
    </w:p>
    <w:p w14:paraId="0ED1A458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 w:line="264" w:lineRule="auto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Ilimit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>. (2025). 5 consejos para implementar seguridad en la nube.</w:t>
      </w:r>
    </w:p>
    <w:p w14:paraId="1B9A8070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 w:line="264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B0C00">
        <w:rPr>
          <w:rFonts w:ascii="Times New Roman" w:hAnsi="Times New Roman" w:cs="Times New Roman"/>
          <w:sz w:val="20"/>
          <w:szCs w:val="20"/>
          <w:lang w:val="en-US"/>
        </w:rPr>
        <w:t>• Microsoft. (2023). 11 best practices for securing data in cloud services.</w:t>
      </w:r>
    </w:p>
    <w:p w14:paraId="113E1292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 w:line="264" w:lineRule="auto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Plain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Concepts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>. (2024). 10 consejos para mantener tus datos seguros en la nube.</w:t>
      </w:r>
    </w:p>
    <w:p w14:paraId="155B2244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 w:line="264" w:lineRule="auto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Safetica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>. (2024). Seguridad de datos en la nube: definiciones, riesgos y mejores prácticas.</w:t>
      </w:r>
    </w:p>
    <w:p w14:paraId="643E3928" w14:textId="77777777" w:rsidR="000C4CEB" w:rsidRPr="005B0C00" w:rsidRDefault="00000000">
      <w:pPr>
        <w:pBdr>
          <w:top w:val="nil"/>
          <w:left w:val="nil"/>
          <w:bottom w:val="nil"/>
          <w:right w:val="nil"/>
          <w:between w:val="nil"/>
        </w:pBdr>
        <w:spacing w:after="30" w:line="264" w:lineRule="auto"/>
        <w:rPr>
          <w:rFonts w:ascii="Times New Roman" w:hAnsi="Times New Roman" w:cs="Times New Roman"/>
          <w:sz w:val="20"/>
          <w:szCs w:val="20"/>
        </w:rPr>
      </w:pPr>
      <w:r w:rsidRPr="005B0C00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5B0C00">
        <w:rPr>
          <w:rFonts w:ascii="Times New Roman" w:hAnsi="Times New Roman" w:cs="Times New Roman"/>
          <w:sz w:val="20"/>
          <w:szCs w:val="20"/>
        </w:rPr>
        <w:t>Whitestack</w:t>
      </w:r>
      <w:proofErr w:type="spellEnd"/>
      <w:r w:rsidRPr="005B0C00">
        <w:rPr>
          <w:rFonts w:ascii="Times New Roman" w:hAnsi="Times New Roman" w:cs="Times New Roman"/>
          <w:sz w:val="20"/>
          <w:szCs w:val="20"/>
        </w:rPr>
        <w:t>. (2024). 10 consejos de seguridad de la nube privada.</w:t>
      </w:r>
    </w:p>
    <w:sectPr w:rsidR="000C4CEB" w:rsidRPr="005B0C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E27AB3-F9D0-4009-AA95-298A5F022C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76C324-6C30-4A3D-AC16-6B2CE3EDF9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3F31D95-80CE-4E49-AB68-7E0E728515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60FE2"/>
    <w:multiLevelType w:val="hybridMultilevel"/>
    <w:tmpl w:val="2012BF52"/>
    <w:lvl w:ilvl="0" w:tplc="615CA3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C000"/>
        <w:sz w:val="40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1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CEB"/>
    <w:rsid w:val="000C4CEB"/>
    <w:rsid w:val="0015182D"/>
    <w:rsid w:val="005B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64E9"/>
  <w15:docId w15:val="{31883FE9-74CE-4471-BEE5-2A5022273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5B0C00"/>
    <w:pPr>
      <w:widowControl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954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SALINAS</cp:lastModifiedBy>
  <cp:revision>2</cp:revision>
  <dcterms:created xsi:type="dcterms:W3CDTF">2026-09-10T02:44:00Z</dcterms:created>
  <dcterms:modified xsi:type="dcterms:W3CDTF">2026-09-10T02:49:00Z</dcterms:modified>
</cp:coreProperties>
</file>