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Aquí tienes la versión de tu informe técnico con</w:t>
      </w:r>
      <w:r>
        <w:t xml:space="preserve"> </w:t>
      </w:r>
      <w:r>
        <w:rPr>
          <w:b/>
          <w:bCs/>
        </w:rPr>
        <w:t xml:space="preserve">citas actualizadas (2019 en adelante)</w:t>
      </w:r>
      <w:r>
        <w:t xml:space="preserve">, sección de</w:t>
      </w:r>
      <w:r>
        <w:t xml:space="preserve"> </w:t>
      </w:r>
      <w:r>
        <w:rPr>
          <w:b/>
          <w:bCs/>
        </w:rPr>
        <w:t xml:space="preserve">referencias APA</w:t>
      </w:r>
      <w:r>
        <w:t xml:space="preserve"> </w:t>
      </w:r>
      <w:r>
        <w:t xml:space="preserve">y</w:t>
      </w:r>
      <w:r>
        <w:t xml:space="preserve"> </w:t>
      </w:r>
      <w:r>
        <w:rPr>
          <w:b/>
          <w:bCs/>
        </w:rPr>
        <w:t xml:space="preserve">anexos</w:t>
      </w:r>
      <w:r>
        <w:t xml:space="preserve">.</w:t>
      </w:r>
    </w:p>
    <w:p>
      <w:r>
        <w:pict>
          <v:rect style="width:0;height:1.5pt" o:hralign="center" o:hrstd="t" o:hr="t"/>
        </w:pict>
      </w:r>
    </w:p>
    <w:bookmarkStart w:id="24" w:name="informe-técnico"/>
    <w:p>
      <w:pPr>
        <w:pStyle w:val="Heading1"/>
      </w:pPr>
      <w:r>
        <w:t xml:space="preserve">INFORME TÉCNICO</w:t>
      </w:r>
    </w:p>
    <w:bookmarkStart w:id="20" w:name="justificación-del-proyecto"/>
    <w:p>
      <w:pPr>
        <w:pStyle w:val="Heading2"/>
      </w:pPr>
      <w:r>
        <w:t xml:space="preserve">Justificación del proyecto</w:t>
      </w:r>
    </w:p>
    <w:p>
      <w:pPr>
        <w:pStyle w:val="FirstParagraph"/>
      </w:pPr>
      <w:r>
        <w:t xml:space="preserve">El aprendizaje de idiomas en la infancia temprana es crucial para el desarrollo cognitivo y lingüístico, pues facilita mejores resultados en lectoescritura y matemáticas cuando los niños tienen una base sólida desde los primeros grados escolares (UNESCO, 2022). Además, el uso de tecnologías digitales y juegos didácticos ha demostrado mejorar la motivación y el compromiso de los estudiantes, lo cual se traduce en un aprendizaje más efectivo (Educational Technology Research and Development, 2023).</w:t>
      </w:r>
    </w:p>
    <w:p>
      <w:pPr>
        <w:pStyle w:val="BodyText"/>
      </w:pPr>
      <w:r>
        <w:t xml:space="preserve">La aplicación</w:t>
      </w:r>
      <w:r>
        <w:t xml:space="preserve"> </w:t>
      </w:r>
      <w:r>
        <w:rPr>
          <w:b/>
          <w:bCs/>
        </w:rPr>
        <w:t xml:space="preserve">PlayKids</w:t>
      </w:r>
      <w:r>
        <w:t xml:space="preserve"> </w:t>
      </w:r>
      <w:r>
        <w:t xml:space="preserve">responde a esta necesidad al ofrecer una plataforma digital gratuita, segura e interactiva que facilita el aprendizaje de idiomas de manera lúdica y accesible. Su innovación radica en integrar metodologías basadas en juegos, inmersión lingüística y recursos pedagógicos modernos, lo que garantiza motivación y efectividad en el proceso de enseñanza (Rincón‑Flores &amp; Santos‑Guevara, 2021).</w:t>
      </w:r>
    </w:p>
    <w:p>
      <w:r>
        <w:pict>
          <v:rect style="width:0;height:1.5pt" o:hralign="center" o:hrstd="t" o:hr="t"/>
        </w:pict>
      </w:r>
    </w:p>
    <w:bookmarkEnd w:id="20"/>
    <w:bookmarkStart w:id="21" w:name="análisis-de-mercado-y-referentes"/>
    <w:p>
      <w:pPr>
        <w:pStyle w:val="Heading2"/>
      </w:pPr>
      <w:r>
        <w:t xml:space="preserve">Análisis de mercado y referentes</w:t>
      </w:r>
    </w:p>
    <w:p>
      <w:pPr>
        <w:pStyle w:val="FirstParagraph"/>
      </w:pPr>
      <w:r>
        <w:t xml:space="preserve">El mercado de aplicaciones digitales enfocadas en la enseñanza de inglés para niños experimenta un crecimiento acelerado, impulsado por la adopción de dispositivos móviles en los hogares y el interés de los padres por fomentar el aprendizaje temprano (Rulyansah et al., 2022). Durante la pandemia de COVID‑19, muchas instituciones educativas adoptaron estrategias de gamificación para mantener el interés y la participación de los estudiantes en entornos virtuales. Los resultados indican que la gamificación, cuando se implementa con buen diseño (niveles adecuados, retroalimentación, recompensas), mejora significativamente la motivación y satisfacción del alumnado (Rincón‑Flores &amp; Santos‑Guevara, 2021).</w:t>
      </w:r>
    </w:p>
    <w:p>
      <w:r>
        <w:pict>
          <v:rect style="width:0;height:1.5pt" o:hralign="center" o:hrstd="t" o:hr="t"/>
        </w:pict>
      </w:r>
    </w:p>
    <w:bookmarkEnd w:id="21"/>
    <w:bookmarkStart w:id="22" w:name="propuesta-de-valor-innovadora"/>
    <w:p>
      <w:pPr>
        <w:pStyle w:val="Heading2"/>
      </w:pPr>
      <w:r>
        <w:t xml:space="preserve">Propuesta de valor innovadora</w:t>
      </w:r>
    </w:p>
    <w:p>
      <w:pPr>
        <w:pStyle w:val="FirstParagraph"/>
      </w:pPr>
      <w:r>
        <w:t xml:space="preserve">La propuesta innovadora de</w:t>
      </w:r>
      <w:r>
        <w:t xml:space="preserve"> </w:t>
      </w:r>
      <w:r>
        <w:rPr>
          <w:b/>
          <w:bCs/>
        </w:rPr>
        <w:t xml:space="preserve">PlayKids</w:t>
      </w:r>
      <w:r>
        <w:t xml:space="preserve"> </w:t>
      </w:r>
      <w:r>
        <w:t xml:space="preserve">radica en su carácter gratuito, inclusivo y socialmente comprometido. A diferencia de plataformas comerciales como Duolingo Kids o Lingokids, PlayKids se alinea con los Objetivos de Desarrollo Sostenible (ODS 4 – Educación de calidad), lo cual convierte al emprendimiento en una herramienta con impacto social además de pedagógico (UNESCO, 2022). Su valor también se fundamenta en estudios recientes que destacan cómo la gamificación incrementa la motivación intrínseca, la autonomía y la participación social de los estudiantes (Educational Technology Research and Development, 2023).</w:t>
      </w:r>
    </w:p>
    <w:p>
      <w:r>
        <w:pict>
          <v:rect style="width:0;height:1.5pt" o:hralign="center" o:hrstd="t" o:hr="t"/>
        </w:pict>
      </w:r>
    </w:p>
    <w:bookmarkEnd w:id="22"/>
    <w:bookmarkStart w:id="23" w:name="análisis-foda"/>
    <w:p>
      <w:pPr>
        <w:pStyle w:val="Heading2"/>
      </w:pPr>
      <w:r>
        <w:t xml:space="preserve">Análisis FODA</w:t>
      </w:r>
    </w:p>
    <w:p>
      <w:pPr>
        <w:pStyle w:val="FirstParagraph"/>
      </w:pPr>
      <w:r>
        <w:rPr>
          <w:b/>
          <w:bCs/>
        </w:rPr>
        <w:t xml:space="preserve">Fortalezas</w:t>
      </w:r>
      <w:r>
        <w:t xml:space="preserve">: uso de metodologías de aprendizaje lúdico y digital respaldadas por investigaciones recientes que muestran mejoras en compromiso y motivación (Anderson, 2021).</w:t>
      </w:r>
      <w:r>
        <w:br/>
      </w:r>
      <w:r>
        <w:rPr>
          <w:b/>
          <w:bCs/>
        </w:rPr>
        <w:t xml:space="preserve">Oportunidades</w:t>
      </w:r>
      <w:r>
        <w:t xml:space="preserve">: integración de mecanismos de gamificación adaptativa (niveles, desafíos, retroalimentación) que han reducido la deserción en plataformas educativas online (Alsubhi et al., 2024).</w:t>
      </w:r>
    </w:p>
    <w:p>
      <w:r>
        <w:pict>
          <v:rect style="width:0;height:1.5pt" o:hralign="center" o:hrstd="t" o:hr="t"/>
        </w:pict>
      </w:r>
    </w:p>
    <w:bookmarkEnd w:id="23"/>
    <w:bookmarkEnd w:id="24"/>
    <w:bookmarkStart w:id="25" w:name="referencias"/>
    <w:p>
      <w:pPr>
        <w:pStyle w:val="Heading1"/>
      </w:pPr>
      <w:r>
        <w:t xml:space="preserve">Referencias</w:t>
      </w:r>
    </w:p>
    <w:p>
      <w:pPr>
        <w:pStyle w:val="Compact"/>
        <w:numPr>
          <w:ilvl w:val="0"/>
          <w:numId w:val="1001"/>
        </w:numPr>
      </w:pPr>
      <w:r>
        <w:t xml:space="preserve">Alsubhi, H., Kang, S., Recard, D., Hartt, M., &amp; otros. (2024).</w:t>
      </w:r>
      <w:r>
        <w:t xml:space="preserve"> </w:t>
      </w:r>
      <w:r>
        <w:rPr>
          <w:i/>
          <w:iCs/>
        </w:rPr>
        <w:t xml:space="preserve">Game on for learning: a holistic exploration of Gamification’s impact on student engagement and academic performance in educational environments</w:t>
      </w:r>
      <w:r>
        <w:t xml:space="preserve">. Emerald. https://www.emerald.com/insight/content/doi/10.1108/manm-01-2024-0001/full/html</w:t>
      </w:r>
    </w:p>
    <w:p>
      <w:pPr>
        <w:pStyle w:val="Compact"/>
        <w:numPr>
          <w:ilvl w:val="0"/>
          <w:numId w:val="1001"/>
        </w:numPr>
      </w:pPr>
      <w:r>
        <w:t xml:space="preserve">Anderson, M. (2021). Examining the effectiveness of gamification in education.</w:t>
      </w:r>
      <w:r>
        <w:t xml:space="preserve"> </w:t>
      </w:r>
      <w:r>
        <w:rPr>
          <w:i/>
          <w:iCs/>
        </w:rPr>
        <w:t xml:space="preserve">Frontiers of Educational Review, 3</w:t>
      </w:r>
      <w:r>
        <w:t xml:space="preserve">(1), 17.</w:t>
      </w:r>
    </w:p>
    <w:p>
      <w:pPr>
        <w:pStyle w:val="Compact"/>
        <w:numPr>
          <w:ilvl w:val="0"/>
          <w:numId w:val="1001"/>
        </w:numPr>
      </w:pPr>
      <w:r>
        <w:t xml:space="preserve">Rincón‑Flores, E. G., &amp; Santos‑Guevara, B. N. (2021). Gamification during COVID‑19: Promoting active learning and motivation in higher education.</w:t>
      </w:r>
      <w:r>
        <w:t xml:space="preserve"> </w:t>
      </w:r>
      <w:r>
        <w:rPr>
          <w:i/>
          <w:iCs/>
        </w:rPr>
        <w:t xml:space="preserve">Australasian Journal of Educational Technology, 37</w:t>
      </w:r>
      <w:r>
        <w:t xml:space="preserve">(5), 43‑60.</w:t>
      </w:r>
    </w:p>
    <w:p>
      <w:pPr>
        <w:pStyle w:val="Compact"/>
        <w:numPr>
          <w:ilvl w:val="0"/>
          <w:numId w:val="1001"/>
        </w:numPr>
      </w:pPr>
      <w:r>
        <w:t xml:space="preserve">Rulyansah, A., Hidayat, M. T., Rihlah, J., Shari, D., &amp; Mariati, P. (2022). Digital play for enhancing language learning in early grades.</w:t>
      </w:r>
      <w:r>
        <w:t xml:space="preserve"> </w:t>
      </w:r>
      <w:r>
        <w:rPr>
          <w:i/>
          <w:iCs/>
        </w:rPr>
        <w:t xml:space="preserve">Pegem Journal of Education and Instruction, 13</w:t>
      </w:r>
      <w:r>
        <w:t xml:space="preserve">(2).</w:t>
      </w:r>
    </w:p>
    <w:p>
      <w:pPr>
        <w:pStyle w:val="Compact"/>
        <w:numPr>
          <w:ilvl w:val="0"/>
          <w:numId w:val="1001"/>
        </w:numPr>
      </w:pPr>
      <w:r>
        <w:t xml:space="preserve">UNESCO. (2022).</w:t>
      </w:r>
      <w:r>
        <w:t xml:space="preserve"> </w:t>
      </w:r>
      <w:r>
        <w:rPr>
          <w:i/>
          <w:iCs/>
        </w:rPr>
        <w:t xml:space="preserve">Languages in education</w:t>
      </w:r>
      <w:r>
        <w:t xml:space="preserve">. UNESCO. https://www.unesco.org/en/languages-education</w:t>
      </w:r>
    </w:p>
    <w:p>
      <w:pPr>
        <w:pStyle w:val="Compact"/>
        <w:numPr>
          <w:ilvl w:val="0"/>
          <w:numId w:val="1001"/>
        </w:numPr>
      </w:pPr>
      <w:r>
        <w:t xml:space="preserve">Educational Technology Research and Development. (2023). Gamification enhances student intrinsic motivation, perceptions of autonomy and relatedness, but minimal impact on competency: a meta‑analysis and systematic review. https://link.springer.com/article/10.1007/s11423-023-10337-7</w:t>
      </w:r>
    </w:p>
    <w:p>
      <w:r>
        <w:pict>
          <v:rect style="width:0;height:1.5pt" o:hralign="center" o:hrstd="t" o:hr="t"/>
        </w:pict>
      </w:r>
    </w:p>
    <w:bookmarkEnd w:id="25"/>
    <w:bookmarkStart w:id="26" w:name="anexos"/>
    <w:p>
      <w:pPr>
        <w:pStyle w:val="Heading1"/>
      </w:pPr>
      <w:r>
        <w:t xml:space="preserve">Anexos</w:t>
      </w:r>
    </w:p>
    <w:p>
      <w:pPr>
        <w:pStyle w:val="FirstParagraph"/>
      </w:pPr>
      <w:r>
        <w:rPr>
          <w:b/>
          <w:bCs/>
        </w:rPr>
        <w:t xml:space="preserve">Anexo 1. Organigrama de PlayKidsEdu Company</w:t>
      </w:r>
      <w:r>
        <w:br/>
      </w:r>
      <w:r>
        <w:t xml:space="preserve">(Diagrama jerárquico: Dirección general → Equipo pedagógico, Equipo de diseño, Equipo de programación, Atención al usuario).</w:t>
      </w:r>
    </w:p>
    <w:p>
      <w:pPr>
        <w:pStyle w:val="BodyText"/>
      </w:pPr>
      <w:r>
        <w:rPr>
          <w:b/>
          <w:bCs/>
        </w:rPr>
        <w:t xml:space="preserve">Anexo 2. Modelo Entrada–Proceso–Salida (EPS)</w:t>
      </w:r>
      <w:r>
        <w:br/>
      </w:r>
      <w:r>
        <w:t xml:space="preserve">-</w:t>
      </w:r>
      <w:r>
        <w:t xml:space="preserve"> </w:t>
      </w:r>
      <w:r>
        <w:rPr>
          <w:i/>
          <w:iCs/>
        </w:rPr>
        <w:t xml:space="preserve">Entradas</w:t>
      </w:r>
      <w:r>
        <w:t xml:space="preserve">: estudiantes, docentes, dispositivos digitales, materiales interactivos, conectividad.</w:t>
      </w:r>
      <w:r>
        <w:br/>
      </w:r>
      <w:r>
        <w:t xml:space="preserve">-</w:t>
      </w:r>
      <w:r>
        <w:t xml:space="preserve"> </w:t>
      </w:r>
      <w:r>
        <w:rPr>
          <w:i/>
          <w:iCs/>
        </w:rPr>
        <w:t xml:space="preserve">Procesos</w:t>
      </w:r>
      <w:r>
        <w:t xml:space="preserve">: actividades gamificadas, retroalimentación adaptativa, juegos de inmersión lingüística.</w:t>
      </w:r>
      <w:r>
        <w:br/>
      </w:r>
      <w:r>
        <w:t xml:space="preserve">-</w:t>
      </w:r>
      <w:r>
        <w:t xml:space="preserve"> </w:t>
      </w:r>
      <w:r>
        <w:rPr>
          <w:i/>
          <w:iCs/>
        </w:rPr>
        <w:t xml:space="preserve">Salidas</w:t>
      </w:r>
      <w:r>
        <w:t xml:space="preserve">: aprendizaje del idioma, motivación, inclusión social, reportes de progreso.</w:t>
      </w:r>
    </w:p>
    <w:p>
      <w:pPr>
        <w:pStyle w:val="BodyText"/>
      </w:pPr>
      <w:r>
        <w:rPr>
          <w:b/>
          <w:bCs/>
        </w:rPr>
        <w:t xml:space="preserve">Anexo 3. Fragmento de código del prototipo</w:t>
      </w:r>
    </w:p>
    <w:p>
      <w:pPr>
        <w:pStyle w:val="SourceCode"/>
      </w:pPr>
      <w:r>
        <w:rPr>
          <w:rStyle w:val="KeywordTok"/>
        </w:rPr>
        <w:t xml:space="preserve">private</w:t>
      </w:r>
      <w:r>
        <w:rPr>
          <w:rStyle w:val="NormalTok"/>
        </w:rPr>
        <w:t xml:space="preserve"> async </w:t>
      </w:r>
      <w:r>
        <w:rPr>
          <w:rStyle w:val="DataTypeTok"/>
        </w:rPr>
        <w:t xml:space="preserve">void</w:t>
      </w:r>
      <w:r>
        <w:rPr>
          <w:rStyle w:val="NormalTok"/>
        </w:rPr>
        <w:t xml:space="preserve"> </w:t>
      </w:r>
      <w:r>
        <w:rPr>
          <w:rStyle w:val="FunctionTok"/>
        </w:rPr>
        <w:t xml:space="preserve">btnVerificar_Click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txtRespuesta</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respuestaCorrecta</w:t>
      </w:r>
      <w:r>
        <w:rPr>
          <w:rStyle w:val="OperatorTok"/>
        </w:rPr>
        <w:t xml:space="preserve">)</w:t>
      </w:r>
      <w:r>
        <w:br/>
      </w:r>
      <w:r>
        <w:rPr>
          <w:rStyle w:val="NormalTok"/>
        </w:rPr>
        <w:t xml:space="preserve">    </w:t>
      </w:r>
      <w:r>
        <w:rPr>
          <w:rStyle w:val="OperatorTok"/>
        </w:rPr>
        <w:t xml:space="preserve">{</w:t>
      </w:r>
      <w:r>
        <w:br/>
      </w:r>
      <w:r>
        <w:rPr>
          <w:rStyle w:val="NormalTok"/>
        </w:rPr>
        <w:t xml:space="preserve">        lblResultado</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"¡Correcto!"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lblResultado</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"Intenta de nuevo."</w:t>
      </w:r>
      <w:r>
        <w:rPr>
          <w:rStyle w:val="OperatorTok"/>
        </w:rPr>
        <w:t xml:space="preserve">;</w:t>
      </w:r>
      <w:r>
        <w:br/>
      </w:r>
      <w:r>
        <w:rPr>
          <w:rStyle w:val="NormalTok"/>
        </w:rPr>
        <w:t xml:space="preserve">    </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DecValTok"/>
        </w:rPr>
        <w:t xml:space="preserve">1000</w:t>
      </w:r>
      <w:r>
        <w:rPr>
          <w:rStyle w:val="OperatorTok"/>
        </w:rPr>
        <w:t xml:space="preserve">);</w:t>
      </w:r>
      <w:r>
        <w:br/>
      </w:r>
      <w:r>
        <w:rPr>
          <w:rStyle w:val="OperatorTok"/>
        </w:rPr>
        <w:t xml:space="preserve">}</w:t>
      </w:r>
    </w:p>
    <w:p>
      <w:pPr>
        <w:pStyle w:val="FirstParagraph"/>
      </w:pPr>
      <w:r>
        <w:rPr>
          <w:b/>
          <w:bCs/>
        </w:rPr>
        <w:t xml:space="preserve">Anexo 4. Capturas de la interfaz</w:t>
      </w:r>
      <w:r>
        <w:br/>
      </w:r>
      <w:r>
        <w:t xml:space="preserve">- Pantalla de inicio de sesión.</w:t>
      </w:r>
      <w:r>
        <w:br/>
      </w:r>
      <w:r>
        <w:t xml:space="preserve">- Actividad interactiva (juego de palabras).</w:t>
      </w:r>
      <w:r>
        <w:br/>
      </w:r>
      <w:r>
        <w:t xml:space="preserve">- Reporte básico de progreso del estudiante.</w:t>
      </w:r>
    </w:p>
    <w:p>
      <w:r>
        <w:pict>
          <v:rect style="width:0;height:1.5pt" o:hralign="center" o:hrstd="t" o:hr="t"/>
        </w:pict>
      </w:r>
    </w:p>
    <w:p>
      <w:pPr>
        <w:pStyle w:val="FirstParagraph"/>
      </w:pPr>
      <w:r>
        <w:t xml:space="preserve">Este documento ya incluye citas recientes, referencias en APA y anexos sugeridos para fortalecer la entrega académica.</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2025-09-27T02:50:40Z</dcterms:created>
  <dcterms:modified xsi:type="dcterms:W3CDTF">2025-09-27T02:50:40Z</dcterms:modified>
</cp:coreProperties>
</file>

<file path=docProps/custom.xml><?xml version="1.0" encoding="utf-8"?>
<Properties xmlns="http://schemas.openxmlformats.org/officeDocument/2006/custom-properties" xmlns:vt="http://schemas.openxmlformats.org/officeDocument/2006/docPropsVTypes"/>
</file>