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C5C22" w14:textId="170A2B67" w:rsidR="00F749E8" w:rsidRPr="00997287" w:rsidRDefault="00F749E8" w:rsidP="00997287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>BAB</w:t>
      </w:r>
      <w:r w:rsidR="006F4148"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3A57AD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</w:p>
    <w:p w14:paraId="2C2331D4" w14:textId="5FBDF08D" w:rsidR="006F4148" w:rsidRPr="00997287" w:rsidRDefault="006F4148" w:rsidP="00997287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>LANDASAN TEORI</w:t>
      </w:r>
      <w:r w:rsidR="00077C70"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PENGEMBANGAN HIPOTESIS</w:t>
      </w:r>
    </w:p>
    <w:p w14:paraId="7FC8D547" w14:textId="489F2ACA" w:rsidR="006F4148" w:rsidRPr="00997287" w:rsidRDefault="006F4148" w:rsidP="00997287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2.1 </w:t>
      </w:r>
      <w:proofErr w:type="spellStart"/>
      <w:r w:rsidR="008523CF"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>Landasan</w:t>
      </w:r>
      <w:proofErr w:type="spellEnd"/>
      <w:r w:rsidR="008523CF"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523CF"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>Teori</w:t>
      </w:r>
      <w:proofErr w:type="spellEnd"/>
      <w:r w:rsidR="008523CF"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="008523CF"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>Literatur</w:t>
      </w:r>
      <w:proofErr w:type="spellEnd"/>
    </w:p>
    <w:p w14:paraId="0E89EE9B" w14:textId="3FCF7C9D" w:rsidR="002B69C3" w:rsidRPr="00997287" w:rsidRDefault="008523CF" w:rsidP="00997287">
      <w:pPr>
        <w:pStyle w:val="Heading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997287">
        <w:rPr>
          <w:rFonts w:ascii="Times New Roman" w:hAnsi="Times New Roman" w:cs="Times New Roman"/>
          <w:b/>
          <w:bCs/>
          <w:color w:val="auto"/>
        </w:rPr>
        <w:t>Pengertian</w:t>
      </w:r>
      <w:proofErr w:type="spellEnd"/>
      <w:r w:rsidRPr="0099728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4764CA" w:rsidRPr="00997287">
        <w:rPr>
          <w:rFonts w:ascii="Times New Roman" w:hAnsi="Times New Roman" w:cs="Times New Roman"/>
          <w:b/>
          <w:bCs/>
          <w:color w:val="auto"/>
        </w:rPr>
        <w:t>Inklusi</w:t>
      </w:r>
      <w:proofErr w:type="spellEnd"/>
      <w:r w:rsidR="004764CA" w:rsidRPr="0099728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4764CA" w:rsidRPr="00997287">
        <w:rPr>
          <w:rFonts w:ascii="Times New Roman" w:hAnsi="Times New Roman" w:cs="Times New Roman"/>
          <w:b/>
          <w:bCs/>
          <w:color w:val="auto"/>
        </w:rPr>
        <w:t>Keuangan</w:t>
      </w:r>
      <w:proofErr w:type="spellEnd"/>
    </w:p>
    <w:p w14:paraId="15EC78DE" w14:textId="153641B7" w:rsidR="002B69C3" w:rsidRPr="00997287" w:rsidRDefault="002B69C3" w:rsidP="00997287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OJK (2014)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biayanya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penghormatan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harkat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martabatnya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.</w:t>
      </w:r>
    </w:p>
    <w:p w14:paraId="10DDEDD8" w14:textId="5FDE8D18" w:rsidR="002D475E" w:rsidRPr="00997287" w:rsidRDefault="00785004" w:rsidP="00997287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</w:t>
      </w:r>
      <w:r w:rsidR="002D475E" w:rsidRPr="00997287">
        <w:rPr>
          <w:rFonts w:ascii="Times New Roman" w:hAnsi="Times New Roman" w:cs="Times New Roman"/>
          <w:sz w:val="24"/>
          <w:szCs w:val="24"/>
        </w:rPr>
        <w:t>anfaat</w:t>
      </w:r>
      <w:proofErr w:type="spellEnd"/>
      <w:r w:rsidR="002D475E"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75E" w:rsidRPr="00997287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="002D475E"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75E"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2D475E" w:rsidRPr="00997287">
        <w:rPr>
          <w:rFonts w:ascii="Times New Roman" w:hAnsi="Times New Roman" w:cs="Times New Roman"/>
          <w:sz w:val="24"/>
          <w:szCs w:val="24"/>
        </w:rPr>
        <w:t>:</w:t>
      </w:r>
    </w:p>
    <w:p w14:paraId="7ED97C9D" w14:textId="77777777" w:rsidR="002D475E" w:rsidRPr="00997287" w:rsidRDefault="002D475E" w:rsidP="0099728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stabilitas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</w:p>
    <w:p w14:paraId="510818B4" w14:textId="77777777" w:rsidR="002D475E" w:rsidRPr="00997287" w:rsidRDefault="002D475E" w:rsidP="0099728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</w:p>
    <w:p w14:paraId="6A0C3C8C" w14:textId="77777777" w:rsidR="002D475E" w:rsidRPr="00997287" w:rsidRDefault="002D475E" w:rsidP="0099728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ekspansi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</w:p>
    <w:p w14:paraId="7E8B1510" w14:textId="77777777" w:rsidR="002D475E" w:rsidRPr="00997287" w:rsidRDefault="002D475E" w:rsidP="0099728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Menyumbangkan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</w:p>
    <w:p w14:paraId="2A0A482A" w14:textId="7B0EC1EC" w:rsidR="002D475E" w:rsidRPr="00997287" w:rsidRDefault="002D475E" w:rsidP="0099728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Berkontribusi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680A" w:rsidRPr="00997287">
        <w:rPr>
          <w:rFonts w:ascii="Times New Roman" w:eastAsia="Times New Roman" w:hAnsi="Times New Roman" w:cs="Times New Roman"/>
          <w:sz w:val="24"/>
          <w:szCs w:val="24"/>
        </w:rPr>
        <w:t>berkelanjutan</w:t>
      </w:r>
      <w:proofErr w:type="spellEnd"/>
    </w:p>
    <w:p w14:paraId="194F1AB4" w14:textId="77777777" w:rsidR="00926821" w:rsidRPr="00997287" w:rsidRDefault="00926821" w:rsidP="00997287">
      <w:pPr>
        <w:shd w:val="clear" w:color="auto" w:fill="FFFFFF"/>
        <w:spacing w:after="225"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Bank Indonesia (2017),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inklusif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dikelompokkan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5BCCE3" w14:textId="77777777" w:rsidR="00926821" w:rsidRPr="00997287" w:rsidRDefault="00926821" w:rsidP="00997287">
      <w:pPr>
        <w:pStyle w:val="ListParagraph"/>
        <w:numPr>
          <w:ilvl w:val="0"/>
          <w:numId w:val="18"/>
        </w:numPr>
        <w:shd w:val="clear" w:color="auto" w:fill="FFFFFF"/>
        <w:spacing w:after="225" w:line="360" w:lineRule="auto"/>
        <w:ind w:left="1843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formal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keterjangkauan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9776F5" w14:textId="77777777" w:rsidR="00926821" w:rsidRPr="00997287" w:rsidRDefault="00926821" w:rsidP="00997287">
      <w:pPr>
        <w:pStyle w:val="ListParagraph"/>
        <w:numPr>
          <w:ilvl w:val="0"/>
          <w:numId w:val="19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formal per 100.000 (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seratus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ribu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E2E195" w14:textId="77777777" w:rsidR="00926821" w:rsidRPr="00997287" w:rsidRDefault="00926821" w:rsidP="00997287">
      <w:pPr>
        <w:pStyle w:val="ListParagraph"/>
        <w:numPr>
          <w:ilvl w:val="0"/>
          <w:numId w:val="19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ATM/EDC/Mobile POS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per 100.000 (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seratus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ribu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D4A6C8" w14:textId="2EEC14B3" w:rsidR="00926821" w:rsidRPr="00997287" w:rsidRDefault="00926821" w:rsidP="00997287">
      <w:pPr>
        <w:pStyle w:val="ListParagraph"/>
        <w:numPr>
          <w:ilvl w:val="0"/>
          <w:numId w:val="19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agen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per 100.000 (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seratus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ribu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2DB511" w14:textId="77777777" w:rsidR="00926821" w:rsidRPr="00997287" w:rsidRDefault="00926821" w:rsidP="00997287">
      <w:pPr>
        <w:pStyle w:val="ListParagraph"/>
        <w:numPr>
          <w:ilvl w:val="0"/>
          <w:numId w:val="18"/>
        </w:numPr>
        <w:shd w:val="clear" w:color="auto" w:fill="FFFFFF"/>
        <w:spacing w:after="225" w:line="360" w:lineRule="auto"/>
        <w:ind w:left="1843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aktual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9CF0EA" w14:textId="77777777" w:rsidR="00926821" w:rsidRPr="00997287" w:rsidRDefault="00926821" w:rsidP="00997287">
      <w:pPr>
        <w:pStyle w:val="ListParagraph"/>
        <w:numPr>
          <w:ilvl w:val="0"/>
          <w:numId w:val="20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tabungan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formal per 1.000 (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seribu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5AEBD8" w14:textId="77777777" w:rsidR="00926821" w:rsidRPr="00997287" w:rsidRDefault="00926821" w:rsidP="00997287">
      <w:pPr>
        <w:pStyle w:val="ListParagraph"/>
        <w:numPr>
          <w:ilvl w:val="0"/>
          <w:numId w:val="20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lastRenderedPageBreak/>
        <w:t>Jumlah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formal per 1.000 (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seribu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250392" w14:textId="77777777" w:rsidR="00926821" w:rsidRPr="00997287" w:rsidRDefault="00926821" w:rsidP="00997287">
      <w:pPr>
        <w:pStyle w:val="ListParagraph"/>
        <w:numPr>
          <w:ilvl w:val="0"/>
          <w:numId w:val="20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(registered) pada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agen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Digital (LKD).</w:t>
      </w:r>
    </w:p>
    <w:p w14:paraId="324607A0" w14:textId="77777777" w:rsidR="00926821" w:rsidRPr="00997287" w:rsidRDefault="00926821" w:rsidP="00997287">
      <w:pPr>
        <w:pStyle w:val="ListParagraph"/>
        <w:numPr>
          <w:ilvl w:val="0"/>
          <w:numId w:val="20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pembiayaan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UMKM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pembiayaan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formal.</w:t>
      </w:r>
    </w:p>
    <w:p w14:paraId="32BA28DF" w14:textId="77777777" w:rsidR="00926821" w:rsidRPr="00997287" w:rsidRDefault="00926821" w:rsidP="00997287">
      <w:pPr>
        <w:pStyle w:val="ListParagraph"/>
        <w:numPr>
          <w:ilvl w:val="0"/>
          <w:numId w:val="20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UMKM di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formal per 1.000 (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seribu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DC54F5" w14:textId="77777777" w:rsidR="00926821" w:rsidRPr="00997287" w:rsidRDefault="00926821" w:rsidP="00997287">
      <w:pPr>
        <w:pStyle w:val="ListParagraph"/>
        <w:numPr>
          <w:ilvl w:val="0"/>
          <w:numId w:val="20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bersertifikat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883C56" w14:textId="1A29D4FB" w:rsidR="00926821" w:rsidRPr="00997287" w:rsidRDefault="00926821" w:rsidP="00997287">
      <w:pPr>
        <w:pStyle w:val="ListParagraph"/>
        <w:numPr>
          <w:ilvl w:val="0"/>
          <w:numId w:val="20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penerima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disalurkan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nontunai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C6EC5C" w14:textId="77777777" w:rsidR="00926821" w:rsidRPr="00997287" w:rsidRDefault="00926821" w:rsidP="00997287">
      <w:pPr>
        <w:pStyle w:val="ListParagraph"/>
        <w:numPr>
          <w:ilvl w:val="0"/>
          <w:numId w:val="18"/>
        </w:numPr>
        <w:shd w:val="clear" w:color="auto" w:fill="FFFFFF"/>
        <w:spacing w:after="225" w:line="360" w:lineRule="auto"/>
        <w:ind w:left="1843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pemenuhan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11F25B" w14:textId="77777777" w:rsidR="00926821" w:rsidRPr="00997287" w:rsidRDefault="00926821" w:rsidP="00997287">
      <w:pPr>
        <w:pStyle w:val="ListParagraph"/>
        <w:numPr>
          <w:ilvl w:val="0"/>
          <w:numId w:val="21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literasi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7BC818" w14:textId="77777777" w:rsidR="00926821" w:rsidRPr="00997287" w:rsidRDefault="00926821" w:rsidP="00997287">
      <w:pPr>
        <w:pStyle w:val="ListParagraph"/>
        <w:numPr>
          <w:ilvl w:val="0"/>
          <w:numId w:val="21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pengaduan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326B48" w14:textId="0EF45C0B" w:rsidR="00926821" w:rsidRPr="00997287" w:rsidRDefault="00926821" w:rsidP="00997287">
      <w:pPr>
        <w:pStyle w:val="ListParagraph"/>
        <w:numPr>
          <w:ilvl w:val="0"/>
          <w:numId w:val="21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pengaduan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07F586" w14:textId="2A0A4C72" w:rsidR="002514D9" w:rsidRPr="00997287" w:rsidRDefault="002514D9" w:rsidP="00997287">
      <w:pPr>
        <w:pStyle w:val="Heading3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auto"/>
        </w:rPr>
      </w:pPr>
      <w:r w:rsidRPr="00997287">
        <w:rPr>
          <w:rFonts w:ascii="Times New Roman" w:hAnsi="Times New Roman" w:cs="Times New Roman"/>
          <w:b/>
          <w:bCs/>
          <w:color w:val="auto"/>
        </w:rPr>
        <w:t>2.1.</w:t>
      </w:r>
      <w:r w:rsidR="00BB57CE" w:rsidRPr="00997287">
        <w:rPr>
          <w:rFonts w:ascii="Times New Roman" w:hAnsi="Times New Roman" w:cs="Times New Roman"/>
          <w:b/>
          <w:bCs/>
          <w:color w:val="auto"/>
        </w:rPr>
        <w:t>2</w:t>
      </w:r>
      <w:r w:rsidRPr="0099728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97287">
        <w:rPr>
          <w:rFonts w:ascii="Times New Roman" w:hAnsi="Times New Roman" w:cs="Times New Roman"/>
          <w:b/>
          <w:bCs/>
          <w:color w:val="auto"/>
        </w:rPr>
        <w:t>Faktor-faktor</w:t>
      </w:r>
      <w:proofErr w:type="spellEnd"/>
      <w:r w:rsidRPr="00997287">
        <w:rPr>
          <w:rFonts w:ascii="Times New Roman" w:hAnsi="Times New Roman" w:cs="Times New Roman"/>
          <w:b/>
          <w:bCs/>
          <w:color w:val="auto"/>
        </w:rPr>
        <w:t xml:space="preserve"> yang </w:t>
      </w:r>
      <w:proofErr w:type="spellStart"/>
      <w:r w:rsidRPr="00997287">
        <w:rPr>
          <w:rFonts w:ascii="Times New Roman" w:hAnsi="Times New Roman" w:cs="Times New Roman"/>
          <w:b/>
          <w:bCs/>
          <w:color w:val="auto"/>
        </w:rPr>
        <w:t>Mempengaruhi</w:t>
      </w:r>
      <w:proofErr w:type="spellEnd"/>
      <w:r w:rsidRPr="0099728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97287">
        <w:rPr>
          <w:rFonts w:ascii="Times New Roman" w:hAnsi="Times New Roman" w:cs="Times New Roman"/>
          <w:b/>
          <w:bCs/>
          <w:color w:val="auto"/>
        </w:rPr>
        <w:t>Inklusi</w:t>
      </w:r>
      <w:proofErr w:type="spellEnd"/>
      <w:r w:rsidRPr="0099728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97287">
        <w:rPr>
          <w:rFonts w:ascii="Times New Roman" w:hAnsi="Times New Roman" w:cs="Times New Roman"/>
          <w:b/>
          <w:bCs/>
          <w:color w:val="auto"/>
        </w:rPr>
        <w:t>Keuangan</w:t>
      </w:r>
      <w:proofErr w:type="spellEnd"/>
    </w:p>
    <w:p w14:paraId="6D6C87D8" w14:textId="77777777" w:rsidR="00B80D92" w:rsidRPr="00997287" w:rsidRDefault="002514D9" w:rsidP="00997287">
      <w:pPr>
        <w:pStyle w:val="Heading4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AA66F2"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>2.1.</w:t>
      </w:r>
      <w:r w:rsidR="00BB57CE"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.1 </w:t>
      </w:r>
      <w:r w:rsidR="00BB57CE"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>Digital Banking (X1)</w:t>
      </w:r>
    </w:p>
    <w:p w14:paraId="55A90B38" w14:textId="77777777" w:rsidR="00997287" w:rsidRDefault="00B80D92" w:rsidP="00997287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Menurut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peraturan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OJK</w:t>
      </w:r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(OJK)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nomor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12</w:t>
      </w:r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/POJK.03/2018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Penyelenggaraan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Perbankan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 oleh Bank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Umum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pengertian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 banking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perbankan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elektronik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dikembangkan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mengoptimalkan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pemanfaatan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nasabah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rangka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melayani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nasabah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sesuai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kebutuhan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997287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customer experience</w:t>
      </w:r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mandiri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sepenuhnya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nasabah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memperhatikan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aspek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pengamanan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50AD1DC" w14:textId="77777777" w:rsidR="00997287" w:rsidRDefault="00997287" w:rsidP="00997287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Bank yang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ingin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menyelenggarakan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layanan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digital banking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haruslah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memenuhi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syarat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berikut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5798002B" w14:textId="4EC86673" w:rsidR="00997287" w:rsidRPr="00997287" w:rsidRDefault="00997287" w:rsidP="00997287">
      <w:pPr>
        <w:pStyle w:val="ListParagraph"/>
        <w:numPr>
          <w:ilvl w:val="0"/>
          <w:numId w:val="34"/>
        </w:numPr>
        <w:tabs>
          <w:tab w:val="clear" w:pos="720"/>
        </w:tabs>
        <w:spacing w:line="360" w:lineRule="auto"/>
        <w:ind w:left="255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Memiliki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peringkat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profil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risiko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peringkat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peringkat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berdasarkan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penilaian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tingkat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kesehatan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bank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periode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penilaian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6B7BD19" w14:textId="77777777" w:rsidR="00997287" w:rsidRPr="00997287" w:rsidRDefault="00997287" w:rsidP="00997287">
      <w:pPr>
        <w:pStyle w:val="ListParagraph"/>
        <w:numPr>
          <w:ilvl w:val="0"/>
          <w:numId w:val="34"/>
        </w:numPr>
        <w:tabs>
          <w:tab w:val="clear" w:pos="720"/>
        </w:tabs>
        <w:spacing w:line="360" w:lineRule="auto"/>
        <w:ind w:left="255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Memiliki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infrastruktur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teknologi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informasi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manajemen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pengelolaan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insfratruktur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memadai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6D26E064" w14:textId="7617B640" w:rsidR="00997287" w:rsidRPr="00997287" w:rsidRDefault="00997287" w:rsidP="00997287">
      <w:pPr>
        <w:pStyle w:val="ListParagraph"/>
        <w:numPr>
          <w:ilvl w:val="0"/>
          <w:numId w:val="34"/>
        </w:numPr>
        <w:tabs>
          <w:tab w:val="clear" w:pos="720"/>
        </w:tabs>
        <w:spacing w:line="360" w:lineRule="auto"/>
        <w:ind w:left="255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Termasuk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kelompok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bank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umum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berdasarkan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kegiatan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usaha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paling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sedikit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dapat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melakukan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kegiatan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usaha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layanan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perbankan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elektronik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sebagaimana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telah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diatur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ketentuan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Otoritas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Jasa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Keuangan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734B8D9D" w14:textId="77777777" w:rsidR="002B54CE" w:rsidRPr="00997287" w:rsidRDefault="00B1785D" w:rsidP="00997287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99728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digital banking</w:t>
      </w:r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03ACE426" w14:textId="77777777" w:rsidR="00D07632" w:rsidRPr="00D07632" w:rsidRDefault="00B1785D" w:rsidP="0099728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728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Internet Banking</w:t>
      </w:r>
    </w:p>
    <w:p w14:paraId="72E80AB8" w14:textId="67675ECE" w:rsidR="00B1785D" w:rsidRPr="00997287" w:rsidRDefault="00B1785D" w:rsidP="00D07632">
      <w:pPr>
        <w:pStyle w:val="ListParagraph"/>
        <w:spacing w:line="36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(financial dan</w:t>
      </w:r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7287">
        <w:rPr>
          <w:rFonts w:ascii="Times New Roman" w:eastAsia="Times New Roman" w:hAnsi="Times New Roman" w:cs="Times New Roman"/>
          <w:sz w:val="24"/>
          <w:szCs w:val="24"/>
        </w:rPr>
        <w:t>non</w:t>
      </w:r>
      <w:r w:rsidRPr="0099728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financial)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internet bank.</w:t>
      </w:r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Jenis-jenis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internet banking,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40B2D315" w14:textId="4B424C3C" w:rsidR="00B1785D" w:rsidRPr="00997287" w:rsidRDefault="00B1785D" w:rsidP="00997287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7287">
        <w:rPr>
          <w:rFonts w:ascii="Times New Roman" w:eastAsia="Times New Roman" w:hAnsi="Times New Roman" w:cs="Times New Roman"/>
          <w:sz w:val="24"/>
          <w:szCs w:val="24"/>
        </w:rPr>
        <w:t>Transfer dana;</w:t>
      </w:r>
    </w:p>
    <w:p w14:paraId="0CBA6163" w14:textId="77777777" w:rsidR="00B1785D" w:rsidRPr="00997287" w:rsidRDefault="00B1785D" w:rsidP="00997287">
      <w:pPr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saldo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tukar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C5399A9" w14:textId="09152F0B" w:rsidR="00B1785D" w:rsidRPr="00B1785D" w:rsidRDefault="00B1785D" w:rsidP="00997287">
      <w:pPr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tagihan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ponsel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1C67359" w14:textId="0139936A" w:rsidR="00997287" w:rsidRPr="00997287" w:rsidRDefault="00B1785D" w:rsidP="00997287">
      <w:pPr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pulsa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tiket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pesawat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60B1EDF" w14:textId="77777777" w:rsidR="00D07632" w:rsidRPr="00D07632" w:rsidRDefault="00997287" w:rsidP="00D07632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0763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Phone Banking</w:t>
      </w:r>
    </w:p>
    <w:p w14:paraId="72D103DA" w14:textId="77777777" w:rsidR="00D07632" w:rsidRDefault="00997287" w:rsidP="00D07632">
      <w:pPr>
        <w:pStyle w:val="ListParagraph"/>
        <w:shd w:val="clear" w:color="auto" w:fill="FFFFFF"/>
        <w:spacing w:after="0" w:line="360" w:lineRule="auto"/>
        <w:ind w:left="25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menghubung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57AD">
        <w:rPr>
          <w:rFonts w:ascii="Times New Roman" w:eastAsia="Times New Roman" w:hAnsi="Times New Roman" w:cs="Times New Roman"/>
          <w:i/>
          <w:iCs/>
          <w:sz w:val="24"/>
          <w:szCs w:val="24"/>
        </w:rPr>
        <w:t>contact center</w:t>
      </w:r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bank. Bank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staf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menjalankantransaksi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E8EF7C" w14:textId="77777777" w:rsidR="00D07632" w:rsidRDefault="00997287" w:rsidP="00D07632">
      <w:pPr>
        <w:pStyle w:val="ListParagraph"/>
        <w:shd w:val="clear" w:color="auto" w:fill="FFFFFF"/>
        <w:spacing w:after="0" w:line="360" w:lineRule="auto"/>
        <w:ind w:left="25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phone banking yang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53207F75" w14:textId="77777777" w:rsidR="00D07632" w:rsidRPr="00D07632" w:rsidRDefault="00997287" w:rsidP="00D07632">
      <w:pPr>
        <w:pStyle w:val="ListParagraph"/>
        <w:numPr>
          <w:ilvl w:val="0"/>
          <w:numId w:val="31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7287">
        <w:rPr>
          <w:rFonts w:ascii="Times New Roman" w:eastAsia="Times New Roman" w:hAnsi="Times New Roman" w:cs="Times New Roman"/>
          <w:sz w:val="24"/>
          <w:szCs w:val="24"/>
        </w:rPr>
        <w:t>Transfer dana</w:t>
      </w:r>
    </w:p>
    <w:p w14:paraId="45CEDE2C" w14:textId="2C2E14E7" w:rsidR="00D07632" w:rsidRDefault="00997287" w:rsidP="00D07632">
      <w:pPr>
        <w:pStyle w:val="ListParagraph"/>
        <w:numPr>
          <w:ilvl w:val="0"/>
          <w:numId w:val="31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saldo</w:t>
      </w:r>
      <w:proofErr w:type="spellEnd"/>
    </w:p>
    <w:p w14:paraId="7DC39878" w14:textId="77777777" w:rsidR="00D07632" w:rsidRDefault="00997287" w:rsidP="00D07632">
      <w:pPr>
        <w:pStyle w:val="ListParagraph"/>
        <w:numPr>
          <w:ilvl w:val="0"/>
          <w:numId w:val="31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</w:p>
    <w:p w14:paraId="519B3EA1" w14:textId="4BBE7D41" w:rsidR="00D07632" w:rsidRDefault="00997287" w:rsidP="00D07632">
      <w:pPr>
        <w:pStyle w:val="ListParagraph"/>
        <w:numPr>
          <w:ilvl w:val="0"/>
          <w:numId w:val="31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, PLN,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asuransi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725E58" w14:textId="65D80D7D" w:rsidR="00997287" w:rsidRPr="00D07632" w:rsidRDefault="00997287" w:rsidP="00D07632">
      <w:pPr>
        <w:pStyle w:val="ListParagraph"/>
        <w:numPr>
          <w:ilvl w:val="0"/>
          <w:numId w:val="31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pulsa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55F09C" w14:textId="77777777" w:rsidR="003A57AD" w:rsidRPr="003A57AD" w:rsidRDefault="00997287" w:rsidP="003A57AD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A57AD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lastRenderedPageBreak/>
        <w:t>SMS Banking</w:t>
      </w:r>
    </w:p>
    <w:p w14:paraId="637CF469" w14:textId="77777777" w:rsidR="003A57AD" w:rsidRDefault="00997287" w:rsidP="003A57AD">
      <w:pPr>
        <w:pStyle w:val="ListParagraph"/>
        <w:shd w:val="clear" w:color="auto" w:fill="FFFFFF"/>
        <w:spacing w:after="0" w:line="360" w:lineRule="auto"/>
        <w:ind w:left="25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57AD">
        <w:rPr>
          <w:rFonts w:ascii="Times New Roman" w:eastAsia="Times New Roman" w:hAnsi="Times New Roman" w:cs="Times New Roman"/>
          <w:i/>
          <w:iCs/>
          <w:sz w:val="24"/>
          <w:szCs w:val="24"/>
        </w:rPr>
        <w:t>SMS banking</w:t>
      </w:r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seluler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ponsel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3A57AD">
        <w:rPr>
          <w:rFonts w:ascii="Times New Roman" w:eastAsia="Times New Roman" w:hAnsi="Times New Roman" w:cs="Times New Roman"/>
          <w:i/>
          <w:iCs/>
          <w:sz w:val="24"/>
          <w:szCs w:val="24"/>
        </w:rPr>
        <w:t>Short Message Service (SMS).</w:t>
      </w:r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mengirimkan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SMS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bank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dipasang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bank pada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ponsel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="003A57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519E8A" w14:textId="77777777" w:rsidR="003A57AD" w:rsidRDefault="00997287" w:rsidP="003A57AD">
      <w:pPr>
        <w:pStyle w:val="ListParagraph"/>
        <w:shd w:val="clear" w:color="auto" w:fill="FFFFFF"/>
        <w:spacing w:after="0" w:line="360" w:lineRule="auto"/>
        <w:ind w:left="25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Jenis-jenis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SMS banking,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19D17B2C" w14:textId="77777777" w:rsidR="003A57AD" w:rsidRPr="003A57AD" w:rsidRDefault="00997287" w:rsidP="003A57AD">
      <w:pPr>
        <w:pStyle w:val="ListParagraph"/>
        <w:numPr>
          <w:ilvl w:val="0"/>
          <w:numId w:val="32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97287">
        <w:rPr>
          <w:rFonts w:ascii="Times New Roman" w:eastAsia="Times New Roman" w:hAnsi="Times New Roman" w:cs="Times New Roman"/>
          <w:sz w:val="24"/>
          <w:szCs w:val="24"/>
        </w:rPr>
        <w:t>Transfer dana</w:t>
      </w:r>
    </w:p>
    <w:p w14:paraId="17794FBB" w14:textId="23F47301" w:rsidR="003A57AD" w:rsidRPr="003A57AD" w:rsidRDefault="00997287" w:rsidP="003A57AD">
      <w:pPr>
        <w:pStyle w:val="ListParagraph"/>
        <w:numPr>
          <w:ilvl w:val="0"/>
          <w:numId w:val="32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Saldo</w:t>
      </w:r>
      <w:proofErr w:type="spellEnd"/>
    </w:p>
    <w:p w14:paraId="5611CB93" w14:textId="77777777" w:rsidR="003A57AD" w:rsidRPr="003A57AD" w:rsidRDefault="00997287" w:rsidP="003A57AD">
      <w:pPr>
        <w:pStyle w:val="ListParagraph"/>
        <w:numPr>
          <w:ilvl w:val="0"/>
          <w:numId w:val="32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</w:p>
    <w:p w14:paraId="0CAD6442" w14:textId="77777777" w:rsidR="003A57AD" w:rsidRPr="003A57AD" w:rsidRDefault="00997287" w:rsidP="003A57AD">
      <w:pPr>
        <w:pStyle w:val="ListParagraph"/>
        <w:numPr>
          <w:ilvl w:val="0"/>
          <w:numId w:val="32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F0BA74D" w14:textId="52B5348A" w:rsidR="00997287" w:rsidRPr="003A57AD" w:rsidRDefault="00997287" w:rsidP="003A57AD">
      <w:pPr>
        <w:pStyle w:val="ListParagraph"/>
        <w:numPr>
          <w:ilvl w:val="0"/>
          <w:numId w:val="32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pulsa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E32D4A9" w14:textId="77777777" w:rsidR="003A57AD" w:rsidRPr="003A57AD" w:rsidRDefault="00997287" w:rsidP="003A57AD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A57AD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Mobile Banking</w:t>
      </w:r>
    </w:p>
    <w:p w14:paraId="6610D3A6" w14:textId="77777777" w:rsidR="003A57AD" w:rsidRDefault="00997287" w:rsidP="003A57AD">
      <w:pPr>
        <w:pStyle w:val="ListParagraph"/>
        <w:shd w:val="clear" w:color="auto" w:fill="FFFFFF"/>
        <w:spacing w:after="0" w:line="360" w:lineRule="auto"/>
        <w:ind w:left="25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57AD">
        <w:rPr>
          <w:rFonts w:ascii="Times New Roman" w:eastAsia="Times New Roman" w:hAnsi="Times New Roman" w:cs="Times New Roman"/>
          <w:i/>
          <w:iCs/>
          <w:sz w:val="24"/>
          <w:szCs w:val="24"/>
        </w:rPr>
        <w:t>Mobile banking</w:t>
      </w:r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yang juga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ponselseperti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SMS banking,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kecanggihan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. Bank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seluler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SIM Card (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chips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seluler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) Global for Mobile communication (GSM)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dipasangkan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>.</w:t>
      </w:r>
      <w:r w:rsid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pada mobile banking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7287">
        <w:rPr>
          <w:rFonts w:ascii="Times New Roman" w:eastAsia="Times New Roman" w:hAnsi="Times New Roman" w:cs="Times New Roman"/>
          <w:i/>
          <w:iCs/>
          <w:sz w:val="24"/>
          <w:szCs w:val="24"/>
        </w:rPr>
        <w:t>SMS</w:t>
      </w:r>
      <w:r w:rsidR="003A57AD" w:rsidRPr="003A57A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997287">
        <w:rPr>
          <w:rFonts w:ascii="Times New Roman" w:eastAsia="Times New Roman" w:hAnsi="Times New Roman" w:cs="Times New Roman"/>
          <w:i/>
          <w:iCs/>
          <w:sz w:val="24"/>
          <w:szCs w:val="24"/>
        </w:rPr>
        <w:t>Banking</w:t>
      </w:r>
      <w:r w:rsidRPr="00997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9C7339" w14:textId="5704968F" w:rsidR="00997287" w:rsidRPr="00997287" w:rsidRDefault="00997287" w:rsidP="003A57AD">
      <w:pPr>
        <w:pStyle w:val="ListParagraph"/>
        <w:shd w:val="clear" w:color="auto" w:fill="FFFFFF"/>
        <w:spacing w:after="0" w:line="360" w:lineRule="auto"/>
        <w:ind w:left="2520" w:firstLine="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mobile banking,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4E3A0719" w14:textId="77777777" w:rsidR="003A57AD" w:rsidRDefault="00997287" w:rsidP="003A57AD">
      <w:pPr>
        <w:pStyle w:val="ListParagraph"/>
        <w:numPr>
          <w:ilvl w:val="0"/>
          <w:numId w:val="33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57AD">
        <w:rPr>
          <w:rFonts w:ascii="Times New Roman" w:eastAsia="Times New Roman" w:hAnsi="Times New Roman" w:cs="Times New Roman"/>
          <w:sz w:val="24"/>
          <w:szCs w:val="24"/>
        </w:rPr>
        <w:t>Transfer dana</w:t>
      </w:r>
    </w:p>
    <w:p w14:paraId="0B487F74" w14:textId="77777777" w:rsidR="003A57AD" w:rsidRDefault="00997287" w:rsidP="003A57AD">
      <w:pPr>
        <w:pStyle w:val="ListParagraph"/>
        <w:numPr>
          <w:ilvl w:val="0"/>
          <w:numId w:val="33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saldo</w:t>
      </w:r>
      <w:proofErr w:type="spellEnd"/>
    </w:p>
    <w:p w14:paraId="1A423209" w14:textId="77777777" w:rsidR="003A57AD" w:rsidRDefault="00997287" w:rsidP="003A57AD">
      <w:pPr>
        <w:pStyle w:val="ListParagraph"/>
        <w:numPr>
          <w:ilvl w:val="0"/>
          <w:numId w:val="33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</w:p>
    <w:p w14:paraId="62ABA374" w14:textId="77777777" w:rsidR="003A57AD" w:rsidRDefault="00997287" w:rsidP="003A57AD">
      <w:pPr>
        <w:pStyle w:val="ListParagraph"/>
        <w:numPr>
          <w:ilvl w:val="0"/>
          <w:numId w:val="33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tukar</w:t>
      </w:r>
      <w:proofErr w:type="spellEnd"/>
    </w:p>
    <w:p w14:paraId="333BF025" w14:textId="77777777" w:rsidR="003A57AD" w:rsidRDefault="00997287" w:rsidP="003A57AD">
      <w:pPr>
        <w:pStyle w:val="ListParagraph"/>
        <w:numPr>
          <w:ilvl w:val="0"/>
          <w:numId w:val="33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>,</w:t>
      </w:r>
      <w:r w:rsid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57AD">
        <w:rPr>
          <w:rFonts w:ascii="Times New Roman" w:eastAsia="Times New Roman" w:hAnsi="Times New Roman" w:cs="Times New Roman"/>
          <w:sz w:val="24"/>
          <w:szCs w:val="24"/>
        </w:rPr>
        <w:t>PLN,</w:t>
      </w:r>
      <w:r w:rsid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>,</w:t>
      </w:r>
      <w:r w:rsid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57AD">
        <w:rPr>
          <w:rFonts w:ascii="Times New Roman" w:eastAsia="Times New Roman" w:hAnsi="Times New Roman" w:cs="Times New Roman"/>
          <w:sz w:val="24"/>
          <w:szCs w:val="24"/>
        </w:rPr>
        <w:t>handphone,</w:t>
      </w:r>
      <w:r w:rsid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>,</w:t>
      </w:r>
      <w:r w:rsid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asuransi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8D8F784" w14:textId="3470FA05" w:rsidR="00997287" w:rsidRPr="00F72179" w:rsidRDefault="00997287" w:rsidP="00997287">
      <w:pPr>
        <w:pStyle w:val="ListParagraph"/>
        <w:numPr>
          <w:ilvl w:val="0"/>
          <w:numId w:val="33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pulsa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4175F6A" w14:textId="324C58B7" w:rsidR="00670869" w:rsidRPr="00997287" w:rsidRDefault="00BB57CE" w:rsidP="00997287">
      <w:pPr>
        <w:pStyle w:val="Heading4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AA66F2"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2.1.2.2 </w:t>
      </w:r>
      <w:proofErr w:type="spellStart"/>
      <w:r w:rsidR="00940ED3" w:rsidRPr="009972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Literasi</w:t>
      </w:r>
      <w:proofErr w:type="spellEnd"/>
      <w:r w:rsidRPr="009972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(X2)</w:t>
      </w:r>
    </w:p>
    <w:p w14:paraId="0D39BAFD" w14:textId="77777777" w:rsidR="002B54CE" w:rsidRPr="00997287" w:rsidRDefault="00670869" w:rsidP="00997287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r w:rsidRPr="0099728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lastRenderedPageBreak/>
        <w:t>mengelola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meminimalisasi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Kemdikbud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r w:rsidRPr="00997287">
        <w:rPr>
          <w:rFonts w:ascii="Times New Roman" w:hAnsi="Times New Roman" w:cs="Times New Roman"/>
          <w:sz w:val="24"/>
          <w:szCs w:val="24"/>
        </w:rPr>
        <w:t>2017)</w:t>
      </w:r>
      <w:r w:rsidRPr="00997287">
        <w:rPr>
          <w:rFonts w:ascii="Times New Roman" w:hAnsi="Times New Roman" w:cs="Times New Roman"/>
          <w:sz w:val="24"/>
          <w:szCs w:val="24"/>
        </w:rPr>
        <w:t>.</w:t>
      </w:r>
    </w:p>
    <w:p w14:paraId="26B644CD" w14:textId="77777777" w:rsidR="002B54CE" w:rsidRPr="00997287" w:rsidRDefault="005A4DFD" w:rsidP="00997287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:</w:t>
      </w:r>
    </w:p>
    <w:p w14:paraId="644DF9A4" w14:textId="1EDC5300" w:rsidR="005A4DFD" w:rsidRPr="00997287" w:rsidRDefault="005A4DFD" w:rsidP="0099728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Keutuhan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holistik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bersinergi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yang lain,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ke21</w:t>
      </w:r>
      <w:r w:rsidRPr="00997287">
        <w:rPr>
          <w:rFonts w:ascii="Times New Roman" w:hAnsi="Times New Roman" w:cs="Times New Roman"/>
          <w:sz w:val="24"/>
          <w:szCs w:val="24"/>
        </w:rPr>
        <w:t>.</w:t>
      </w:r>
    </w:p>
    <w:p w14:paraId="4C0F6709" w14:textId="77777777" w:rsidR="005A4DFD" w:rsidRPr="00997287" w:rsidRDefault="005A4DFD" w:rsidP="0099728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Keterpaduan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Keterpaduan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ranah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.</w:t>
      </w:r>
    </w:p>
    <w:p w14:paraId="2EE5842A" w14:textId="77777777" w:rsidR="005A4DFD" w:rsidRPr="00997287" w:rsidRDefault="005A4DFD" w:rsidP="0099728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kearifan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religi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kearifan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religi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di Indonesia</w:t>
      </w:r>
      <w:r w:rsidRPr="00997287">
        <w:rPr>
          <w:rFonts w:ascii="Times New Roman" w:hAnsi="Times New Roman" w:cs="Times New Roman"/>
          <w:sz w:val="24"/>
          <w:szCs w:val="24"/>
        </w:rPr>
        <w:t>.</w:t>
      </w:r>
    </w:p>
    <w:p w14:paraId="7BC1D5C0" w14:textId="77777777" w:rsidR="005A4DFD" w:rsidRPr="00997287" w:rsidRDefault="005A4DFD" w:rsidP="0099728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kesejagatan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tanggap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universal).</w:t>
      </w:r>
    </w:p>
    <w:p w14:paraId="74A60DB1" w14:textId="2F262F41" w:rsidR="005A4DFD" w:rsidRPr="00997287" w:rsidRDefault="005A4DFD" w:rsidP="0099728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merangkul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kemungkinankemungkinan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.</w:t>
      </w:r>
    </w:p>
    <w:p w14:paraId="56ED042F" w14:textId="77777777" w:rsidR="005A4DFD" w:rsidRPr="00997287" w:rsidRDefault="005A4DFD" w:rsidP="0099728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Partisipatif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mendayagunakan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.</w:t>
      </w:r>
    </w:p>
    <w:p w14:paraId="6F0CEC60" w14:textId="77777777" w:rsidR="005A4DFD" w:rsidRPr="00997287" w:rsidRDefault="005A4DFD" w:rsidP="0099728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bahanbahan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program,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melingkupi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menaungi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.</w:t>
      </w:r>
    </w:p>
    <w:p w14:paraId="3B5AB45E" w14:textId="77777777" w:rsidR="005A4DFD" w:rsidRPr="00997287" w:rsidRDefault="005A4DFD" w:rsidP="0099728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menopang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.</w:t>
      </w:r>
    </w:p>
    <w:p w14:paraId="47F70E5E" w14:textId="0ACE8EDA" w:rsidR="005A4DFD" w:rsidRPr="00997287" w:rsidRDefault="005A4DFD" w:rsidP="0099728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</w:rPr>
        <w:lastRenderedPageBreak/>
        <w:t>Keakuntabelan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F7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.</w:t>
      </w:r>
    </w:p>
    <w:p w14:paraId="6107C2F4" w14:textId="10A291CF" w:rsidR="002D475E" w:rsidRPr="00997287" w:rsidRDefault="002D475E" w:rsidP="00997287">
      <w:pPr>
        <w:spacing w:line="360" w:lineRule="auto"/>
        <w:ind w:left="21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OJK (2013)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:</w:t>
      </w:r>
    </w:p>
    <w:p w14:paraId="2472F4DA" w14:textId="77777777" w:rsidR="002D475E" w:rsidRPr="00997287" w:rsidRDefault="002D475E" w:rsidP="0099728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287">
        <w:rPr>
          <w:rFonts w:ascii="Times New Roman" w:hAnsi="Times New Roman" w:cs="Times New Roman"/>
          <w:sz w:val="24"/>
          <w:szCs w:val="24"/>
        </w:rPr>
        <w:t xml:space="preserve">Well literate (21,84 %),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.</w:t>
      </w:r>
    </w:p>
    <w:p w14:paraId="47FBE5D3" w14:textId="77777777" w:rsidR="002D475E" w:rsidRPr="00997287" w:rsidRDefault="002D475E" w:rsidP="0099728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287">
        <w:rPr>
          <w:rFonts w:ascii="Times New Roman" w:hAnsi="Times New Roman" w:cs="Times New Roman"/>
          <w:sz w:val="24"/>
          <w:szCs w:val="24"/>
        </w:rPr>
        <w:t xml:space="preserve">Sufficient literate (75,69 %),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.</w:t>
      </w:r>
    </w:p>
    <w:p w14:paraId="548B66BA" w14:textId="77777777" w:rsidR="002D475E" w:rsidRPr="00997287" w:rsidRDefault="002D475E" w:rsidP="0099728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287">
        <w:rPr>
          <w:rFonts w:ascii="Times New Roman" w:hAnsi="Times New Roman" w:cs="Times New Roman"/>
          <w:sz w:val="24"/>
          <w:szCs w:val="24"/>
        </w:rPr>
        <w:t xml:space="preserve">Less literate (2,06 %),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.</w:t>
      </w:r>
    </w:p>
    <w:p w14:paraId="7F1F5377" w14:textId="44824484" w:rsidR="002D475E" w:rsidRPr="00997287" w:rsidRDefault="002D475E" w:rsidP="0099728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287">
        <w:rPr>
          <w:rFonts w:ascii="Times New Roman" w:hAnsi="Times New Roman" w:cs="Times New Roman"/>
          <w:sz w:val="24"/>
          <w:szCs w:val="24"/>
        </w:rPr>
        <w:t xml:space="preserve">Not literate (0,41%),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.</w:t>
      </w:r>
    </w:p>
    <w:p w14:paraId="72C60E90" w14:textId="77777777" w:rsidR="002D475E" w:rsidRPr="00997287" w:rsidRDefault="002D475E" w:rsidP="00997287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97287">
        <w:rPr>
          <w:rFonts w:ascii="Times New Roman" w:hAnsi="Times New Roman" w:cs="Times New Roman"/>
          <w:sz w:val="24"/>
          <w:szCs w:val="24"/>
        </w:rPr>
        <w:t>​</w:t>
      </w:r>
      <w:r w:rsidRPr="009972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: </w:t>
      </w:r>
    </w:p>
    <w:p w14:paraId="60A37087" w14:textId="77777777" w:rsidR="002D475E" w:rsidRPr="00997287" w:rsidRDefault="002D475E" w:rsidP="0099728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less literate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not literate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well literate;</w:t>
      </w:r>
    </w:p>
    <w:p w14:paraId="1CDAA7E3" w14:textId="245B4805" w:rsidR="002D475E" w:rsidRDefault="002D475E" w:rsidP="0099728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.</w:t>
      </w:r>
    </w:p>
    <w:p w14:paraId="5CE6AE8C" w14:textId="1E510A58" w:rsidR="00E84FAF" w:rsidRDefault="00E84FAF" w:rsidP="00E84F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688BE" w14:textId="77777777" w:rsidR="00E84FAF" w:rsidRPr="00E84FAF" w:rsidRDefault="00E84FAF" w:rsidP="00E84F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76DD1E" w14:textId="2D6307E3" w:rsidR="00BB57CE" w:rsidRPr="003D58EF" w:rsidRDefault="00BB57CE" w:rsidP="003D58EF">
      <w:pPr>
        <w:pStyle w:val="Heading4"/>
        <w:numPr>
          <w:ilvl w:val="3"/>
          <w:numId w:val="11"/>
        </w:numPr>
        <w:spacing w:line="360" w:lineRule="auto"/>
        <w:ind w:left="0" w:firstLine="1418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3D58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Penelitian</w:t>
      </w:r>
      <w:proofErr w:type="spellEnd"/>
      <w:r w:rsidRPr="003D58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D58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Terdahulu</w:t>
      </w:r>
      <w:proofErr w:type="spellEnd"/>
    </w:p>
    <w:tbl>
      <w:tblPr>
        <w:tblStyle w:val="TableGrid"/>
        <w:tblW w:w="0" w:type="auto"/>
        <w:tblInd w:w="141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268"/>
        <w:gridCol w:w="2828"/>
      </w:tblGrid>
      <w:tr w:rsidR="003D58EF" w14:paraId="31FC4DBB" w14:textId="77777777" w:rsidTr="003D58EF">
        <w:tc>
          <w:tcPr>
            <w:tcW w:w="1701" w:type="dxa"/>
            <w:tcBorders>
              <w:right w:val="nil"/>
            </w:tcBorders>
            <w:vAlign w:val="center"/>
          </w:tcPr>
          <w:p w14:paraId="1824DA0E" w14:textId="77777777" w:rsidR="003D58EF" w:rsidRPr="003D58EF" w:rsidRDefault="003D58EF" w:rsidP="003D58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Peneliti</w:t>
            </w:r>
            <w:proofErr w:type="spellEnd"/>
          </w:p>
          <w:p w14:paraId="24C7ED80" w14:textId="2F08ED0F" w:rsidR="003D58EF" w:rsidRPr="003D58EF" w:rsidRDefault="003D58EF" w:rsidP="003D58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left w:val="nil"/>
              <w:right w:val="nil"/>
            </w:tcBorders>
            <w:vAlign w:val="center"/>
          </w:tcPr>
          <w:p w14:paraId="24EF0013" w14:textId="13DD8813" w:rsidR="003D58EF" w:rsidRPr="003D58EF" w:rsidRDefault="003D58EF" w:rsidP="003D58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2828" w:type="dxa"/>
            <w:tcBorders>
              <w:left w:val="nil"/>
            </w:tcBorders>
            <w:vAlign w:val="center"/>
          </w:tcPr>
          <w:p w14:paraId="7FE291B2" w14:textId="00D90B7F" w:rsidR="003D58EF" w:rsidRPr="003D58EF" w:rsidRDefault="003D58EF" w:rsidP="003D58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3D58EF" w14:paraId="43C60571" w14:textId="77777777" w:rsidTr="003D58EF">
        <w:tc>
          <w:tcPr>
            <w:tcW w:w="1701" w:type="dxa"/>
          </w:tcPr>
          <w:p w14:paraId="7D07AAA3" w14:textId="77777777" w:rsidR="003D58EF" w:rsidRPr="003D58EF" w:rsidRDefault="003D58EF" w:rsidP="003D58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Febrina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Hutabarat</w:t>
            </w:r>
            <w:proofErr w:type="spellEnd"/>
          </w:p>
          <w:p w14:paraId="373EC059" w14:textId="47EEFA84" w:rsidR="003D58EF" w:rsidRPr="003D58EF" w:rsidRDefault="003D58EF" w:rsidP="003D58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(2018)</w:t>
            </w:r>
          </w:p>
        </w:tc>
        <w:tc>
          <w:tcPr>
            <w:tcW w:w="2268" w:type="dxa"/>
          </w:tcPr>
          <w:p w14:paraId="7D65DFC2" w14:textId="02327FB9" w:rsidR="003D58EF" w:rsidRPr="003D58EF" w:rsidRDefault="003D58EF" w:rsidP="003D58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Literasi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3D58E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Financial Technology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Inklusi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Pada Masyarakat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Jabodetabek</w:t>
            </w:r>
            <w:proofErr w:type="spellEnd"/>
          </w:p>
        </w:tc>
        <w:tc>
          <w:tcPr>
            <w:tcW w:w="2828" w:type="dxa"/>
          </w:tcPr>
          <w:p w14:paraId="484615FA" w14:textId="1D7791B2" w:rsidR="003D58EF" w:rsidRPr="003D58EF" w:rsidRDefault="003D58EF" w:rsidP="003D58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3D58E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technology</w:t>
            </w:r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inklusi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bersama-sama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nyata</w:t>
            </w:r>
            <w:proofErr w:type="spellEnd"/>
          </w:p>
        </w:tc>
      </w:tr>
    </w:tbl>
    <w:p w14:paraId="51C27DDA" w14:textId="77777777" w:rsidR="003D58EF" w:rsidRPr="003D58EF" w:rsidRDefault="003D58EF" w:rsidP="003D58EF"/>
    <w:p w14:paraId="4968D4A5" w14:textId="63B8B265" w:rsidR="00BB57CE" w:rsidRDefault="00BB57CE" w:rsidP="00997287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2.2 </w:t>
      </w:r>
      <w:proofErr w:type="spellStart"/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Metode</w:t>
      </w:r>
      <w:proofErr w:type="spellEnd"/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3FA0B092" w14:textId="574CBFCF" w:rsidR="00E84FAF" w:rsidRPr="004847EA" w:rsidRDefault="00E84FAF" w:rsidP="00E84FAF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4FA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84FAF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E84FA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84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FA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84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FAF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tulisan-tulisan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laporan-laporan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4847EA">
        <w:rPr>
          <w:rFonts w:ascii="Times New Roman" w:hAnsi="Times New Roman" w:cs="Times New Roman"/>
          <w:sz w:val="24"/>
          <w:szCs w:val="24"/>
        </w:rPr>
        <w:t>:</w:t>
      </w:r>
    </w:p>
    <w:p w14:paraId="03DDA39D" w14:textId="366749FB" w:rsidR="00BB57CE" w:rsidRDefault="00BB57CE" w:rsidP="00997287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997287">
        <w:rPr>
          <w:rFonts w:ascii="Times New Roman" w:hAnsi="Times New Roman" w:cs="Times New Roman"/>
          <w:b/>
          <w:bCs/>
          <w:color w:val="auto"/>
        </w:rPr>
        <w:tab/>
        <w:t>2.2.1 Study Literature</w:t>
      </w:r>
    </w:p>
    <w:p w14:paraId="338DFD99" w14:textId="489C1FE6" w:rsidR="004847EA" w:rsidRPr="004847EA" w:rsidRDefault="004847EA" w:rsidP="0079764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47E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847EA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4847EA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484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7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5B91C0" w14:textId="2E5F5591" w:rsidR="00BB57CE" w:rsidRPr="00997287" w:rsidRDefault="00BB57CE" w:rsidP="00997287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997287">
        <w:rPr>
          <w:rFonts w:ascii="Times New Roman" w:hAnsi="Times New Roman" w:cs="Times New Roman"/>
          <w:b/>
          <w:bCs/>
          <w:color w:val="auto"/>
        </w:rPr>
        <w:tab/>
      </w:r>
      <w:r w:rsidR="00940ED3" w:rsidRPr="00997287">
        <w:rPr>
          <w:rFonts w:ascii="Times New Roman" w:hAnsi="Times New Roman" w:cs="Times New Roman"/>
          <w:b/>
          <w:bCs/>
          <w:color w:val="auto"/>
        </w:rPr>
        <w:t>2.2.2 Field Research</w:t>
      </w:r>
    </w:p>
    <w:p w14:paraId="7B6CAF51" w14:textId="3F007F1D" w:rsidR="00940ED3" w:rsidRDefault="00940ED3" w:rsidP="00997287">
      <w:pPr>
        <w:pStyle w:val="Heading4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>2.2.2.1 Questioner</w:t>
      </w:r>
    </w:p>
    <w:p w14:paraId="11195BF9" w14:textId="6C670E4A" w:rsidR="004847EA" w:rsidRPr="004847EA" w:rsidRDefault="004847EA" w:rsidP="00797641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47EA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4847EA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4847EA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sikap-sikap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9152BF" w14:textId="1BE87DE4" w:rsidR="00940ED3" w:rsidRPr="00997287" w:rsidRDefault="00940ED3" w:rsidP="00997287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2.3 </w:t>
      </w:r>
      <w:proofErr w:type="spellStart"/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>Hipotesis</w:t>
      </w:r>
      <w:proofErr w:type="spellEnd"/>
    </w:p>
    <w:p w14:paraId="41326460" w14:textId="555A5123" w:rsidR="00940ED3" w:rsidRPr="00997287" w:rsidRDefault="00940ED3" w:rsidP="00997287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997287">
        <w:rPr>
          <w:rFonts w:ascii="Times New Roman" w:hAnsi="Times New Roman" w:cs="Times New Roman"/>
          <w:b/>
          <w:bCs/>
          <w:color w:val="auto"/>
        </w:rPr>
        <w:tab/>
        <w:t xml:space="preserve">2.3.1 </w:t>
      </w:r>
      <w:proofErr w:type="spellStart"/>
      <w:r w:rsidRPr="00997287">
        <w:rPr>
          <w:rFonts w:ascii="Times New Roman" w:hAnsi="Times New Roman" w:cs="Times New Roman"/>
          <w:b/>
          <w:bCs/>
          <w:color w:val="auto"/>
        </w:rPr>
        <w:t>Pengembangan</w:t>
      </w:r>
      <w:proofErr w:type="spellEnd"/>
      <w:r w:rsidRPr="0099728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97287">
        <w:rPr>
          <w:rFonts w:ascii="Times New Roman" w:hAnsi="Times New Roman" w:cs="Times New Roman"/>
          <w:b/>
          <w:bCs/>
          <w:color w:val="auto"/>
        </w:rPr>
        <w:t>Hipotesis</w:t>
      </w:r>
      <w:proofErr w:type="spellEnd"/>
    </w:p>
    <w:p w14:paraId="04E79538" w14:textId="01C04C3A" w:rsidR="00940ED3" w:rsidRDefault="00940ED3" w:rsidP="00997287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AE343B">
        <w:rPr>
          <w:rFonts w:ascii="Times New Roman" w:hAnsi="Times New Roman" w:cs="Times New Roman"/>
          <w:color w:val="auto"/>
          <w:sz w:val="24"/>
          <w:szCs w:val="24"/>
        </w:rPr>
        <w:t xml:space="preserve">1. </w:t>
      </w:r>
      <w:proofErr w:type="spellStart"/>
      <w:r w:rsidRPr="00AE343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Pengaruh</w:t>
      </w:r>
      <w:proofErr w:type="spellEnd"/>
      <w:r w:rsidRPr="00AE343B">
        <w:rPr>
          <w:rFonts w:ascii="Times New Roman" w:hAnsi="Times New Roman" w:cs="Times New Roman"/>
          <w:color w:val="auto"/>
          <w:sz w:val="24"/>
          <w:szCs w:val="24"/>
        </w:rPr>
        <w:t xml:space="preserve"> Digital Banking </w:t>
      </w:r>
      <w:proofErr w:type="spellStart"/>
      <w:r w:rsidRPr="00AE343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Terhadap</w:t>
      </w:r>
      <w:proofErr w:type="spellEnd"/>
      <w:r w:rsidRPr="00AE343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E343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Inklusi</w:t>
      </w:r>
      <w:proofErr w:type="spellEnd"/>
      <w:r w:rsidRPr="00AE343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E343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Keuangan</w:t>
      </w:r>
      <w:proofErr w:type="spellEnd"/>
    </w:p>
    <w:p w14:paraId="343B21AD" w14:textId="77777777" w:rsidR="00F739C4" w:rsidRDefault="00F739C4" w:rsidP="00D50918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A2B3D">
        <w:rPr>
          <w:rFonts w:ascii="Times New Roman" w:hAnsi="Times New Roman" w:cs="Times New Roman"/>
          <w:sz w:val="24"/>
          <w:szCs w:val="24"/>
        </w:rPr>
        <w:t>.</w:t>
      </w:r>
      <w:r w:rsidRPr="00DA2B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r w:rsidRPr="00DA2B3D">
        <w:rPr>
          <w:rFonts w:ascii="Times New Roman" w:hAnsi="Times New Roman" w:cs="Times New Roman"/>
          <w:i/>
          <w:iCs/>
          <w:sz w:val="24"/>
          <w:szCs w:val="24"/>
        </w:rPr>
        <w:t xml:space="preserve">digital banking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perantaranya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r w:rsidRPr="00DA2B3D">
        <w:rPr>
          <w:rFonts w:ascii="Times New Roman" w:hAnsi="Times New Roman" w:cs="Times New Roman"/>
          <w:i/>
          <w:iCs/>
          <w:sz w:val="24"/>
          <w:szCs w:val="24"/>
        </w:rPr>
        <w:t xml:space="preserve">digital banking </w:t>
      </w:r>
      <w:r w:rsidRPr="00DA2B3D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>.</w:t>
      </w:r>
    </w:p>
    <w:p w14:paraId="49390617" w14:textId="7E80F4C5" w:rsidR="00AE343B" w:rsidRDefault="00D50918" w:rsidP="00D50918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918">
        <w:rPr>
          <w:rFonts w:ascii="Times New Roman" w:hAnsi="Times New Roman" w:cs="Times New Roman"/>
          <w:sz w:val="24"/>
          <w:szCs w:val="24"/>
          <w:shd w:val="clear" w:color="auto" w:fill="FFFFFF"/>
        </w:rPr>
        <w:t>Rahma</w:t>
      </w:r>
      <w:proofErr w:type="spellEnd"/>
      <w:r w:rsidRPr="00D509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0918">
        <w:rPr>
          <w:rFonts w:ascii="Times New Roman" w:hAnsi="Times New Roman" w:cs="Times New Roman"/>
          <w:sz w:val="24"/>
          <w:szCs w:val="24"/>
          <w:shd w:val="clear" w:color="auto" w:fill="FFFFFF"/>
        </w:rPr>
        <w:t>Soediro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(2019) 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digital banking</w:t>
      </w:r>
      <w:r w:rsidR="00AE343B" w:rsidRPr="00D5091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keuangan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terjangkau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pengalaman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pelanggan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mempercepat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keterlibatan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membangun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landasan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—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termasuk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verifikasi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identitas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 agar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="00AE343B" w:rsidRPr="00AE343B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due diligence</w:t>
      </w:r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pelanggan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kolaboratif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berbagi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data, dan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skema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pembayaran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—yang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mengakselerasi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sejumlah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BB6E1B7" w14:textId="52D6467E" w:rsidR="00D50918" w:rsidRPr="009921A6" w:rsidRDefault="009921A6" w:rsidP="009921A6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921A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9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1A6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9921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21A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9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1A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921A6">
        <w:rPr>
          <w:rFonts w:ascii="Times New Roman" w:hAnsi="Times New Roman" w:cs="Times New Roman"/>
          <w:sz w:val="24"/>
          <w:szCs w:val="24"/>
        </w:rPr>
        <w:t xml:space="preserve"> Deloitte (2015), </w:t>
      </w:r>
      <w:proofErr w:type="spellStart"/>
      <w:r w:rsidR="00D50918" w:rsidRPr="009921A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D50918" w:rsidRPr="0099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918" w:rsidRPr="009921A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D50918" w:rsidRPr="009921A6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D50918" w:rsidRPr="009921A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50918" w:rsidRPr="0099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918" w:rsidRPr="009921A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50918" w:rsidRPr="0099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918" w:rsidRPr="009921A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D50918" w:rsidRPr="0099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918" w:rsidRPr="009921A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50918" w:rsidRPr="0099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918" w:rsidRPr="009921A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D50918" w:rsidRPr="0099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918" w:rsidRPr="009921A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D50918" w:rsidRPr="0099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918" w:rsidRPr="009921A6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D50918" w:rsidRPr="0099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918" w:rsidRPr="009921A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50918" w:rsidRPr="0099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918" w:rsidRPr="009921A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50918" w:rsidRPr="0099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918" w:rsidRPr="009921A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D50918" w:rsidRPr="0099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918" w:rsidRPr="009921A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50918" w:rsidRPr="0099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918" w:rsidRPr="009921A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D50918" w:rsidRPr="0099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918" w:rsidRPr="009921A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D50918" w:rsidRPr="009921A6">
        <w:rPr>
          <w:rFonts w:ascii="Times New Roman" w:hAnsi="Times New Roman" w:cs="Times New Roman"/>
          <w:sz w:val="24"/>
          <w:szCs w:val="24"/>
        </w:rPr>
        <w:t>.</w:t>
      </w:r>
    </w:p>
    <w:p w14:paraId="1301F9E4" w14:textId="0DBB84FF" w:rsidR="00D50918" w:rsidRPr="00D50918" w:rsidRDefault="00D50918" w:rsidP="00D509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0B3B9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H1: 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Digital banking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inklusi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keuangan</w:t>
      </w:r>
      <w:proofErr w:type="spellEnd"/>
    </w:p>
    <w:p w14:paraId="5E61D2F4" w14:textId="62885EB5" w:rsidR="00940ED3" w:rsidRPr="00695D00" w:rsidRDefault="00940ED3" w:rsidP="00695D00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E343B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AE343B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695D0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2. </w:t>
      </w:r>
      <w:proofErr w:type="spellStart"/>
      <w:r w:rsidRPr="00695D0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Pengaruh</w:t>
      </w:r>
      <w:proofErr w:type="spellEnd"/>
      <w:r w:rsidRPr="00695D0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Literasi</w:t>
      </w:r>
      <w:proofErr w:type="spellEnd"/>
      <w:r w:rsidRPr="00695D0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Keuangan</w:t>
      </w:r>
      <w:proofErr w:type="spellEnd"/>
      <w:r w:rsidRPr="00695D0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Terhadap</w:t>
      </w:r>
      <w:proofErr w:type="spellEnd"/>
      <w:r w:rsidRPr="00695D0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Inklusi</w:t>
      </w:r>
      <w:proofErr w:type="spellEnd"/>
      <w:r w:rsidRPr="00695D0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Keuangan</w:t>
      </w:r>
      <w:proofErr w:type="spellEnd"/>
    </w:p>
    <w:p w14:paraId="3E523E25" w14:textId="77777777" w:rsidR="000B3B92" w:rsidRDefault="000B3B92" w:rsidP="00695D00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10227DC4" w14:textId="10E19D13" w:rsidR="00D50918" w:rsidRDefault="00695D00" w:rsidP="000B3B92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5D0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95D00">
        <w:rPr>
          <w:rFonts w:ascii="Times New Roman" w:hAnsi="Times New Roman" w:cs="Times New Roman"/>
          <w:sz w:val="24"/>
          <w:szCs w:val="24"/>
        </w:rPr>
        <w:t xml:space="preserve"> OJK (2016)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695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695D00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95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95D00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95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95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95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5D0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695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95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95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95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95D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695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95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95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5D00">
        <w:rPr>
          <w:rFonts w:ascii="Times New Roman" w:hAnsi="Times New Roman" w:cs="Times New Roman"/>
          <w:sz w:val="24"/>
          <w:szCs w:val="24"/>
        </w:rPr>
        <w:t>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B3B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3B92" w:rsidRPr="000B3B9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B3B92" w:rsidRPr="000B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B92" w:rsidRPr="000B3B9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0B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B92" w:rsidRPr="000B3B92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="000B3B92">
        <w:rPr>
          <w:rFonts w:ascii="Times New Roman" w:hAnsi="Times New Roman" w:cs="Times New Roman"/>
          <w:sz w:val="24"/>
          <w:szCs w:val="24"/>
        </w:rPr>
        <w:t>,</w:t>
      </w:r>
      <w:r w:rsidR="000B3B92" w:rsidRPr="000B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B92" w:rsidRPr="000B3B9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B3B92" w:rsidRPr="000B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B92" w:rsidRPr="000B3B9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B3B92" w:rsidRPr="000B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B92" w:rsidRPr="000B3B9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0B3B92" w:rsidRPr="000B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B92" w:rsidRPr="000B3B92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="000B3B92" w:rsidRPr="000B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B92" w:rsidRPr="000B3B9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B3B92">
        <w:rPr>
          <w:rFonts w:ascii="Times New Roman" w:hAnsi="Times New Roman" w:cs="Times New Roman"/>
          <w:sz w:val="24"/>
          <w:szCs w:val="24"/>
        </w:rPr>
        <w:t xml:space="preserve"> </w:t>
      </w:r>
      <w:r w:rsidR="000B3B92" w:rsidRPr="000B3B92">
        <w:rPr>
          <w:rFonts w:ascii="Times New Roman" w:hAnsi="Times New Roman" w:cs="Times New Roman"/>
          <w:sz w:val="24"/>
          <w:szCs w:val="24"/>
        </w:rPr>
        <w:t>yang</w:t>
      </w:r>
      <w:r w:rsidR="000B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B92" w:rsidRPr="000B3B9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0B3B92" w:rsidRPr="000B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B92" w:rsidRPr="000B3B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B3B92" w:rsidRPr="000B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B92" w:rsidRPr="000B3B92">
        <w:rPr>
          <w:rFonts w:ascii="Times New Roman" w:hAnsi="Times New Roman" w:cs="Times New Roman"/>
          <w:sz w:val="24"/>
          <w:szCs w:val="24"/>
        </w:rPr>
        <w:t>berujung</w:t>
      </w:r>
      <w:proofErr w:type="spellEnd"/>
      <w:r w:rsidR="000B3B92" w:rsidRPr="000B3B9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B3B92" w:rsidRPr="000B3B92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="000B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B92" w:rsidRPr="000B3B9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0B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B92" w:rsidRPr="000B3B92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="000B3B92">
        <w:rPr>
          <w:rFonts w:ascii="Times New Roman" w:hAnsi="Times New Roman" w:cs="Times New Roman"/>
          <w:sz w:val="24"/>
          <w:szCs w:val="24"/>
        </w:rPr>
        <w:t>.</w:t>
      </w:r>
    </w:p>
    <w:p w14:paraId="147336F4" w14:textId="467F93C5" w:rsidR="000B3B92" w:rsidRPr="00695D00" w:rsidRDefault="000B3B92" w:rsidP="00C627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H2: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9F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nklusi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9F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euangan</w:t>
      </w:r>
      <w:proofErr w:type="spellEnd"/>
    </w:p>
    <w:p w14:paraId="0D233CD6" w14:textId="4254B235" w:rsidR="00940ED3" w:rsidRDefault="00940ED3" w:rsidP="00997287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997287">
        <w:rPr>
          <w:rFonts w:ascii="Times New Roman" w:hAnsi="Times New Roman" w:cs="Times New Roman"/>
          <w:b/>
          <w:bCs/>
          <w:color w:val="auto"/>
        </w:rPr>
        <w:lastRenderedPageBreak/>
        <w:tab/>
        <w:t xml:space="preserve">2.3.2 </w:t>
      </w:r>
      <w:proofErr w:type="spellStart"/>
      <w:r w:rsidRPr="00997287">
        <w:rPr>
          <w:rFonts w:ascii="Times New Roman" w:hAnsi="Times New Roman" w:cs="Times New Roman"/>
          <w:b/>
          <w:bCs/>
          <w:color w:val="auto"/>
        </w:rPr>
        <w:t>Kerangka</w:t>
      </w:r>
      <w:proofErr w:type="spellEnd"/>
      <w:r w:rsidRPr="0099728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97287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46457731" w14:textId="3CF2D9F6" w:rsidR="00647070" w:rsidRDefault="00647070" w:rsidP="0064707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7070">
        <w:rPr>
          <w:rFonts w:ascii="Times New Roman" w:hAnsi="Times New Roman" w:cs="Times New Roman"/>
          <w:sz w:val="24"/>
          <w:szCs w:val="24"/>
        </w:rPr>
        <w:t>Pene</w:t>
      </w:r>
      <w:r>
        <w:rPr>
          <w:rFonts w:ascii="Times New Roman" w:hAnsi="Times New Roman" w:cs="Times New Roman"/>
          <w:sz w:val="24"/>
          <w:szCs w:val="24"/>
        </w:rPr>
        <w:t>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(X1).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(X2).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(Y).</w:t>
      </w:r>
    </w:p>
    <w:p w14:paraId="0AA78ECE" w14:textId="77777777" w:rsidR="00525DB6" w:rsidRDefault="00D633F0" w:rsidP="00525DB6">
      <w:pPr>
        <w:keepNext/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 wp14:anchorId="32E5C32A" wp14:editId="10C621B8">
            <wp:extent cx="239077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91FA" w14:textId="3530796D" w:rsidR="00D633F0" w:rsidRPr="00525DB6" w:rsidRDefault="00525DB6" w:rsidP="00525DB6">
      <w:pPr>
        <w:pStyle w:val="Caption"/>
        <w:spacing w:line="360" w:lineRule="auto"/>
        <w:ind w:left="720" w:firstLine="72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25D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Gambar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525D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2.</w:t>
      </w:r>
      <w:r w:rsidRPr="00525D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25D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 \* ARABIC \s 1 </w:instrText>
      </w:r>
      <w:r w:rsidRPr="00525D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525DB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525D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525D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Kerangka</w:t>
      </w:r>
      <w:proofErr w:type="spellEnd"/>
      <w:r w:rsidRPr="00525D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525D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Penelitian</w:t>
      </w:r>
      <w:proofErr w:type="spellEnd"/>
    </w:p>
    <w:p w14:paraId="47A0B959" w14:textId="0CE57B24" w:rsidR="0050542C" w:rsidRDefault="0050542C" w:rsidP="00D633F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21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A5215">
        <w:rPr>
          <w:rFonts w:ascii="Times New Roman" w:hAnsi="Times New Roman" w:cs="Times New Roman"/>
          <w:sz w:val="24"/>
          <w:szCs w:val="24"/>
        </w:rPr>
        <w:t>:</w:t>
      </w:r>
    </w:p>
    <w:p w14:paraId="5AB1C6A7" w14:textId="715E8D44" w:rsidR="00DA5215" w:rsidRDefault="00DA5215" w:rsidP="00D633F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X1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</w:p>
    <w:p w14:paraId="535E6CAD" w14:textId="145B8672" w:rsidR="00DA5215" w:rsidRDefault="00DA5215" w:rsidP="00D633F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X2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14:paraId="164181C2" w14:textId="2F648977" w:rsidR="00DA5215" w:rsidRPr="00DA5215" w:rsidRDefault="00DA5215" w:rsidP="00D633F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sectPr w:rsidR="00DA5215" w:rsidRPr="00DA5215" w:rsidSect="007F7573">
      <w:pgSz w:w="11906" w:h="16838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6E58"/>
    <w:multiLevelType w:val="multilevel"/>
    <w:tmpl w:val="9662C9B2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1" w15:restartNumberingAfterBreak="0">
    <w:nsid w:val="02B74D62"/>
    <w:multiLevelType w:val="hybridMultilevel"/>
    <w:tmpl w:val="006A4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D3B7A"/>
    <w:multiLevelType w:val="hybridMultilevel"/>
    <w:tmpl w:val="083E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57244"/>
    <w:multiLevelType w:val="multilevel"/>
    <w:tmpl w:val="C15C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37290"/>
    <w:multiLevelType w:val="hybridMultilevel"/>
    <w:tmpl w:val="8FC4F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03CE2"/>
    <w:multiLevelType w:val="hybridMultilevel"/>
    <w:tmpl w:val="3A16A92C"/>
    <w:lvl w:ilvl="0" w:tplc="93268F76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10352F0"/>
    <w:multiLevelType w:val="hybridMultilevel"/>
    <w:tmpl w:val="21D409B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081221A"/>
    <w:multiLevelType w:val="hybridMultilevel"/>
    <w:tmpl w:val="14487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729D5"/>
    <w:multiLevelType w:val="hybridMultilevel"/>
    <w:tmpl w:val="8B26CBE8"/>
    <w:lvl w:ilvl="0" w:tplc="FB82471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01929"/>
    <w:multiLevelType w:val="multilevel"/>
    <w:tmpl w:val="41DE4D9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D583A36"/>
    <w:multiLevelType w:val="hybridMultilevel"/>
    <w:tmpl w:val="6B0AFE26"/>
    <w:lvl w:ilvl="0" w:tplc="ACCEFA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FAE5EA4"/>
    <w:multiLevelType w:val="multilevel"/>
    <w:tmpl w:val="09289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CC2662"/>
    <w:multiLevelType w:val="hybridMultilevel"/>
    <w:tmpl w:val="730E5A8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3CB8301D"/>
    <w:multiLevelType w:val="multilevel"/>
    <w:tmpl w:val="09C2A5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020B70"/>
    <w:multiLevelType w:val="hybridMultilevel"/>
    <w:tmpl w:val="B8DC8900"/>
    <w:lvl w:ilvl="0" w:tplc="54D85C9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5" w15:restartNumberingAfterBreak="0">
    <w:nsid w:val="3E492AA5"/>
    <w:multiLevelType w:val="multilevel"/>
    <w:tmpl w:val="6EAAE0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6D0324"/>
    <w:multiLevelType w:val="hybridMultilevel"/>
    <w:tmpl w:val="C6C618E4"/>
    <w:lvl w:ilvl="0" w:tplc="6BA06EC0">
      <w:start w:val="1"/>
      <w:numFmt w:val="lowerLetter"/>
      <w:lvlText w:val="%1."/>
      <w:lvlJc w:val="left"/>
      <w:pPr>
        <w:ind w:left="2203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7" w15:restartNumberingAfterBreak="0">
    <w:nsid w:val="403914B3"/>
    <w:multiLevelType w:val="hybridMultilevel"/>
    <w:tmpl w:val="9F42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57EDA"/>
    <w:multiLevelType w:val="multilevel"/>
    <w:tmpl w:val="75A6F3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69C00A4"/>
    <w:multiLevelType w:val="hybridMultilevel"/>
    <w:tmpl w:val="D96A60E6"/>
    <w:lvl w:ilvl="0" w:tplc="1B20DC0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0" w15:restartNumberingAfterBreak="0">
    <w:nsid w:val="48553A51"/>
    <w:multiLevelType w:val="multilevel"/>
    <w:tmpl w:val="E024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726B3E"/>
    <w:multiLevelType w:val="hybridMultilevel"/>
    <w:tmpl w:val="4D8C6EE4"/>
    <w:lvl w:ilvl="0" w:tplc="645EF8A6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2" w15:restartNumberingAfterBreak="0">
    <w:nsid w:val="498005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B51312D"/>
    <w:multiLevelType w:val="hybridMultilevel"/>
    <w:tmpl w:val="165E642C"/>
    <w:lvl w:ilvl="0" w:tplc="409E45E8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8B1584D"/>
    <w:multiLevelType w:val="hybridMultilevel"/>
    <w:tmpl w:val="BE3C97C4"/>
    <w:lvl w:ilvl="0" w:tplc="CC5CA32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59A006B6"/>
    <w:multiLevelType w:val="multilevel"/>
    <w:tmpl w:val="2340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041F8F"/>
    <w:multiLevelType w:val="multilevel"/>
    <w:tmpl w:val="DC8A49E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620348B9"/>
    <w:multiLevelType w:val="multilevel"/>
    <w:tmpl w:val="3580CF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i w:val="0"/>
        <w:i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5000F3"/>
    <w:multiLevelType w:val="multilevel"/>
    <w:tmpl w:val="0D3C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9E62E2"/>
    <w:multiLevelType w:val="multilevel"/>
    <w:tmpl w:val="A1CE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ED65EA"/>
    <w:multiLevelType w:val="multilevel"/>
    <w:tmpl w:val="FA2C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4C1AD4"/>
    <w:multiLevelType w:val="multilevel"/>
    <w:tmpl w:val="F8BA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874C50"/>
    <w:multiLevelType w:val="hybridMultilevel"/>
    <w:tmpl w:val="0AD045DC"/>
    <w:lvl w:ilvl="0" w:tplc="548E2000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789A7FF4"/>
    <w:multiLevelType w:val="hybridMultilevel"/>
    <w:tmpl w:val="7082B9F8"/>
    <w:lvl w:ilvl="0" w:tplc="DB24954E">
      <w:start w:val="1"/>
      <w:numFmt w:val="decimal"/>
      <w:lvlText w:val="%1."/>
      <w:lvlJc w:val="left"/>
      <w:pPr>
        <w:ind w:left="25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7"/>
  </w:num>
  <w:num w:numId="3">
    <w:abstractNumId w:val="22"/>
  </w:num>
  <w:num w:numId="4">
    <w:abstractNumId w:val="4"/>
  </w:num>
  <w:num w:numId="5">
    <w:abstractNumId w:val="9"/>
  </w:num>
  <w:num w:numId="6">
    <w:abstractNumId w:val="2"/>
  </w:num>
  <w:num w:numId="7">
    <w:abstractNumId w:val="18"/>
  </w:num>
  <w:num w:numId="8">
    <w:abstractNumId w:val="11"/>
  </w:num>
  <w:num w:numId="9">
    <w:abstractNumId w:val="31"/>
  </w:num>
  <w:num w:numId="10">
    <w:abstractNumId w:val="24"/>
  </w:num>
  <w:num w:numId="11">
    <w:abstractNumId w:val="0"/>
  </w:num>
  <w:num w:numId="12">
    <w:abstractNumId w:val="5"/>
  </w:num>
  <w:num w:numId="13">
    <w:abstractNumId w:val="20"/>
  </w:num>
  <w:num w:numId="14">
    <w:abstractNumId w:val="26"/>
  </w:num>
  <w:num w:numId="15">
    <w:abstractNumId w:val="30"/>
  </w:num>
  <w:num w:numId="16">
    <w:abstractNumId w:val="3"/>
  </w:num>
  <w:num w:numId="17">
    <w:abstractNumId w:val="25"/>
  </w:num>
  <w:num w:numId="18">
    <w:abstractNumId w:val="10"/>
  </w:num>
  <w:num w:numId="19">
    <w:abstractNumId w:val="16"/>
  </w:num>
  <w:num w:numId="20">
    <w:abstractNumId w:val="14"/>
  </w:num>
  <w:num w:numId="21">
    <w:abstractNumId w:val="19"/>
  </w:num>
  <w:num w:numId="22">
    <w:abstractNumId w:val="32"/>
  </w:num>
  <w:num w:numId="23">
    <w:abstractNumId w:val="23"/>
  </w:num>
  <w:num w:numId="24">
    <w:abstractNumId w:val="12"/>
  </w:num>
  <w:num w:numId="25">
    <w:abstractNumId w:val="29"/>
  </w:num>
  <w:num w:numId="26">
    <w:abstractNumId w:val="21"/>
  </w:num>
  <w:num w:numId="27">
    <w:abstractNumId w:val="8"/>
  </w:num>
  <w:num w:numId="28">
    <w:abstractNumId w:val="33"/>
  </w:num>
  <w:num w:numId="29">
    <w:abstractNumId w:val="6"/>
  </w:num>
  <w:num w:numId="30">
    <w:abstractNumId w:val="17"/>
  </w:num>
  <w:num w:numId="31">
    <w:abstractNumId w:val="13"/>
  </w:num>
  <w:num w:numId="32">
    <w:abstractNumId w:val="27"/>
  </w:num>
  <w:num w:numId="33">
    <w:abstractNumId w:val="15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36"/>
    <w:rsid w:val="00077C70"/>
    <w:rsid w:val="000A7006"/>
    <w:rsid w:val="000B3B92"/>
    <w:rsid w:val="0010337C"/>
    <w:rsid w:val="001879F2"/>
    <w:rsid w:val="001F0B36"/>
    <w:rsid w:val="002514D9"/>
    <w:rsid w:val="002B54CE"/>
    <w:rsid w:val="002B69C3"/>
    <w:rsid w:val="002D475E"/>
    <w:rsid w:val="003A2287"/>
    <w:rsid w:val="003A57AD"/>
    <w:rsid w:val="003D58EF"/>
    <w:rsid w:val="004764CA"/>
    <w:rsid w:val="004847EA"/>
    <w:rsid w:val="004A4D7A"/>
    <w:rsid w:val="004C0226"/>
    <w:rsid w:val="0050542C"/>
    <w:rsid w:val="00511768"/>
    <w:rsid w:val="00525DB6"/>
    <w:rsid w:val="005A4DFD"/>
    <w:rsid w:val="00647070"/>
    <w:rsid w:val="00670869"/>
    <w:rsid w:val="00695D00"/>
    <w:rsid w:val="006F4148"/>
    <w:rsid w:val="00785004"/>
    <w:rsid w:val="00797641"/>
    <w:rsid w:val="007F7573"/>
    <w:rsid w:val="008523CF"/>
    <w:rsid w:val="00926821"/>
    <w:rsid w:val="00940ED3"/>
    <w:rsid w:val="00956123"/>
    <w:rsid w:val="009921A6"/>
    <w:rsid w:val="00997287"/>
    <w:rsid w:val="00A05D31"/>
    <w:rsid w:val="00A106E0"/>
    <w:rsid w:val="00AA54CD"/>
    <w:rsid w:val="00AA66F2"/>
    <w:rsid w:val="00AE343B"/>
    <w:rsid w:val="00B1785D"/>
    <w:rsid w:val="00B80D92"/>
    <w:rsid w:val="00BB57CE"/>
    <w:rsid w:val="00C627E9"/>
    <w:rsid w:val="00D07632"/>
    <w:rsid w:val="00D31CA2"/>
    <w:rsid w:val="00D50918"/>
    <w:rsid w:val="00D633F0"/>
    <w:rsid w:val="00DA5215"/>
    <w:rsid w:val="00DC680A"/>
    <w:rsid w:val="00E84FAF"/>
    <w:rsid w:val="00F72179"/>
    <w:rsid w:val="00F739C4"/>
    <w:rsid w:val="00F7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EE33"/>
  <w15:chartTrackingRefBased/>
  <w15:docId w15:val="{38B744AC-9C95-4BCC-A88A-3A3FB517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6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6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9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4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41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6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6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D4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D475E"/>
    <w:rPr>
      <w:i/>
      <w:iCs/>
    </w:rPr>
  </w:style>
  <w:style w:type="character" w:styleId="Strong">
    <w:name w:val="Strong"/>
    <w:basedOn w:val="DefaultParagraphFont"/>
    <w:uiPriority w:val="22"/>
    <w:qFormat/>
    <w:rsid w:val="00926821"/>
    <w:rPr>
      <w:b/>
      <w:bCs/>
    </w:rPr>
  </w:style>
  <w:style w:type="table" w:styleId="TableGrid">
    <w:name w:val="Table Grid"/>
    <w:basedOn w:val="TableNormal"/>
    <w:uiPriority w:val="39"/>
    <w:rsid w:val="003D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054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8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21EFC-B9E7-415C-BA00-056ACBD80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9</Pages>
  <Words>1817</Words>
  <Characters>10360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41</cp:revision>
  <dcterms:created xsi:type="dcterms:W3CDTF">2019-12-22T15:45:00Z</dcterms:created>
  <dcterms:modified xsi:type="dcterms:W3CDTF">2019-12-29T15:42:00Z</dcterms:modified>
</cp:coreProperties>
</file>