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18DD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ANALISIS PEN</w:t>
      </w:r>
      <w:bookmarkStart w:id="0" w:name="_GoBack"/>
      <w:bookmarkEnd w:id="0"/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GARUH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DIGITAL BANKING DAN LITERASI KEUANGAN </w:t>
      </w:r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TERHADAP </w:t>
      </w:r>
      <w:r>
        <w:rPr>
          <w:rFonts w:ascii="Times New Roman" w:hAnsi="Times New Roman" w:cs="Times New Roman"/>
          <w:b/>
          <w:bCs/>
          <w:sz w:val="24"/>
          <w:szCs w:val="24"/>
        </w:rPr>
        <w:t>INKLUSI KEUANGAN DAERAH JABODETABEK</w:t>
      </w:r>
    </w:p>
    <w:p w14:paraId="5B89C1F5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AE97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C7D8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5B0FA65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E82DA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E8DBB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31B0230B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D1AE3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51A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Mega Permata Sari – 2001560156</w:t>
      </w:r>
    </w:p>
    <w:p w14:paraId="17724FA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A22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460C5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16504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&lt;&lt;Logo </w:t>
      </w:r>
      <w:proofErr w:type="spellStart"/>
      <w:r w:rsidRPr="006920E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6920E1"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234D499C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DA29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3482F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F7F0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1AF862E5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45F6A137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0E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2193936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A706B" w14:textId="77777777" w:rsidR="00C21E80" w:rsidRPr="006920E1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793D6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20E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6920E1">
        <w:rPr>
          <w:rFonts w:ascii="Times New Roman" w:hAnsi="Times New Roman" w:cs="Times New Roman"/>
          <w:b/>
          <w:bCs/>
          <w:sz w:val="24"/>
          <w:szCs w:val="24"/>
        </w:rPr>
        <w:t xml:space="preserve"> Bina Nusantara Jakarta</w:t>
      </w:r>
    </w:p>
    <w:p w14:paraId="0CBF3FDA" w14:textId="77777777" w:rsidR="00C21E80" w:rsidRDefault="00C21E80" w:rsidP="00C21E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404D9763" w14:textId="77777777" w:rsidR="0010337C" w:rsidRDefault="0010337C" w:rsidP="00C21E80">
      <w:pPr>
        <w:spacing w:line="360" w:lineRule="auto"/>
      </w:pPr>
    </w:p>
    <w:sectPr w:rsidR="0010337C" w:rsidSect="00C21E80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80"/>
    <w:rsid w:val="0010337C"/>
    <w:rsid w:val="00AA54CD"/>
    <w:rsid w:val="00C2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A65"/>
  <w15:chartTrackingRefBased/>
  <w15:docId w15:val="{5AE849AA-B59F-4ED4-B31F-0D59F90F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2019-12-22T15:41:00Z</dcterms:created>
  <dcterms:modified xsi:type="dcterms:W3CDTF">2019-12-22T15:42:00Z</dcterms:modified>
</cp:coreProperties>
</file>