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18DD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ANALISIS PENGARUH DIGITAL BANKING DAN LITERASI KEUANGAN TERHADAP INKLUSI KEUANGAN DAERAH JABODETABEK</w:t>
      </w:r>
    </w:p>
    <w:p w14:paraId="5B89C1F5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2AE97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0C7D8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PROPOSAL SKRIPSI</w:t>
      </w:r>
    </w:p>
    <w:p w14:paraId="5B0FA65F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E82DA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E8DBB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Oleh</w:t>
      </w:r>
    </w:p>
    <w:p w14:paraId="31B0230B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D1AE3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51A7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Mega Permata Sari – 2001560156</w:t>
      </w:r>
    </w:p>
    <w:p w14:paraId="17724FAF" w14:textId="7A52DA19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7A227" w14:textId="09849518" w:rsidR="00C21E80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6CA3D" wp14:editId="55D55431">
            <wp:simplePos x="0" y="0"/>
            <wp:positionH relativeFrom="margin">
              <wp:posOffset>1912620</wp:posOffset>
            </wp:positionH>
            <wp:positionV relativeFrom="paragraph">
              <wp:posOffset>142240</wp:posOffset>
            </wp:positionV>
            <wp:extent cx="1440000" cy="861261"/>
            <wp:effectExtent l="0" t="0" r="8255" b="0"/>
            <wp:wrapThrough wrapText="bothSides">
              <wp:wrapPolygon edited="0">
                <wp:start x="4288" y="0"/>
                <wp:lineTo x="1715" y="7646"/>
                <wp:lineTo x="0" y="7646"/>
                <wp:lineTo x="0" y="10035"/>
                <wp:lineTo x="4288" y="15292"/>
                <wp:lineTo x="4288" y="16726"/>
                <wp:lineTo x="5717" y="21027"/>
                <wp:lineTo x="6288" y="21027"/>
                <wp:lineTo x="21438" y="21027"/>
                <wp:lineTo x="21438" y="18637"/>
                <wp:lineTo x="17436" y="15292"/>
                <wp:lineTo x="19723" y="8602"/>
                <wp:lineTo x="18865" y="7646"/>
                <wp:lineTo x="12577" y="7168"/>
                <wp:lineTo x="11719" y="2867"/>
                <wp:lineTo x="6003" y="0"/>
                <wp:lineTo x="4288" y="0"/>
              </wp:wrapPolygon>
            </wp:wrapThrough>
            <wp:docPr id="22" name="Gambar 2" descr="C:\Users\natha\Downloads\Logo B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\Downloads\Logo Bin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86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460C5" w14:textId="1E003882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D499C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DA296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3482F" w14:textId="02944B9D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5741F" w14:textId="4DE47193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5FA9B" w14:textId="44CBDCDB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19133" w14:textId="77777777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94F7F0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Finance Program</w:t>
      </w:r>
    </w:p>
    <w:p w14:paraId="1AF862E5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Accounting Study Program</w:t>
      </w:r>
    </w:p>
    <w:p w14:paraId="358A706B" w14:textId="740BC512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Faculty of Economics and Communication</w:t>
      </w:r>
    </w:p>
    <w:p w14:paraId="1B0793D6" w14:textId="77777777" w:rsidR="00C21E80" w:rsidRP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057F41">
        <w:rPr>
          <w:rFonts w:ascii="Times New Roman" w:hAnsi="Times New Roman" w:cs="Times New Roman"/>
          <w:b/>
          <w:bCs/>
          <w:sz w:val="24"/>
          <w:szCs w:val="24"/>
        </w:rPr>
        <w:t xml:space="preserve"> Bina Nusantara Jakarta</w:t>
      </w:r>
    </w:p>
    <w:p w14:paraId="1D9AC3BD" w14:textId="0EDADA0E" w:rsidR="00057F41" w:rsidRDefault="00C21E80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14:paraId="137DCA64" w14:textId="28DF7E40" w:rsidR="00057F41" w:rsidRPr="00755999" w:rsidRDefault="00057F41" w:rsidP="0075599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8601461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454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DC44E6" w14:textId="426A3E88" w:rsidR="00755999" w:rsidRPr="00755999" w:rsidRDefault="00755999" w:rsidP="00755999">
          <w:pPr>
            <w:pStyle w:val="TOCHeading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01461" w:history="1">
            <w:r w:rsidRPr="0075599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DAFTAR ISI</w:t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……………………</w:t>
            </w:r>
            <w:r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.</w:t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…………………………………………………...</w:t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_Toc28601461 \h </w:instrText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ii</w:t>
            </w:r>
            <w:r w:rsidRPr="00755999">
              <w:rPr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74C04F2" w14:textId="598499AE" w:rsidR="00755999" w:rsidRPr="00755999" w:rsidRDefault="005F65BD" w:rsidP="00755999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2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 PENDAHULUAN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_Toc28601462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668623" w14:textId="3E51F41F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3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 Penilitian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_Toc28601463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4DED5" w14:textId="04D47924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4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Identifikasi Masalah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_Toc28601464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55D5B" w14:textId="74BF8A97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5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Ruang Lingkup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_Toc28601465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EB4CF0" w14:textId="52370621" w:rsidR="00755999" w:rsidRPr="00755999" w:rsidRDefault="005F65BD" w:rsidP="00755999">
          <w:pPr>
            <w:pStyle w:val="TOC2"/>
            <w:tabs>
              <w:tab w:val="left" w:pos="880"/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6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="004B2EA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dan Manfaat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_Toc28601466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F38E11" w14:textId="5B925A3C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7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Sistematika Penulisan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_Toc28601467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E1E2F" w14:textId="6B6EB7AC" w:rsidR="00755999" w:rsidRPr="00755999" w:rsidRDefault="005F65BD" w:rsidP="00755999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8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 LANDASAN TEORI DAN PENGEMBANGAN HIPOTESIS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_Toc28601468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F8BC27" w14:textId="57DCB947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69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Landasan Teori dan Literatur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_Toc28601469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56FE28" w14:textId="6D2D1224" w:rsidR="00755999" w:rsidRPr="00755999" w:rsidRDefault="005F65BD" w:rsidP="00755999">
          <w:pPr>
            <w:pStyle w:val="TOC3"/>
            <w:tabs>
              <w:tab w:val="left" w:pos="1320"/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0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755999" w:rsidRPr="0075599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Inklusi Keuangan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_Toc28601470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612424" w14:textId="2F4C50CC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1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2.1.2 Faktor-faktor yang Mempengaruhi Inklusi Keuangan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_Toc28601471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B44A3B" w14:textId="06C26098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2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Metode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_Toc28601472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0620C" w14:textId="465E861A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3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2.2.1 Study Literature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_Toc28601473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0E2B12" w14:textId="4C4038D2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4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2.2.2 Field Research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_Toc28601474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971AAB" w14:textId="4820B3F7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5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Analisis Hipotesis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_Toc28601475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6F6C0" w14:textId="68597408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6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 Pengembangan Hipotesis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_Toc28601476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4FB6B" w14:textId="4630E964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7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 Kerangka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_Toc28601477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DFF47" w14:textId="35614EB1" w:rsidR="00755999" w:rsidRPr="00755999" w:rsidRDefault="005F65BD" w:rsidP="00755999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8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 OBJEK DAN METODE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_Toc28601478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7249A" w14:textId="1D4B86F7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79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Objek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_Toc28601479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0411AC" w14:textId="2EB4B852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0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Desain Penelitian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_Toc28601480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6B246" w14:textId="47AD0148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1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3.2.1 Jenis dan Sumber Data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_Toc28601481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20982" w14:textId="54D541FA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2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3.2.2 Penentuan Jumlah Sampel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_Toc28601482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3B784" w14:textId="430A546A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3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3.2.3 Metode Pengumpulan Sampel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_Toc28601483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3FD06" w14:textId="2D7461B6" w:rsidR="00755999" w:rsidRPr="00755999" w:rsidRDefault="005F65BD" w:rsidP="00755999">
          <w:pPr>
            <w:pStyle w:val="TOC3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4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3.2.4 Metode Analisis Data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_Toc28601484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AEA041" w14:textId="41F933CB" w:rsidR="00755999" w:rsidRPr="00755999" w:rsidRDefault="005F65BD" w:rsidP="00755999">
          <w:pPr>
            <w:pStyle w:val="TOC2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5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Rencana Waktu, Anggaran Biaya dan Sumber Data yang Dibutuhkan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_Toc28601485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6A59E" w14:textId="7DEED7C9" w:rsidR="00755999" w:rsidRPr="00755999" w:rsidRDefault="005F65BD" w:rsidP="00755999">
          <w:pPr>
            <w:pStyle w:val="TOC1"/>
            <w:tabs>
              <w:tab w:val="right" w:leader="dot" w:pos="821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8601486" w:history="1">
            <w:r w:rsidR="00755999" w:rsidRPr="0075599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REFERENSI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_Toc28601486 \h </w:instrTex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755999" w:rsidRPr="007559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4C719" w14:textId="2497D6C0" w:rsidR="00057F41" w:rsidRPr="00057F41" w:rsidRDefault="00755999" w:rsidP="00057F41">
          <w:pPr>
            <w:sectPr w:rsidR="00057F41" w:rsidRPr="00057F41" w:rsidSect="00A251CC">
              <w:headerReference w:type="even" r:id="rId9"/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6" w:h="16838" w:code="9"/>
              <w:pgMar w:top="1411" w:right="1411" w:bottom="1411" w:left="2275" w:header="720" w:footer="720" w:gutter="0"/>
              <w:pgNumType w:fmt="lowerRoman" w:start="1"/>
              <w:cols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22810C" w14:textId="114407E9" w:rsidR="00057F41" w:rsidRPr="00057F4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8601462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1</w:t>
      </w:r>
      <w:r w:rsidR="00755999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1"/>
    </w:p>
    <w:p w14:paraId="06BD87B3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8601463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Penilitian</w:t>
      </w:r>
      <w:bookmarkEnd w:id="2"/>
      <w:proofErr w:type="spellEnd"/>
    </w:p>
    <w:p w14:paraId="300B8571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penting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-hari.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bank pun mulai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adanya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muncullah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lagi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adanya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057F41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agar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450B085B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OJK (2016)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atau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dan/atau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milik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calon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dan/atau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Bank,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strategi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bisnis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mengarah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memadai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antaranya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penyesuaian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operasionalnya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harus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mempertimbangkan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risiko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lajunya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munculnya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inovasi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pesaing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baru,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ancaman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keamanan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siber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itu bank harus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menyesuaikan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target pasar agar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kalangan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Bank juga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mengandalkan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turut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prasarana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infrastruktur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disiapkan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dipertimbangkan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34C6FC3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PW</w:t>
      </w:r>
      <w:r w:rsidRPr="00057F41">
        <w:rPr>
          <w:rFonts w:ascii="Times New Roman" w:hAnsi="Times New Roman" w:cs="Times New Roman"/>
          <w:sz w:val="24"/>
          <w:szCs w:val="24"/>
        </w:rPr>
        <w:t xml:space="preserve">C (2018) baru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75%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bankir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lastRenderedPageBreak/>
        <w:t>cabang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turun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34%,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naik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35%.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berlomba-lomba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ATM agar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nasabahnya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canggihnya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ATM.</w:t>
      </w:r>
    </w:p>
    <w:p w14:paraId="36686A7A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adanya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 pun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e-commerce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Pr="00057F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pintar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transaksinya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EC98D9B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Hal penting lain yang ikut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 bisa dibilang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masih sering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masih minim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keterampilannya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inflasi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754A517E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penuh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lastRenderedPageBreak/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Salim (2014),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dimana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adanya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534FA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itu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057F4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Indonesia ke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E2B5F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8601464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Masalah</w:t>
      </w:r>
      <w:bookmarkEnd w:id="3"/>
    </w:p>
    <w:p w14:paraId="4A82991A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0F386020" w14:textId="77777777" w:rsidR="00057F41" w:rsidRPr="00057F41" w:rsidRDefault="00057F41" w:rsidP="00057F41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?</w:t>
      </w:r>
    </w:p>
    <w:p w14:paraId="00CC71C3" w14:textId="77777777" w:rsidR="00057F41" w:rsidRPr="00057F41" w:rsidRDefault="00057F41" w:rsidP="00057F41">
      <w:pPr>
        <w:pStyle w:val="ListParagraph"/>
        <w:numPr>
          <w:ilvl w:val="0"/>
          <w:numId w:val="1"/>
        </w:numPr>
        <w:spacing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?</w:t>
      </w:r>
    </w:p>
    <w:p w14:paraId="3E34F9EA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8601465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1.3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Ruang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4"/>
      <w:proofErr w:type="spellEnd"/>
    </w:p>
    <w:p w14:paraId="11646911" w14:textId="77777777" w:rsidR="00057F41" w:rsidRPr="00057F41" w:rsidRDefault="00057F41" w:rsidP="00057F41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41F750F" w14:textId="77777777" w:rsidR="00057F41" w:rsidRPr="00057F41" w:rsidRDefault="00057F41" w:rsidP="00057F41">
      <w:pPr>
        <w:pStyle w:val="Heading2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8601466"/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5"/>
      <w:proofErr w:type="spellEnd"/>
    </w:p>
    <w:p w14:paraId="55DAB004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419F750D" w14:textId="77777777" w:rsidR="00057F41" w:rsidRPr="00057F41" w:rsidRDefault="00057F41" w:rsidP="00057F4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1D5A4745" w14:textId="77777777" w:rsidR="00057F41" w:rsidRPr="00057F41" w:rsidRDefault="00057F41" w:rsidP="00057F41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B6CE9D9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0C540420" w14:textId="77777777" w:rsidR="00057F41" w:rsidRPr="00057F4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</w:t>
      </w:r>
      <w:proofErr w:type="spellEnd"/>
    </w:p>
    <w:p w14:paraId="0E2EEE62" w14:textId="77777777" w:rsidR="00057F41" w:rsidRPr="00057F4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397BE644" w14:textId="77777777" w:rsidR="00057F41" w:rsidRPr="00057F4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613D8F2D" w14:textId="77777777" w:rsidR="00057F41" w:rsidRPr="00057F4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lastRenderedPageBreak/>
        <w:t xml:space="preserve">Masyarakat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</w:p>
    <w:p w14:paraId="11AA8E56" w14:textId="77777777" w:rsidR="00057F41" w:rsidRPr="00057F4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bahan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banyak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7233CAD" w14:textId="77777777" w:rsidR="00057F41" w:rsidRPr="00057F41" w:rsidRDefault="00057F41" w:rsidP="00057F41">
      <w:pPr>
        <w:pStyle w:val="ListParagraph"/>
        <w:numPr>
          <w:ilvl w:val="0"/>
          <w:numId w:val="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Lembaga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)</w:t>
      </w:r>
    </w:p>
    <w:p w14:paraId="7DDBA4F7" w14:textId="77777777" w:rsidR="00057F41" w:rsidRPr="00057F4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bahan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6E549C0D" w14:textId="77777777" w:rsidR="00057F41" w:rsidRPr="00057F41" w:rsidRDefault="00057F41" w:rsidP="00057F41">
      <w:pPr>
        <w:pStyle w:val="ListParagraph"/>
        <w:numPr>
          <w:ilvl w:val="1"/>
          <w:numId w:val="3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bahan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saran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3EF39689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8601467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bookmarkEnd w:id="6"/>
      <w:proofErr w:type="spellEnd"/>
    </w:p>
    <w:p w14:paraId="21E2CA55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1478DA13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BAB 1 PENDAHULUAN</w:t>
      </w:r>
    </w:p>
    <w:p w14:paraId="7B52D168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14:paraId="33388010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BAB 2 LANDASAN TEORI</w:t>
      </w:r>
    </w:p>
    <w:p w14:paraId="1995B444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1F314F00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BAB 3 OBJEK DAN METODE PENELITIAN</w:t>
      </w:r>
    </w:p>
    <w:p w14:paraId="41B0729D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929D30B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15983" w14:textId="77777777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57F41" w:rsidRPr="00057F41" w:rsidSect="00755999">
          <w:headerReference w:type="even" r:id="rId14"/>
          <w:headerReference w:type="default" r:id="rId15"/>
          <w:footerReference w:type="default" r:id="rId16"/>
          <w:headerReference w:type="first" r:id="rId17"/>
          <w:pgSz w:w="11906" w:h="16838" w:code="9"/>
          <w:pgMar w:top="1418" w:right="1418" w:bottom="1418" w:left="2268" w:header="720" w:footer="720" w:gutter="0"/>
          <w:pgNumType w:start="1"/>
          <w:cols w:space="720"/>
          <w:titlePg/>
          <w:docGrid w:linePitch="360"/>
        </w:sectPr>
      </w:pPr>
    </w:p>
    <w:p w14:paraId="081BEA0D" w14:textId="10FB52AF" w:rsidR="00057F41" w:rsidRPr="00057F4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8601468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2</w:t>
      </w:r>
      <w:r w:rsidR="00755999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 DAN PENGEMBANGAN HIPOTESIS</w:t>
      </w:r>
      <w:bookmarkEnd w:id="7"/>
    </w:p>
    <w:p w14:paraId="31EEB3E3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8601469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Teori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</w:t>
      </w:r>
      <w:bookmarkEnd w:id="8"/>
      <w:proofErr w:type="spellEnd"/>
    </w:p>
    <w:p w14:paraId="2D77EA07" w14:textId="77777777" w:rsidR="00057F41" w:rsidRPr="00057F41" w:rsidRDefault="00057F41" w:rsidP="00057F41">
      <w:pPr>
        <w:pStyle w:val="Heading3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28601470"/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Pengertian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Keuangan</w:t>
      </w:r>
      <w:bookmarkEnd w:id="9"/>
      <w:proofErr w:type="spellEnd"/>
    </w:p>
    <w:p w14:paraId="6C59CADC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OJK (2014)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penuh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biayanya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penghormatan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penuh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harkat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martabatnya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4BC83C3A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5BBB62E6" w14:textId="77777777" w:rsidR="00057F41" w:rsidRPr="00057F41" w:rsidRDefault="00057F41" w:rsidP="00057F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3ECDE5A0" w14:textId="77777777" w:rsidR="00057F41" w:rsidRPr="00057F41" w:rsidRDefault="00057F41" w:rsidP="00057F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</w:p>
    <w:p w14:paraId="7BEEFD51" w14:textId="77777777" w:rsidR="00057F41" w:rsidRPr="00057F41" w:rsidRDefault="00057F41" w:rsidP="00057F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ekspansi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</w:p>
    <w:p w14:paraId="1A791699" w14:textId="77777777" w:rsidR="00057F41" w:rsidRPr="00057F41" w:rsidRDefault="00057F41" w:rsidP="00057F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Menyumbangkan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pasar baru bagi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</w:p>
    <w:p w14:paraId="32649CF6" w14:textId="77777777" w:rsidR="00057F41" w:rsidRPr="00057F41" w:rsidRDefault="00057F41" w:rsidP="00057F4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</w:p>
    <w:p w14:paraId="58E657BE" w14:textId="77777777" w:rsidR="00057F41" w:rsidRPr="00057F41" w:rsidRDefault="00057F41" w:rsidP="00057F41">
      <w:pPr>
        <w:shd w:val="clear" w:color="auto" w:fill="FFFFFF"/>
        <w:spacing w:after="225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 Indonesia (2017),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inklusif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dikelompokkan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dimensi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0EDB7" w14:textId="77777777" w:rsidR="00057F41" w:rsidRPr="00057F41" w:rsidRDefault="00057F41" w:rsidP="00057F41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keterjangkauan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6C4937" w14:textId="77777777" w:rsidR="00057F41" w:rsidRPr="00057F41" w:rsidRDefault="00057F41" w:rsidP="00057F41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 per 100.000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A49C" w14:textId="77777777" w:rsidR="00057F41" w:rsidRPr="00057F41" w:rsidRDefault="00057F41" w:rsidP="00057F41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ATM/EDC/Mobile POS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54E882" w14:textId="77777777" w:rsidR="00057F41" w:rsidRPr="00057F41" w:rsidRDefault="00057F41" w:rsidP="00057F41">
      <w:pPr>
        <w:pStyle w:val="ListParagraph"/>
        <w:numPr>
          <w:ilvl w:val="0"/>
          <w:numId w:val="10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per 100.000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seratus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8BC62" w14:textId="77777777" w:rsidR="00057F41" w:rsidRPr="00057F41" w:rsidRDefault="00057F41" w:rsidP="00057F41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aktual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0FF0CA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tabungan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55284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lastRenderedPageBreak/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B89B1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terdaftar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(registered) pada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Digital (LKD).</w:t>
      </w:r>
    </w:p>
    <w:p w14:paraId="6B2E08F7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UMKM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formal.</w:t>
      </w:r>
    </w:p>
    <w:p w14:paraId="601AD860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UMKM di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formal per 1.000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dewasa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BC367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bersertifikat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408CD" w14:textId="77777777" w:rsidR="00057F41" w:rsidRPr="00057F41" w:rsidRDefault="00057F41" w:rsidP="00057F41">
      <w:pPr>
        <w:pStyle w:val="ListParagraph"/>
        <w:numPr>
          <w:ilvl w:val="0"/>
          <w:numId w:val="11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disalurkan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nontunai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29E20" w14:textId="77777777" w:rsidR="00057F41" w:rsidRPr="00057F41" w:rsidRDefault="00057F41" w:rsidP="00057F41">
      <w:pPr>
        <w:pStyle w:val="ListParagraph"/>
        <w:numPr>
          <w:ilvl w:val="0"/>
          <w:numId w:val="9"/>
        </w:numPr>
        <w:shd w:val="clear" w:color="auto" w:fill="FFFFFF"/>
        <w:spacing w:after="225" w:line="360" w:lineRule="auto"/>
        <w:ind w:left="184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pemenuhan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Indikator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392E89" w14:textId="77777777" w:rsidR="00057F41" w:rsidRPr="00057F41" w:rsidRDefault="00057F41" w:rsidP="00057F41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AE960" w14:textId="77777777" w:rsidR="00057F41" w:rsidRPr="00057F41" w:rsidRDefault="00057F41" w:rsidP="00057F41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7FD23" w14:textId="77777777" w:rsidR="00057F41" w:rsidRPr="00057F41" w:rsidRDefault="00057F41" w:rsidP="00057F41">
      <w:pPr>
        <w:pStyle w:val="ListParagraph"/>
        <w:numPr>
          <w:ilvl w:val="0"/>
          <w:numId w:val="12"/>
        </w:numPr>
        <w:shd w:val="clear" w:color="auto" w:fill="FFFFFF"/>
        <w:spacing w:after="2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pengaduan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D70BD2" w14:textId="77777777" w:rsidR="00057F41" w:rsidRPr="00057F41" w:rsidRDefault="00057F41" w:rsidP="00057F41">
      <w:pPr>
        <w:pStyle w:val="Heading3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auto"/>
        </w:rPr>
      </w:pPr>
      <w:bookmarkStart w:id="10" w:name="_Toc28601471"/>
      <w:r w:rsidRPr="00057F41">
        <w:rPr>
          <w:rFonts w:ascii="Times New Roman" w:hAnsi="Times New Roman" w:cs="Times New Roman"/>
          <w:b/>
          <w:bCs/>
          <w:color w:val="auto"/>
        </w:rPr>
        <w:t xml:space="preserve">2.1.2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Faktor-faktor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Mempengaruhi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Inklusi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Keuangan</w:t>
      </w:r>
      <w:bookmarkEnd w:id="10"/>
      <w:proofErr w:type="spellEnd"/>
    </w:p>
    <w:p w14:paraId="4FED448A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2.1.2.1 Digital Banking (X1)</w:t>
      </w:r>
    </w:p>
    <w:p w14:paraId="5C6B4663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peraturan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OJK (OJK) nomor 12 /POJK.03/2018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Penyelenggaraan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oleh Bank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Umum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banking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elektronik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mengoptimalkan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pemanfaatan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melayani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057F4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customer experience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mandiri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sepenuhnya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nasabah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memperhatikan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aspek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pengamanan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781F28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Bank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digital banking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haruslah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FF72F" w14:textId="77777777" w:rsidR="00057F41" w:rsidRPr="00057F41" w:rsidRDefault="00057F41" w:rsidP="00057F41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1 atau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A7BA6" w14:textId="77777777" w:rsidR="00057F41" w:rsidRPr="00057F41" w:rsidRDefault="00057F41" w:rsidP="00057F41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infrastruktur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insfratruktur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memadai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66446" w14:textId="77777777" w:rsidR="00057F41" w:rsidRPr="00057F41" w:rsidRDefault="00057F41" w:rsidP="00057F41">
      <w:pPr>
        <w:pStyle w:val="ListParagraph"/>
        <w:numPr>
          <w:ilvl w:val="0"/>
          <w:numId w:val="19"/>
        </w:numPr>
        <w:tabs>
          <w:tab w:val="clear" w:pos="720"/>
        </w:tabs>
        <w:spacing w:line="360" w:lineRule="auto"/>
        <w:ind w:left="25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Otoritas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1AA84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digital banking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BA78908" w14:textId="77777777" w:rsidR="00057F41" w:rsidRPr="00057F41" w:rsidRDefault="00057F41" w:rsidP="00057F4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Internet Banking</w:t>
      </w:r>
    </w:p>
    <w:p w14:paraId="2540D425" w14:textId="77777777" w:rsidR="00057F41" w:rsidRPr="00057F41" w:rsidRDefault="00057F41" w:rsidP="00057F41">
      <w:pPr>
        <w:pStyle w:val="ListParagraph"/>
        <w:spacing w:line="360" w:lineRule="auto"/>
        <w:ind w:left="2520"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(financial dan non-financial)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internet bank.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internet banking,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431759EC" w14:textId="77777777" w:rsidR="00057F41" w:rsidRPr="00057F41" w:rsidRDefault="00057F41" w:rsidP="00057F41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sz w:val="24"/>
          <w:szCs w:val="24"/>
        </w:rPr>
        <w:t>Transfer dana;</w:t>
      </w:r>
    </w:p>
    <w:p w14:paraId="71E17B56" w14:textId="77777777" w:rsidR="00057F41" w:rsidRPr="00057F41" w:rsidRDefault="00057F41" w:rsidP="00057F4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4592D1" w14:textId="77777777" w:rsidR="00057F41" w:rsidRPr="00057F41" w:rsidRDefault="00057F41" w:rsidP="00057F4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tagihan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, listrik);</w:t>
      </w:r>
    </w:p>
    <w:p w14:paraId="721E5070" w14:textId="77777777" w:rsidR="00057F41" w:rsidRPr="00057F41" w:rsidRDefault="00057F41" w:rsidP="00057F41">
      <w:pPr>
        <w:numPr>
          <w:ilvl w:val="0"/>
          <w:numId w:val="1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pesawat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00C3EA" w14:textId="77777777" w:rsidR="00057F41" w:rsidRPr="00057F41" w:rsidRDefault="00057F41" w:rsidP="00057F4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Phone Banking</w:t>
      </w:r>
    </w:p>
    <w:p w14:paraId="086898CA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dimana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menghubung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</w:rPr>
        <w:t>contact center</w:t>
      </w:r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bank. Bank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atau program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menjalankantransaksi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BA3A60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phone banking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65E492C" w14:textId="77777777" w:rsidR="00057F41" w:rsidRPr="00057F41" w:rsidRDefault="00057F41" w:rsidP="00057F4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3A29DDB9" w14:textId="77777777" w:rsidR="00057F41" w:rsidRPr="00057F41" w:rsidRDefault="00057F41" w:rsidP="00057F4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732BD9A5" w14:textId="77777777" w:rsidR="00057F41" w:rsidRPr="00057F41" w:rsidRDefault="00057F41" w:rsidP="00057F4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74498E2B" w14:textId="77777777" w:rsidR="00057F41" w:rsidRPr="00057F41" w:rsidRDefault="00057F41" w:rsidP="00057F4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PLN, listrik,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DFF1F2" w14:textId="77777777" w:rsidR="00057F41" w:rsidRPr="00057F41" w:rsidRDefault="00057F41" w:rsidP="00057F41">
      <w:pPr>
        <w:pStyle w:val="ListParagraph"/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51A129" w14:textId="77777777" w:rsidR="00057F41" w:rsidRPr="00057F41" w:rsidRDefault="00057F41" w:rsidP="00057F4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lastRenderedPageBreak/>
        <w:t>SMS Banking</w:t>
      </w:r>
    </w:p>
    <w:p w14:paraId="7CA09056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</w:rPr>
        <w:t>Short Message Service (SMS).</w:t>
      </w:r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SMS ke nomor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 atau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dipasang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bank pada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E2968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Jenis-jenis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1E173F7E" w14:textId="77777777" w:rsidR="00057F41" w:rsidRPr="00057F41" w:rsidRDefault="00057F41" w:rsidP="00057F4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7CEB8DE6" w14:textId="77777777" w:rsidR="00057F41" w:rsidRPr="00057F41" w:rsidRDefault="00057F41" w:rsidP="00057F4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73AFBB8B" w14:textId="77777777" w:rsidR="00057F41" w:rsidRPr="00057F41" w:rsidRDefault="00057F41" w:rsidP="00057F4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37BAC19A" w14:textId="77777777" w:rsidR="00057F41" w:rsidRPr="00057F41" w:rsidRDefault="00057F41" w:rsidP="00057F4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A1FF66" w14:textId="77777777" w:rsidR="00057F41" w:rsidRPr="00057F41" w:rsidRDefault="00057F41" w:rsidP="00057F41">
      <w:pPr>
        <w:pStyle w:val="ListParagraph"/>
        <w:numPr>
          <w:ilvl w:val="0"/>
          <w:numId w:val="17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CFA659" w14:textId="77777777" w:rsidR="00057F41" w:rsidRPr="00057F41" w:rsidRDefault="00057F41" w:rsidP="00057F41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Mobile Banking</w:t>
      </w:r>
    </w:p>
    <w:p w14:paraId="182D8A50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</w:rPr>
        <w:t>Mobile banking</w:t>
      </w:r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juga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langsung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ponselseperti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SMS banking,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kecanggihan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yang lebih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. Bank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sama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SIM Card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chips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) Global for Mobile communication (GSM)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dipasangkan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bisa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nasabah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pada mobile banking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eastAsia="Times New Roman" w:hAnsi="Times New Roman" w:cs="Times New Roman"/>
          <w:i/>
          <w:iCs/>
          <w:sz w:val="24"/>
          <w:szCs w:val="24"/>
        </w:rPr>
        <w:t>SMS Banking</w:t>
      </w:r>
      <w:r w:rsidRPr="00057F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DAC8" w14:textId="77777777" w:rsidR="00057F41" w:rsidRPr="00057F41" w:rsidRDefault="00057F41" w:rsidP="00057F41">
      <w:pPr>
        <w:pStyle w:val="ListParagraph"/>
        <w:shd w:val="clear" w:color="auto" w:fill="FFFFFF"/>
        <w:spacing w:after="0" w:line="360" w:lineRule="auto"/>
        <w:ind w:left="2520" w:firstLine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mobile banking,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2F18FB95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F41">
        <w:rPr>
          <w:rFonts w:ascii="Times New Roman" w:eastAsia="Times New Roman" w:hAnsi="Times New Roman" w:cs="Times New Roman"/>
          <w:sz w:val="24"/>
          <w:szCs w:val="24"/>
        </w:rPr>
        <w:t>Transfer dana</w:t>
      </w:r>
    </w:p>
    <w:p w14:paraId="6C783D32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</w:p>
    <w:p w14:paraId="5BD09E99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rekening</w:t>
      </w:r>
      <w:proofErr w:type="spellEnd"/>
    </w:p>
    <w:p w14:paraId="6D614219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</w:p>
    <w:p w14:paraId="4731B636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kredit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PLN,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telepon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handphone, listrik,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asuransi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281CA4" w14:textId="77777777" w:rsidR="00057F41" w:rsidRPr="00057F41" w:rsidRDefault="00057F41" w:rsidP="00057F41">
      <w:pPr>
        <w:pStyle w:val="ListParagraph"/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326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pulsa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eastAsia="Times New Roman" w:hAnsi="Times New Roman" w:cs="Times New Roman"/>
          <w:sz w:val="24"/>
          <w:szCs w:val="24"/>
        </w:rPr>
        <w:t>saham</w:t>
      </w:r>
      <w:proofErr w:type="spellEnd"/>
      <w:r w:rsidRPr="00057F4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DFB669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 xml:space="preserve">2.1.2.2 </w:t>
      </w:r>
      <w:proofErr w:type="spellStart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(X2)</w:t>
      </w:r>
    </w:p>
    <w:p w14:paraId="0B65DD7F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lastRenderedPageBreak/>
        <w:t>mengelola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meminimalisasi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Kemdikbud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, 2017).</w:t>
      </w:r>
    </w:p>
    <w:p w14:paraId="5DEF14A5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37F7F108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yang lain,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abad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ke21.</w:t>
      </w:r>
    </w:p>
    <w:p w14:paraId="3DE699BF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Keterpaduan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2A5060F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kearifan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religi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1FE646D7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kesejagatan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universal).</w:t>
      </w:r>
    </w:p>
    <w:p w14:paraId="60387454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kemungkinankemungkinan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70D3ACA1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Partisipatif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mendayagunakan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03928ED5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bahanbahan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program,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melingkupi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menaungi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87E3C0D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0DD27AD2" w14:textId="77777777" w:rsidR="00057F41" w:rsidRPr="00057F41" w:rsidRDefault="00057F41" w:rsidP="00057F4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lastRenderedPageBreak/>
        <w:t>Keakuntabelan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EBE7153" w14:textId="77777777" w:rsidR="00057F41" w:rsidRPr="00057F41" w:rsidRDefault="00057F41" w:rsidP="00057F41">
      <w:pPr>
        <w:spacing w:line="360" w:lineRule="auto"/>
        <w:ind w:left="21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OJK (2013)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 bagian,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4B0E6F58" w14:textId="77777777" w:rsidR="00057F41" w:rsidRPr="00057F41" w:rsidRDefault="00057F41" w:rsidP="00057F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Well literate (21,84 %),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03D255EB" w14:textId="77777777" w:rsidR="00057F41" w:rsidRPr="00057F41" w:rsidRDefault="00057F41" w:rsidP="00057F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57F41">
        <w:rPr>
          <w:rFonts w:ascii="Times New Roman" w:hAnsi="Times New Roman" w:cs="Times New Roman"/>
          <w:sz w:val="24"/>
          <w:szCs w:val="24"/>
        </w:rPr>
        <w:t>Sufficient</w:t>
      </w:r>
      <w:proofErr w:type="gramEnd"/>
      <w:r w:rsidRPr="00057F41">
        <w:rPr>
          <w:rFonts w:ascii="Times New Roman" w:hAnsi="Times New Roman" w:cs="Times New Roman"/>
          <w:sz w:val="24"/>
          <w:szCs w:val="24"/>
        </w:rPr>
        <w:t xml:space="preserve"> literate (75,69 %),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3736CEC5" w14:textId="77777777" w:rsidR="00057F41" w:rsidRPr="00057F41" w:rsidRDefault="00057F41" w:rsidP="00057F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Less literate (2,06 %),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4CA73076" w14:textId="77777777" w:rsidR="00057F41" w:rsidRPr="00057F41" w:rsidRDefault="00057F41" w:rsidP="00057F4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Not literate (0,41%),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44FAF0FD" w14:textId="77777777" w:rsidR="00057F41" w:rsidRPr="00057F41" w:rsidRDefault="00057F41" w:rsidP="00057F41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​</w:t>
      </w:r>
      <w:r w:rsidRPr="00057F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 </w:t>
      </w:r>
    </w:p>
    <w:p w14:paraId="69FBF6BE" w14:textId="77777777" w:rsidR="00057F41" w:rsidRPr="00057F41" w:rsidRDefault="00057F41" w:rsidP="00057F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less literate atau not literate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well literate;</w:t>
      </w:r>
    </w:p>
    <w:p w14:paraId="0235D941" w14:textId="77777777" w:rsidR="00057F41" w:rsidRPr="00057F41" w:rsidRDefault="00057F41" w:rsidP="00057F4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66DC3A40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B38677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A4C35" w14:textId="77777777" w:rsidR="00057F41" w:rsidRPr="00057F41" w:rsidRDefault="00057F41" w:rsidP="00057F41">
      <w:pPr>
        <w:pStyle w:val="Heading4"/>
        <w:numPr>
          <w:ilvl w:val="3"/>
          <w:numId w:val="6"/>
        </w:numPr>
        <w:spacing w:line="360" w:lineRule="auto"/>
        <w:ind w:left="0" w:firstLine="1418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Penelitian</w:t>
      </w:r>
      <w:proofErr w:type="spellEnd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Terdahulu</w:t>
      </w:r>
      <w:proofErr w:type="spellEnd"/>
    </w:p>
    <w:tbl>
      <w:tblPr>
        <w:tblStyle w:val="TableGrid"/>
        <w:tblW w:w="0" w:type="auto"/>
        <w:tblInd w:w="141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2828"/>
      </w:tblGrid>
      <w:tr w:rsidR="00057F41" w:rsidRPr="00057F41" w14:paraId="7D1888B7" w14:textId="77777777" w:rsidTr="003C1752">
        <w:tc>
          <w:tcPr>
            <w:tcW w:w="1701" w:type="dxa"/>
            <w:tcBorders>
              <w:right w:val="nil"/>
            </w:tcBorders>
            <w:vAlign w:val="center"/>
          </w:tcPr>
          <w:p w14:paraId="428A8A4F" w14:textId="77777777" w:rsidR="00057F41" w:rsidRPr="00057F41" w:rsidRDefault="00057F41" w:rsidP="00057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  <w:p w14:paraId="57E8D89B" w14:textId="77777777" w:rsidR="00057F41" w:rsidRPr="00057F41" w:rsidRDefault="00057F41" w:rsidP="00057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ACA9F55" w14:textId="77777777" w:rsidR="00057F41" w:rsidRPr="00057F41" w:rsidRDefault="00057F41" w:rsidP="00057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828" w:type="dxa"/>
            <w:tcBorders>
              <w:left w:val="nil"/>
            </w:tcBorders>
            <w:vAlign w:val="center"/>
          </w:tcPr>
          <w:p w14:paraId="6A4F3E5E" w14:textId="77777777" w:rsidR="00057F41" w:rsidRPr="00057F41" w:rsidRDefault="00057F41" w:rsidP="00057F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057F41" w:rsidRPr="00057F41" w14:paraId="467A52D6" w14:textId="77777777" w:rsidTr="003C1752">
        <w:tc>
          <w:tcPr>
            <w:tcW w:w="1701" w:type="dxa"/>
          </w:tcPr>
          <w:p w14:paraId="3141DC40" w14:textId="77777777" w:rsidR="00057F41" w:rsidRPr="00057F41" w:rsidRDefault="00057F41" w:rsidP="00057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Febrina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Hutabarat</w:t>
            </w:r>
            <w:proofErr w:type="spellEnd"/>
          </w:p>
          <w:p w14:paraId="46AB622F" w14:textId="77777777" w:rsidR="00057F41" w:rsidRPr="00057F41" w:rsidRDefault="00057F41" w:rsidP="00057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(2018)</w:t>
            </w:r>
          </w:p>
        </w:tc>
        <w:tc>
          <w:tcPr>
            <w:tcW w:w="2268" w:type="dxa"/>
          </w:tcPr>
          <w:p w14:paraId="37E2843C" w14:textId="77777777" w:rsidR="00057F41" w:rsidRPr="00057F41" w:rsidRDefault="00057F41" w:rsidP="00057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057F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Financial Technology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Pada Masyarakat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Jabodetabek</w:t>
            </w:r>
            <w:proofErr w:type="spellEnd"/>
          </w:p>
        </w:tc>
        <w:tc>
          <w:tcPr>
            <w:tcW w:w="2828" w:type="dxa"/>
          </w:tcPr>
          <w:p w14:paraId="07F7BF80" w14:textId="77777777" w:rsidR="00057F41" w:rsidRPr="00057F41" w:rsidRDefault="00057F41" w:rsidP="00057F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ini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057F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financial technology</w:t>
            </w:r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inklusi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bersama</w:t>
            </w:r>
            <w:proofErr w:type="spellEnd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 xml:space="preserve">-sama dan </w:t>
            </w:r>
            <w:proofErr w:type="spellStart"/>
            <w:r w:rsidRPr="00057F41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5DC8C491" w14:textId="77777777" w:rsidR="00057F41" w:rsidRPr="00057F41" w:rsidRDefault="00057F41" w:rsidP="00057F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29CCEF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8601472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1"/>
      <w:proofErr w:type="spellEnd"/>
    </w:p>
    <w:p w14:paraId="30A7D9FF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penyusunannya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laporan-laporan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dimana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menjabarkan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3262D824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12" w:name="_Toc28601473"/>
      <w:r w:rsidRPr="00057F41">
        <w:rPr>
          <w:rFonts w:ascii="Times New Roman" w:hAnsi="Times New Roman" w:cs="Times New Roman"/>
          <w:b/>
          <w:bCs/>
          <w:color w:val="auto"/>
        </w:rPr>
        <w:t>2.2.1 Study Literature</w:t>
      </w:r>
      <w:bookmarkEnd w:id="12"/>
    </w:p>
    <w:p w14:paraId="150AA204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buku-buku,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menguatkan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3F62B20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13" w:name="_Toc28601474"/>
      <w:r w:rsidRPr="00057F41">
        <w:rPr>
          <w:rFonts w:ascii="Times New Roman" w:hAnsi="Times New Roman" w:cs="Times New Roman"/>
          <w:b/>
          <w:bCs/>
          <w:color w:val="auto"/>
        </w:rPr>
        <w:t>2.2.2 Field Research</w:t>
      </w:r>
      <w:bookmarkEnd w:id="13"/>
    </w:p>
    <w:p w14:paraId="25E142E4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2.2.2.1 Questioner</w:t>
      </w:r>
    </w:p>
    <w:p w14:paraId="4DCFFD9E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sikap-sikap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3F41799B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28601475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2.3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Analisis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Hipotesis</w:t>
      </w:r>
      <w:bookmarkEnd w:id="14"/>
      <w:proofErr w:type="spellEnd"/>
    </w:p>
    <w:p w14:paraId="4DE2F5AA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15" w:name="_Toc28601476"/>
      <w:r w:rsidRPr="00057F41">
        <w:rPr>
          <w:rFonts w:ascii="Times New Roman" w:hAnsi="Times New Roman" w:cs="Times New Roman"/>
          <w:b/>
          <w:bCs/>
          <w:color w:val="auto"/>
        </w:rPr>
        <w:t xml:space="preserve">2.3.1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Hipotesis</w:t>
      </w:r>
      <w:bookmarkEnd w:id="15"/>
      <w:proofErr w:type="spellEnd"/>
    </w:p>
    <w:p w14:paraId="16F76A1B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color w:val="auto"/>
          <w:sz w:val="24"/>
          <w:szCs w:val="24"/>
        </w:rPr>
        <w:t xml:space="preserve"> Digital Banking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2CAE3E24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.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perantaranya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adanya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 w:rsidRPr="00057F41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agar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3392A4A0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Rahma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Soediro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(2019) </w:t>
      </w:r>
      <w:r w:rsidRPr="00057F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terjangkau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pengalaman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mempercepat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keterlibatan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membangun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landasan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—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termasuk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verifikasi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identitas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agar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057F4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due diligence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pelanggan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kolaboratif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berbagi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skema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pembayaran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—yang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mengakselerasi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sejumlah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BC254C9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Deloitte (2015),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093B6183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H1: </w:t>
      </w:r>
      <w:r w:rsidRPr="00057F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</w:p>
    <w:p w14:paraId="4618A4CC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Pengaruh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Keuangan</w:t>
      </w:r>
      <w:proofErr w:type="spellEnd"/>
    </w:p>
    <w:p w14:paraId="3A770784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036831E4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OJK (2016)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dan/atau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berujung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4F4EB0A0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ab/>
      </w:r>
      <w:r w:rsidRPr="00057F41">
        <w:rPr>
          <w:rFonts w:ascii="Times New Roman" w:hAnsi="Times New Roman" w:cs="Times New Roman"/>
          <w:sz w:val="24"/>
          <w:szCs w:val="24"/>
        </w:rPr>
        <w:tab/>
        <w:t xml:space="preserve">H2: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18DAB7D4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lastRenderedPageBreak/>
        <w:tab/>
      </w:r>
      <w:bookmarkStart w:id="16" w:name="_Toc28601477"/>
      <w:r w:rsidRPr="00057F41">
        <w:rPr>
          <w:rFonts w:ascii="Times New Roman" w:hAnsi="Times New Roman" w:cs="Times New Roman"/>
          <w:b/>
          <w:bCs/>
          <w:color w:val="auto"/>
        </w:rPr>
        <w:t xml:space="preserve">2.3.2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Kerangka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Penelitian</w:t>
      </w:r>
      <w:bookmarkEnd w:id="16"/>
      <w:proofErr w:type="spellEnd"/>
    </w:p>
    <w:p w14:paraId="19CB015B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(bebas)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).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pertama (X1).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(X2).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(Y).</w:t>
      </w:r>
    </w:p>
    <w:p w14:paraId="1BFFC286" w14:textId="77777777" w:rsidR="00057F41" w:rsidRPr="00057F41" w:rsidRDefault="00057F41" w:rsidP="00057F41">
      <w:pPr>
        <w:keepNext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DFF84" wp14:editId="68104756">
            <wp:extent cx="23907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4694" w14:textId="77777777" w:rsidR="00057F41" w:rsidRPr="00057F41" w:rsidRDefault="00057F41" w:rsidP="00057F41">
      <w:pPr>
        <w:pStyle w:val="Caption"/>
        <w:spacing w:line="360" w:lineRule="auto"/>
        <w:ind w:left="72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2.</w:t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57F4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Kerangka</w:t>
      </w:r>
      <w:proofErr w:type="spellEnd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Penelitian</w:t>
      </w:r>
      <w:proofErr w:type="spellEnd"/>
    </w:p>
    <w:p w14:paraId="605E6292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gambar:</w:t>
      </w:r>
    </w:p>
    <w:p w14:paraId="1FF86DD5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X1</w:t>
      </w:r>
      <w:r w:rsidRPr="00057F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</w:p>
    <w:p w14:paraId="189A4259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X2</w:t>
      </w:r>
      <w:r w:rsidRPr="00057F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70F00C1F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Y</w:t>
      </w:r>
      <w:r w:rsidRPr="00057F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2006A2D5" w14:textId="33DF2B96" w:rsidR="00755999" w:rsidRDefault="00755999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7F25C" w14:textId="77777777" w:rsidR="00755999" w:rsidRDefault="00755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737869" w14:textId="4E6E51A0" w:rsidR="00755999" w:rsidRDefault="00755999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E3A4B" w14:textId="77777777" w:rsidR="00755999" w:rsidRDefault="007559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9FFB0A" w14:textId="77777777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57F41" w:rsidRPr="00057F41" w:rsidSect="00755999">
          <w:headerReference w:type="default" r:id="rId19"/>
          <w:footerReference w:type="default" r:id="rId20"/>
          <w:headerReference w:type="first" r:id="rId21"/>
          <w:pgSz w:w="11906" w:h="16838" w:code="9"/>
          <w:pgMar w:top="1418" w:right="1418" w:bottom="1418" w:left="2268" w:header="720" w:footer="720" w:gutter="0"/>
          <w:cols w:space="720"/>
          <w:titlePg/>
          <w:docGrid w:linePitch="360"/>
        </w:sectPr>
      </w:pPr>
    </w:p>
    <w:p w14:paraId="0369B271" w14:textId="57FE9790" w:rsidR="00057F41" w:rsidRPr="00057F41" w:rsidRDefault="00057F41" w:rsidP="0075599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28601478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3</w:t>
      </w:r>
      <w:r w:rsidR="00755999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 DAN METODE PENELITIAN</w:t>
      </w:r>
      <w:bookmarkEnd w:id="17"/>
    </w:p>
    <w:p w14:paraId="08EF4064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28601479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8"/>
      <w:proofErr w:type="spellEnd"/>
    </w:p>
    <w:p w14:paraId="5D85FDAA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78614B94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9" w:name="_Toc28601480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Desain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9"/>
      <w:proofErr w:type="spellEnd"/>
    </w:p>
    <w:p w14:paraId="479D7163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kausal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komparatif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masalah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sebab-akibat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lebih.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penyelidikan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).</w:t>
      </w:r>
    </w:p>
    <w:p w14:paraId="7E13D048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(2017),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diartikan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berlandaskan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filsafat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positivisme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meneliti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instrumen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kuantitatif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hipotesis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ditetapkan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menguji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independennya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yakin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2A5AE2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20" w:name="_Toc28601481"/>
      <w:r w:rsidRPr="00057F41">
        <w:rPr>
          <w:rFonts w:ascii="Times New Roman" w:hAnsi="Times New Roman" w:cs="Times New Roman"/>
          <w:b/>
          <w:bCs/>
          <w:color w:val="auto"/>
        </w:rPr>
        <w:t xml:space="preserve">3.2.1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Jenis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dan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Sumber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Data</w:t>
      </w:r>
      <w:bookmarkEnd w:id="20"/>
    </w:p>
    <w:p w14:paraId="48ED6C57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mana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7621015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:</w:t>
      </w:r>
    </w:p>
    <w:p w14:paraId="680FE498" w14:textId="77777777" w:rsidR="00057F41" w:rsidRPr="00057F4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Data Primer</w:t>
      </w:r>
    </w:p>
    <w:p w14:paraId="44C19BCC" w14:textId="77777777" w:rsidR="00057F41" w:rsidRPr="00057F4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primer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5282AF42" w14:textId="77777777" w:rsidR="00057F41" w:rsidRPr="00057F4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 xml:space="preserve">Data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Sekunder</w:t>
      </w:r>
      <w:proofErr w:type="spellEnd"/>
    </w:p>
    <w:p w14:paraId="7A8A621F" w14:textId="77777777" w:rsidR="00057F41" w:rsidRPr="00057F4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langsung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9E335BA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21" w:name="_Toc28601482"/>
      <w:r w:rsidRPr="00057F41">
        <w:rPr>
          <w:rFonts w:ascii="Times New Roman" w:hAnsi="Times New Roman" w:cs="Times New Roman"/>
          <w:b/>
          <w:bCs/>
          <w:color w:val="auto"/>
        </w:rPr>
        <w:t xml:space="preserve">3.2.2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Penentuan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Jumlah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Sampel</w:t>
      </w:r>
      <w:bookmarkEnd w:id="21"/>
      <w:proofErr w:type="spellEnd"/>
    </w:p>
    <w:p w14:paraId="0C90DACB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57F41">
        <w:rPr>
          <w:rFonts w:ascii="Times New Roman" w:hAnsi="Times New Roman" w:cs="Times New Roman"/>
          <w:sz w:val="24"/>
          <w:szCs w:val="24"/>
        </w:rPr>
        <w:t>.</w:t>
      </w:r>
      <w:r w:rsidRPr="00057F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Purposive sampling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teknik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sampling </w:t>
      </w:r>
      <w:proofErr w:type="gram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non random</w:t>
      </w:r>
      <w:proofErr w:type="gram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sampling dimana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peneliti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pengambilan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menetapkan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ciri-ciri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khusus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menjawab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057F41">
        <w:rPr>
          <w:rFonts w:ascii="Times New Roman" w:hAnsi="Times New Roman" w:cs="Times New Roman"/>
          <w:sz w:val="24"/>
          <w:szCs w:val="24"/>
        </w:rPr>
        <w:t xml:space="preserve">Anwar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2017). Target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digital banking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C265665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tab/>
      </w:r>
      <w:bookmarkStart w:id="22" w:name="_Toc28601483"/>
      <w:r w:rsidRPr="00057F41">
        <w:rPr>
          <w:rFonts w:ascii="Times New Roman" w:hAnsi="Times New Roman" w:cs="Times New Roman"/>
          <w:b/>
          <w:bCs/>
          <w:color w:val="auto"/>
        </w:rPr>
        <w:t xml:space="preserve">3.2.3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Sampel</w:t>
      </w:r>
      <w:bookmarkEnd w:id="22"/>
      <w:proofErr w:type="spellEnd"/>
    </w:p>
    <w:p w14:paraId="55CD2074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langsung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). Cara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/>
          <w:iCs/>
          <w:sz w:val="24"/>
          <w:szCs w:val="24"/>
        </w:rPr>
        <w:t>purposive sampling</w:t>
      </w:r>
      <w:r w:rsidRPr="00057F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Jabodetabek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Skala Likert. Skala Likert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62F216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23EDF7B5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2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7B4499B1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3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11C90B52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4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68C4118B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5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</w:p>
    <w:p w14:paraId="44E1E9A5" w14:textId="77777777" w:rsidR="00057F41" w:rsidRPr="00057F41" w:rsidRDefault="00057F41" w:rsidP="00057F41">
      <w:pPr>
        <w:pStyle w:val="ListParagraph"/>
        <w:numPr>
          <w:ilvl w:val="0"/>
          <w:numId w:val="21"/>
        </w:numPr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6 =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9CD4B37" w14:textId="77777777" w:rsidR="00057F41" w:rsidRPr="00057F41" w:rsidRDefault="00057F41" w:rsidP="00057F41">
      <w:pPr>
        <w:pStyle w:val="Heading3"/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057F41">
        <w:rPr>
          <w:rFonts w:ascii="Times New Roman" w:hAnsi="Times New Roman" w:cs="Times New Roman"/>
          <w:b/>
          <w:bCs/>
          <w:color w:val="auto"/>
        </w:rPr>
        <w:lastRenderedPageBreak/>
        <w:tab/>
      </w:r>
      <w:bookmarkStart w:id="23" w:name="_Toc28601484"/>
      <w:r w:rsidRPr="00057F41">
        <w:rPr>
          <w:rFonts w:ascii="Times New Roman" w:hAnsi="Times New Roman" w:cs="Times New Roman"/>
          <w:b/>
          <w:bCs/>
          <w:color w:val="auto"/>
        </w:rPr>
        <w:t xml:space="preserve">3.2.4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Metode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</w:rPr>
        <w:t>Analisis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</w:rPr>
        <w:t xml:space="preserve"> Data</w:t>
      </w:r>
      <w:bookmarkEnd w:id="23"/>
    </w:p>
    <w:p w14:paraId="43CB4284" w14:textId="77777777" w:rsidR="00057F41" w:rsidRPr="00057F41" w:rsidRDefault="00057F41" w:rsidP="00057F41">
      <w:pPr>
        <w:pStyle w:val="Heading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</w:t>
      </w:r>
      <w:r w:rsidRPr="00057F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Normalitas</w:t>
      </w:r>
      <w:proofErr w:type="spellEnd"/>
    </w:p>
    <w:p w14:paraId="67C38B02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linier normal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sama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berkorelasi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Uji normal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kenormalan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error term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bebas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normal. </w:t>
      </w:r>
    </w:p>
    <w:p w14:paraId="53B8A963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residual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parametrik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-Smirnov (K-S).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Kolmogrov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-Smirnov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0,05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residual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Sahid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Raharjo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2014). </w:t>
      </w:r>
    </w:p>
    <w:p w14:paraId="6E4716C0" w14:textId="77777777" w:rsidR="00057F41" w:rsidRPr="00057F41" w:rsidRDefault="00057F41" w:rsidP="00057F41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prinsipnya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diagonal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residualnya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 dimana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diagonal.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40B125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D8B9C6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Ho: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 </w:t>
      </w:r>
    </w:p>
    <w:p w14:paraId="295BB8E6" w14:textId="77777777" w:rsidR="00057F41" w:rsidRPr="00057F41" w:rsidRDefault="00057F41" w:rsidP="0005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Ha: Data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3ED10C79" w14:textId="77777777" w:rsidR="00057F41" w:rsidRPr="00057F41" w:rsidRDefault="00057F41" w:rsidP="00057F41">
      <w:pPr>
        <w:pStyle w:val="Heading4"/>
        <w:spacing w:line="360" w:lineRule="auto"/>
        <w:ind w:left="1560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2. Uji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Validitas</w:t>
      </w:r>
      <w:proofErr w:type="spellEnd"/>
    </w:p>
    <w:p w14:paraId="74D84B48" w14:textId="77777777" w:rsidR="00057F41" w:rsidRPr="00057F4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(2017)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item,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mengkorelasikan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total item-item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validitas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lastRenderedPageBreak/>
        <w:t>korelasi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bivariate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.</w:t>
      </w:r>
    </w:p>
    <w:p w14:paraId="28CCF461" w14:textId="77777777" w:rsidR="00057F41" w:rsidRPr="00057F41" w:rsidRDefault="00057F41" w:rsidP="00057F41">
      <w:pPr>
        <w:pStyle w:val="Heading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Uji </w:t>
      </w:r>
      <w:proofErr w:type="spellStart"/>
      <w:r w:rsidRPr="00057F4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Reliabilitas</w:t>
      </w:r>
      <w:proofErr w:type="spellEnd"/>
    </w:p>
    <w:p w14:paraId="59C80461" w14:textId="77777777" w:rsidR="00057F41" w:rsidRPr="00057F41" w:rsidRDefault="00057F41" w:rsidP="00057F41">
      <w:pPr>
        <w:spacing w:line="360" w:lineRule="auto"/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Uji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yang sama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data yang sama (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2017).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reliabilitas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Cronbach Alpha. 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kontruk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reliabel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cronbach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alpha.</w:t>
      </w:r>
    </w:p>
    <w:p w14:paraId="695CE097" w14:textId="77777777" w:rsidR="00057F41" w:rsidRPr="00057F41" w:rsidRDefault="00057F41" w:rsidP="00057F41">
      <w:pPr>
        <w:pStyle w:val="Heading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28601485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3.3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Waktu,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Anggaran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Biaya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Sumber</w:t>
      </w:r>
      <w:proofErr w:type="spellEnd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Data yang </w:t>
      </w:r>
      <w:proofErr w:type="spellStart"/>
      <w:r w:rsidRPr="00057F41">
        <w:rPr>
          <w:rFonts w:ascii="Times New Roman" w:hAnsi="Times New Roman" w:cs="Times New Roman"/>
          <w:b/>
          <w:bCs/>
          <w:color w:val="auto"/>
          <w:sz w:val="24"/>
          <w:szCs w:val="24"/>
        </w:rPr>
        <w:t>Dibutuhkan</w:t>
      </w:r>
      <w:bookmarkEnd w:id="24"/>
      <w:proofErr w:type="spellEnd"/>
    </w:p>
    <w:p w14:paraId="404D9763" w14:textId="519F337A" w:rsidR="0010337C" w:rsidRPr="00057F41" w:rsidRDefault="0010337C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6AF74" w14:textId="4105D0B4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461E2" w14:textId="69CBE26E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A932A" w14:textId="09ACA01B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6EA39" w14:textId="58D4724F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2263A" w14:textId="43F15DA1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1CC2C" w14:textId="63226FED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CBCED" w14:textId="3E58A42B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ED7D1" w14:textId="0DCA50BC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7EDAD" w14:textId="6AB5D438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B6865" w14:textId="5100D4CA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F02B04" w14:textId="43AF05EE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34E42" w14:textId="445E08CD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47D9B" w14:textId="03D39B0C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FD8E0" w14:textId="775FE815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75E3F" w14:textId="73C77106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7E0BA" w14:textId="7185089F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EB06E" w14:textId="77777777" w:rsidR="00057F41" w:rsidRPr="00D639EA" w:rsidRDefault="00057F41" w:rsidP="00D639E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28601486"/>
      <w:r w:rsidRPr="00D639E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REFERENSI</w:t>
      </w:r>
      <w:bookmarkEnd w:id="25"/>
    </w:p>
    <w:p w14:paraId="2DC563BB" w14:textId="61795BF2" w:rsidR="00645D98" w:rsidRPr="00640413" w:rsidRDefault="00057F41" w:rsidP="00D639E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39EA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Digital Financial Services in Indonesia</w:t>
      </w:r>
      <w:r w:rsidR="00D974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(2019)</w:t>
      </w:r>
    </w:p>
    <w:p w14:paraId="30872106" w14:textId="7A027EE3" w:rsidR="00057F41" w:rsidRPr="00D639EA" w:rsidRDefault="007F2A62" w:rsidP="00D639E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64041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https://www2.deloitte.com/sg/en/pages/financial-services/articles/digital-financial-indonesia.html</w:t>
        </w:r>
      </w:hyperlink>
      <w:r w:rsidR="00645D98" w:rsidRPr="00D639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D98" w:rsidRPr="00D639EA">
        <w:rPr>
          <w:rFonts w:ascii="Times New Roman" w:hAnsi="Times New Roman" w:cs="Times New Roman"/>
          <w:sz w:val="24"/>
          <w:szCs w:val="24"/>
        </w:rPr>
        <w:t>di</w:t>
      </w:r>
      <w:r w:rsidR="00057F41" w:rsidRPr="00D639E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45D98" w:rsidRPr="00D639EA">
        <w:rPr>
          <w:rFonts w:ascii="Times New Roman" w:hAnsi="Times New Roman" w:cs="Times New Roman"/>
          <w:sz w:val="24"/>
          <w:szCs w:val="24"/>
        </w:rPr>
        <w:t xml:space="preserve"> </w:t>
      </w:r>
      <w:r w:rsidR="00057F41" w:rsidRPr="00D639EA">
        <w:rPr>
          <w:rFonts w:ascii="Times New Roman" w:hAnsi="Times New Roman" w:cs="Times New Roman"/>
          <w:sz w:val="24"/>
          <w:szCs w:val="24"/>
        </w:rPr>
        <w:t xml:space="preserve">26 </w:t>
      </w:r>
      <w:proofErr w:type="spellStart"/>
      <w:r w:rsidR="00057F41" w:rsidRPr="00D639EA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057F41" w:rsidRPr="00D639E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750B059B" w14:textId="754ACD0F" w:rsidR="00057F41" w:rsidRPr="00D97460" w:rsidRDefault="00057F41" w:rsidP="00057F41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>, Anwar</w:t>
      </w:r>
      <w:r w:rsidR="00D97460">
        <w:rPr>
          <w:rFonts w:ascii="Times New Roman" w:hAnsi="Times New Roman" w:cs="Times New Roman"/>
          <w:sz w:val="24"/>
          <w:szCs w:val="24"/>
        </w:rPr>
        <w:t xml:space="preserve"> (</w:t>
      </w:r>
      <w:r w:rsidRPr="00057F41">
        <w:rPr>
          <w:rFonts w:ascii="Times New Roman" w:hAnsi="Times New Roman" w:cs="Times New Roman"/>
          <w:sz w:val="24"/>
          <w:szCs w:val="24"/>
        </w:rPr>
        <w:t>2017</w:t>
      </w:r>
      <w:r w:rsidR="00D97460">
        <w:rPr>
          <w:rFonts w:ascii="Times New Roman" w:hAnsi="Times New Roman" w:cs="Times New Roman"/>
          <w:sz w:val="24"/>
          <w:szCs w:val="24"/>
        </w:rPr>
        <w:t>)</w:t>
      </w:r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7460">
        <w:rPr>
          <w:rFonts w:ascii="Times New Roman" w:hAnsi="Times New Roman" w:cs="Times New Roman"/>
          <w:i/>
          <w:iCs/>
          <w:sz w:val="24"/>
          <w:szCs w:val="24"/>
        </w:rPr>
        <w:t>Penjelasan</w:t>
      </w:r>
      <w:proofErr w:type="spellEnd"/>
      <w:r w:rsidRPr="00D97460">
        <w:rPr>
          <w:rFonts w:ascii="Times New Roman" w:hAnsi="Times New Roman" w:cs="Times New Roman"/>
          <w:i/>
          <w:iCs/>
          <w:sz w:val="24"/>
          <w:szCs w:val="24"/>
        </w:rPr>
        <w:t xml:space="preserve"> Teknik Purposive Sampling Lengkap Detail</w:t>
      </w:r>
    </w:p>
    <w:p w14:paraId="42E31434" w14:textId="6DCA360B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460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 w:rsidRPr="00D97460">
        <w:rPr>
          <w:rFonts w:ascii="Times New Roman" w:hAnsi="Times New Roman" w:cs="Times New Roman"/>
          <w:i/>
          <w:iCs/>
          <w:sz w:val="24"/>
          <w:szCs w:val="24"/>
        </w:rPr>
        <w:t>Literasi</w:t>
      </w:r>
      <w:proofErr w:type="spellEnd"/>
      <w:r w:rsidRPr="00D9746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97460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D97460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1C8AE356" w14:textId="1877BD8E" w:rsidR="00057F41" w:rsidRPr="00057F41" w:rsidRDefault="005F65BD" w:rsidP="00057F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57F41" w:rsidRPr="00D974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https://www.ojk.go.id/id/kanal/edukasi-dan-perlindungan-</w:t>
        </w:r>
        <w:bookmarkStart w:id="26" w:name="_GoBack"/>
        <w:bookmarkEnd w:id="26"/>
        <w:r w:rsidR="00057F41" w:rsidRPr="00D9746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konsumen/Pages/Literasi-Keuangan.aspx</w:t>
        </w:r>
      </w:hyperlink>
      <w:r w:rsidR="00D97460" w:rsidRPr="00D9746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,</w:t>
      </w:r>
      <w:r w:rsidR="00D97460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97460"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D97460" w:rsidRPr="00057F41">
        <w:rPr>
          <w:rFonts w:ascii="Times New Roman" w:hAnsi="Times New Roman" w:cs="Times New Roman"/>
          <w:sz w:val="24"/>
          <w:szCs w:val="24"/>
        </w:rPr>
        <w:t xml:space="preserve"> pada</w:t>
      </w:r>
      <w:r w:rsidR="00D97460">
        <w:rPr>
          <w:rFonts w:ascii="Times New Roman" w:hAnsi="Times New Roman" w:cs="Times New Roman"/>
          <w:sz w:val="24"/>
          <w:szCs w:val="24"/>
        </w:rPr>
        <w:t xml:space="preserve"> </w:t>
      </w:r>
      <w:r w:rsidR="00D97460" w:rsidRPr="00057F41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r w:rsidR="00D97460"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D97460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174028EB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Nasional”.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136E8E93" w14:textId="77777777" w:rsidR="00057F41" w:rsidRPr="00057F41" w:rsidRDefault="005F65BD" w:rsidP="00057F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57F41" w:rsidRPr="00057F4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https://gln.kemdikbud.go.id/glnsite/wp-content/uploads/2017/10/cover-materi-pendukung-literasi-finansial-gabung.pdf</w:t>
        </w:r>
      </w:hyperlink>
      <w:r w:rsidR="00057F41" w:rsidRPr="00057F41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36050A8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Otoritas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. 2018.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oleh Bank</w:t>
      </w:r>
    </w:p>
    <w:p w14:paraId="7102F9CC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14:paraId="1A35ECDD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“Panduan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Digital Branch oleh Bank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21CCA78A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43441706" w14:textId="77777777" w:rsidR="00057F41" w:rsidRPr="00057F41" w:rsidRDefault="005F65BD" w:rsidP="00057F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57F41" w:rsidRPr="00057F4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https://www.ojk.go.id/id/kanal/perbankan/Pages/Panduan-Penyelenggaraan-Digital-Branch-oleh-Bank-Umum.aspx</w:t>
        </w:r>
      </w:hyperlink>
    </w:p>
    <w:p w14:paraId="26341C5F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Indikator</w:t>
      </w:r>
      <w:proofErr w:type="spellEnd"/>
    </w:p>
    <w:p w14:paraId="38311E29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Inklusif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Lengkap”.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</w:p>
    <w:p w14:paraId="4F5EE6D5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2019,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06CA4E5A" w14:textId="77777777" w:rsidR="00057F41" w:rsidRPr="00057F41" w:rsidRDefault="005F65BD" w:rsidP="00057F41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6" w:anchor="indikator-keuangan-inklusif" w:history="1">
        <w:r w:rsidR="00057F41" w:rsidRPr="00057F4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https://www.pelajaran.co.id/2019/19/pengertian-keuangan-inklusif-visi-tujuan-manfaat-strategi-dan-indikator-kebijakan-keuangan-inklusif.html#indikator-keuangan-inklusif</w:t>
        </w:r>
      </w:hyperlink>
    </w:p>
    <w:p w14:paraId="1A2C856D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Fintech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390758F3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 xml:space="preserve">29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69EC3E83" w14:textId="77777777" w:rsidR="00057F41" w:rsidRPr="00057F41" w:rsidRDefault="005F65BD" w:rsidP="00057F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057F41" w:rsidRPr="00057F4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https://www.investree.id/en/blog/marketplace-lending/peran-fintech-untuk-meningkatkan-inklusi-keuangan</w:t>
        </w:r>
      </w:hyperlink>
    </w:p>
    <w:p w14:paraId="2727186F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lastRenderedPageBreak/>
        <w:t xml:space="preserve"> “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21E122EF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5505DEAC" w14:textId="77777777" w:rsidR="00057F41" w:rsidRPr="00057F41" w:rsidRDefault="005F65BD" w:rsidP="00057F41">
      <w:pPr>
        <w:spacing w:line="360" w:lineRule="auto"/>
        <w:ind w:left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8" w:history="1">
        <w:r w:rsidR="00057F41" w:rsidRPr="00057F41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https://www.pwc.com/id/en/media-centre/press-release/2018/indonesian/pergeseran-teknologi-di-Indonesia-sedang-terjadi.html</w:t>
        </w:r>
      </w:hyperlink>
    </w:p>
    <w:p w14:paraId="5D3C60FF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Raharjo</w:t>
      </w:r>
      <w:proofErr w:type="spellEnd"/>
      <w:r w:rsidRPr="00057F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057F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Sahid</w:t>
      </w:r>
      <w:proofErr w:type="spellEnd"/>
      <w:r w:rsidRPr="00057F41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. 2014. </w:t>
      </w:r>
      <w:r w:rsidRPr="00057F41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Kolmogorov-Smirnov </w:t>
      </w:r>
      <w:proofErr w:type="spellStart"/>
      <w:r w:rsidRPr="00057F4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7F41">
        <w:rPr>
          <w:rFonts w:ascii="Times New Roman" w:hAnsi="Times New Roman" w:cs="Times New Roman"/>
          <w:sz w:val="24"/>
          <w:szCs w:val="24"/>
        </w:rPr>
        <w:t xml:space="preserve"> SPSS</w:t>
      </w:r>
    </w:p>
    <w:p w14:paraId="706201C8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Salim, Melisa. 2014. ANALISIS FINANCIAL INCLUSION TERHADAP</w:t>
      </w:r>
    </w:p>
    <w:p w14:paraId="7AEB4C1D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</w:rPr>
        <w:t>PEMBERDAYAAN MASYARAKAT MISKIN DI MEDAN. Medan:</w:t>
      </w:r>
    </w:p>
    <w:p w14:paraId="2FD3FB7B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</w:rPr>
        <w:t>Hairatunnisa</w:t>
      </w:r>
      <w:proofErr w:type="spellEnd"/>
    </w:p>
    <w:p w14:paraId="72637CC4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Sugiyono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2017.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Kombinasi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(Mixed Methods). Bandung: </w:t>
      </w:r>
      <w:proofErr w:type="spellStart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Alfabeta</w:t>
      </w:r>
      <w:proofErr w:type="spellEnd"/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DB6584C" w14:textId="77777777" w:rsidR="00057F41" w:rsidRPr="00057F41" w:rsidRDefault="00057F41" w:rsidP="00057F4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7F41">
        <w:rPr>
          <w:rFonts w:ascii="Times New Roman" w:hAnsi="Times New Roman" w:cs="Times New Roman"/>
          <w:sz w:val="24"/>
          <w:szCs w:val="24"/>
          <w:shd w:val="clear" w:color="auto" w:fill="FFFFFF"/>
        </w:rPr>
        <w:t>Hal. 10-12.</w:t>
      </w:r>
    </w:p>
    <w:p w14:paraId="0766476F" w14:textId="77777777" w:rsidR="00057F41" w:rsidRPr="00057F41" w:rsidRDefault="00057F41" w:rsidP="00057F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A8BFCA" w14:textId="549ED358" w:rsidR="00057F41" w:rsidRPr="00057F41" w:rsidRDefault="00057F41" w:rsidP="00057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57F41" w:rsidRPr="00057F41" w:rsidSect="00845799">
      <w:headerReference w:type="even" r:id="rId29"/>
      <w:pgSz w:w="11906" w:h="16838" w:code="9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92F78" w14:textId="77777777" w:rsidR="005F65BD" w:rsidRDefault="005F65BD" w:rsidP="00057F41">
      <w:pPr>
        <w:spacing w:after="0" w:line="240" w:lineRule="auto"/>
      </w:pPr>
      <w:r>
        <w:separator/>
      </w:r>
    </w:p>
  </w:endnote>
  <w:endnote w:type="continuationSeparator" w:id="0">
    <w:p w14:paraId="593610F2" w14:textId="77777777" w:rsidR="005F65BD" w:rsidRDefault="005F65BD" w:rsidP="0005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135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3F92E" w14:textId="252B753E" w:rsidR="00845799" w:rsidRDefault="005F65BD">
        <w:pPr>
          <w:pStyle w:val="Footer"/>
        </w:pPr>
      </w:p>
    </w:sdtContent>
  </w:sdt>
  <w:p w14:paraId="67855AB1" w14:textId="77777777" w:rsidR="00845799" w:rsidRDefault="008457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5040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BB5AF" w14:textId="5A13C5D1" w:rsidR="00057F41" w:rsidRDefault="00057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E802A" w14:textId="77777777" w:rsidR="00057F41" w:rsidRDefault="00057F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9162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1540E" w14:textId="30EC498E" w:rsidR="00755999" w:rsidRDefault="007559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2C1886" w14:textId="77777777" w:rsidR="00845799" w:rsidRDefault="008457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831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ED826" w14:textId="68A2F21D" w:rsidR="00845799" w:rsidRDefault="005F65BD">
        <w:pPr>
          <w:pStyle w:val="Footer"/>
          <w:jc w:val="center"/>
        </w:pPr>
      </w:p>
    </w:sdtContent>
  </w:sdt>
  <w:p w14:paraId="114E035A" w14:textId="77777777" w:rsidR="00057F41" w:rsidRDefault="00057F4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B53D8" w14:textId="0BC03736" w:rsidR="00845799" w:rsidRDefault="00845799">
    <w:pPr>
      <w:pStyle w:val="Footer"/>
      <w:jc w:val="center"/>
    </w:pPr>
  </w:p>
  <w:p w14:paraId="638C5185" w14:textId="77777777" w:rsidR="00845799" w:rsidRDefault="0084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800DB" w14:textId="77777777" w:rsidR="005F65BD" w:rsidRDefault="005F65BD" w:rsidP="00057F41">
      <w:pPr>
        <w:spacing w:after="0" w:line="240" w:lineRule="auto"/>
      </w:pPr>
      <w:r>
        <w:separator/>
      </w:r>
    </w:p>
  </w:footnote>
  <w:footnote w:type="continuationSeparator" w:id="0">
    <w:p w14:paraId="04AC1B9D" w14:textId="77777777" w:rsidR="005F65BD" w:rsidRDefault="005F65BD" w:rsidP="0005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5649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896807" w14:textId="790D8ABA" w:rsidR="00845799" w:rsidRDefault="0084579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CB799" w14:textId="77777777" w:rsidR="00845799" w:rsidRDefault="008457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4562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CA09F9" w14:textId="07276711" w:rsidR="00755999" w:rsidRDefault="007559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ED79E" w14:textId="77777777" w:rsidR="00845799" w:rsidRDefault="008457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4565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A79345" w14:textId="77777777" w:rsidR="00755999" w:rsidRDefault="0075599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9A7B8" w14:textId="77777777" w:rsidR="00755999" w:rsidRDefault="007559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62758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2DEC9E" w14:textId="777DC0FD" w:rsidR="00755999" w:rsidRDefault="007559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720B74" w14:textId="77777777" w:rsidR="00755999" w:rsidRDefault="0075599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0B104" w14:textId="77777777" w:rsidR="00755999" w:rsidRDefault="0075599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9492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2F2927" w14:textId="4BF51767" w:rsidR="00755999" w:rsidRDefault="007559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FA47E" w14:textId="77777777" w:rsidR="00845799" w:rsidRDefault="0084579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4478" w14:textId="77777777" w:rsidR="00845799" w:rsidRDefault="0084579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68792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FC98B3" w14:textId="77777777" w:rsidR="00845799" w:rsidRDefault="0084579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7ABF2D" w14:textId="77777777" w:rsidR="00845799" w:rsidRDefault="00845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6E58"/>
    <w:multiLevelType w:val="multilevel"/>
    <w:tmpl w:val="9662C9B2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" w15:restartNumberingAfterBreak="0">
    <w:nsid w:val="02732F2A"/>
    <w:multiLevelType w:val="hybridMultilevel"/>
    <w:tmpl w:val="4C8AA7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FF2531"/>
    <w:multiLevelType w:val="multilevel"/>
    <w:tmpl w:val="098A7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903CE2"/>
    <w:multiLevelType w:val="hybridMultilevel"/>
    <w:tmpl w:val="3A16A92C"/>
    <w:lvl w:ilvl="0" w:tplc="93268F76">
      <w:start w:val="1"/>
      <w:numFmt w:val="decimal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640E38"/>
    <w:multiLevelType w:val="hybridMultilevel"/>
    <w:tmpl w:val="C316D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83A36"/>
    <w:multiLevelType w:val="hybridMultilevel"/>
    <w:tmpl w:val="6B0AFE26"/>
    <w:lvl w:ilvl="0" w:tplc="ACCEFA9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CB8301D"/>
    <w:multiLevelType w:val="multilevel"/>
    <w:tmpl w:val="09C2A5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B70"/>
    <w:multiLevelType w:val="hybridMultilevel"/>
    <w:tmpl w:val="B8DC8900"/>
    <w:lvl w:ilvl="0" w:tplc="54D85C9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3E492AA5"/>
    <w:multiLevelType w:val="multilevel"/>
    <w:tmpl w:val="6EAAE0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D0324"/>
    <w:multiLevelType w:val="hybridMultilevel"/>
    <w:tmpl w:val="C6C618E4"/>
    <w:lvl w:ilvl="0" w:tplc="6BA06EC0">
      <w:start w:val="1"/>
      <w:numFmt w:val="lowerLetter"/>
      <w:lvlText w:val="%1."/>
      <w:lvlJc w:val="left"/>
      <w:pPr>
        <w:ind w:left="2203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3FE56EA4"/>
    <w:multiLevelType w:val="hybridMultilevel"/>
    <w:tmpl w:val="6A2468C8"/>
    <w:lvl w:ilvl="0" w:tplc="26C2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1633154"/>
    <w:multiLevelType w:val="hybridMultilevel"/>
    <w:tmpl w:val="0DBC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C00A4"/>
    <w:multiLevelType w:val="hybridMultilevel"/>
    <w:tmpl w:val="D96A60E6"/>
    <w:lvl w:ilvl="0" w:tplc="1B20DC0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49726B3E"/>
    <w:multiLevelType w:val="hybridMultilevel"/>
    <w:tmpl w:val="4D8C6EE4"/>
    <w:lvl w:ilvl="0" w:tplc="645EF8A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58B1584D"/>
    <w:multiLevelType w:val="hybridMultilevel"/>
    <w:tmpl w:val="BE3C97C4"/>
    <w:lvl w:ilvl="0" w:tplc="CC5CA3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61041F8F"/>
    <w:multiLevelType w:val="multilevel"/>
    <w:tmpl w:val="DC8A4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20348B9"/>
    <w:multiLevelType w:val="multilevel"/>
    <w:tmpl w:val="3580CF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5000F3"/>
    <w:multiLevelType w:val="multilevel"/>
    <w:tmpl w:val="0D3C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74C50"/>
    <w:multiLevelType w:val="hybridMultilevel"/>
    <w:tmpl w:val="0AD045DC"/>
    <w:lvl w:ilvl="0" w:tplc="548E2000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89A7FF4"/>
    <w:multiLevelType w:val="hybridMultilevel"/>
    <w:tmpl w:val="7082B9F8"/>
    <w:lvl w:ilvl="0" w:tplc="DB24954E">
      <w:start w:val="1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D962F9B"/>
    <w:multiLevelType w:val="hybridMultilevel"/>
    <w:tmpl w:val="BF4C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4"/>
  </w:num>
  <w:num w:numId="4">
    <w:abstractNumId w:val="2"/>
  </w:num>
  <w:num w:numId="5">
    <w:abstractNumId w:val="14"/>
  </w:num>
  <w:num w:numId="6">
    <w:abstractNumId w:val="0"/>
  </w:num>
  <w:num w:numId="7">
    <w:abstractNumId w:val="3"/>
  </w:num>
  <w:num w:numId="8">
    <w:abstractNumId w:val="15"/>
  </w:num>
  <w:num w:numId="9">
    <w:abstractNumId w:val="5"/>
  </w:num>
  <w:num w:numId="10">
    <w:abstractNumId w:val="9"/>
  </w:num>
  <w:num w:numId="11">
    <w:abstractNumId w:val="7"/>
  </w:num>
  <w:num w:numId="12">
    <w:abstractNumId w:val="12"/>
  </w:num>
  <w:num w:numId="13">
    <w:abstractNumId w:val="18"/>
  </w:num>
  <w:num w:numId="14">
    <w:abstractNumId w:val="13"/>
  </w:num>
  <w:num w:numId="15">
    <w:abstractNumId w:val="19"/>
  </w:num>
  <w:num w:numId="16">
    <w:abstractNumId w:val="6"/>
  </w:num>
  <w:num w:numId="17">
    <w:abstractNumId w:val="16"/>
  </w:num>
  <w:num w:numId="18">
    <w:abstractNumId w:val="8"/>
  </w:num>
  <w:num w:numId="19">
    <w:abstractNumId w:val="17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80"/>
    <w:rsid w:val="00057F41"/>
    <w:rsid w:val="0010337C"/>
    <w:rsid w:val="001179BA"/>
    <w:rsid w:val="004B2EA4"/>
    <w:rsid w:val="005F65BD"/>
    <w:rsid w:val="00640413"/>
    <w:rsid w:val="00645D98"/>
    <w:rsid w:val="00755999"/>
    <w:rsid w:val="007572BC"/>
    <w:rsid w:val="007872CA"/>
    <w:rsid w:val="00794F3C"/>
    <w:rsid w:val="007F2A62"/>
    <w:rsid w:val="00845799"/>
    <w:rsid w:val="00A251CC"/>
    <w:rsid w:val="00AA54CD"/>
    <w:rsid w:val="00B33598"/>
    <w:rsid w:val="00C21E80"/>
    <w:rsid w:val="00D639EA"/>
    <w:rsid w:val="00D9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B7A65"/>
  <w15:chartTrackingRefBased/>
  <w15:docId w15:val="{5AE849AA-B59F-4ED4-B31F-0D59F90F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E80"/>
  </w:style>
  <w:style w:type="paragraph" w:styleId="Heading1">
    <w:name w:val="heading 1"/>
    <w:basedOn w:val="Normal"/>
    <w:next w:val="Normal"/>
    <w:link w:val="Heading1Char"/>
    <w:uiPriority w:val="9"/>
    <w:qFormat/>
    <w:rsid w:val="0005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7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7F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7F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7F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057F41"/>
    <w:rPr>
      <w:i/>
      <w:iCs/>
    </w:rPr>
  </w:style>
  <w:style w:type="table" w:styleId="TableGrid">
    <w:name w:val="Table Grid"/>
    <w:basedOn w:val="TableNormal"/>
    <w:uiPriority w:val="39"/>
    <w:rsid w:val="0005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F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57F41"/>
    <w:rPr>
      <w:b/>
      <w:bCs/>
    </w:rPr>
  </w:style>
  <w:style w:type="character" w:styleId="Hyperlink">
    <w:name w:val="Hyperlink"/>
    <w:basedOn w:val="DefaultParagraphFont"/>
    <w:uiPriority w:val="99"/>
    <w:unhideWhenUsed/>
    <w:rsid w:val="00057F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F41"/>
  </w:style>
  <w:style w:type="paragraph" w:styleId="Footer">
    <w:name w:val="footer"/>
    <w:basedOn w:val="Normal"/>
    <w:link w:val="FooterChar"/>
    <w:uiPriority w:val="99"/>
    <w:unhideWhenUsed/>
    <w:rsid w:val="00057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F41"/>
  </w:style>
  <w:style w:type="paragraph" w:styleId="TOCHeading">
    <w:name w:val="TOC Heading"/>
    <w:basedOn w:val="Heading1"/>
    <w:next w:val="Normal"/>
    <w:uiPriority w:val="39"/>
    <w:unhideWhenUsed/>
    <w:qFormat/>
    <w:rsid w:val="007559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5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59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599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45D9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yperlink" Target="https://www.pelajaran.co.id/2019/19/pengertian-keuangan-inklusif-visi-tujuan-manfaat-strategi-dan-indikator-kebijakan-keuangan-inklusif.html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yperlink" Target="https://www.ojk.go.id/id/kanal/perbankan/Pages/Panduan-Penyelenggaraan-Digital-Branch-oleh-Bank-Umum.aspx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ln.kemdikbud.go.id/glnsite/wp-content/uploads/2017/10/cover-materi-pendukung-literasi-finansial-gabung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yperlink" Target="https://www.ojk.go.id/id/kanal/edukasi-dan-perlindungan-konsumen/Pages/Literasi-Keuangan.aspx" TargetMode="External"/><Relationship Id="rId28" Type="http://schemas.openxmlformats.org/officeDocument/2006/relationships/hyperlink" Target="https://www.pwc.com/id/en/media-centre/press-release/2018/indonesian/pergeseran-teknologi-di-Indonesia-sedang-terjadi.html" TargetMode="Externa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s://www2.deloitte.com/sg/en/pages/financial-services/articles/digital-financial-indonesia.html" TargetMode="External"/><Relationship Id="rId27" Type="http://schemas.openxmlformats.org/officeDocument/2006/relationships/hyperlink" Target="https://www.investree.id/en/blog/marketplace-lending/peran-fintech-untuk-meningkatkan-inklusi-keuanga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98DDB-5D64-4F77-99D0-2DC9FD3ED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4644</Words>
  <Characters>26474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KEVIN PETRASAVE</cp:lastModifiedBy>
  <cp:revision>11</cp:revision>
  <dcterms:created xsi:type="dcterms:W3CDTF">2019-12-30T05:32:00Z</dcterms:created>
  <dcterms:modified xsi:type="dcterms:W3CDTF">2020-01-05T14:40:00Z</dcterms:modified>
</cp:coreProperties>
</file>