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770" w:firstLineChars="350"/>
        <w:jc w:val="both"/>
        <w:rPr>
          <w:rFonts w:hint="default" w:ascii="Arial" w:hAnsi="Arial" w:cs="Arial"/>
          <w:b/>
          <w:bCs w:val="0"/>
          <w:color w:val="000000" w:themeColor="text1"/>
          <w:sz w:val="22"/>
          <w:szCs w:val="22"/>
          <w14:textFill>
            <w14:solidFill>
              <w14:schemeClr w14:val="tx1"/>
            </w14:solidFill>
          </w14:textFill>
        </w:rPr>
      </w:pPr>
      <w:r>
        <w:rPr>
          <w:rFonts w:hint="default" w:ascii="Arial" w:hAnsi="Arial" w:cs="Arial"/>
          <w:b/>
          <w:bCs w:val="0"/>
          <w:color w:val="000000" w:themeColor="text1"/>
          <w:sz w:val="22"/>
          <w:szCs w:val="22"/>
          <w14:textFill>
            <w14:solidFill>
              <w14:schemeClr w14:val="tx1"/>
            </w14:solidFill>
          </w14:textFill>
        </w:rPr>
        <w:t>College cod</w:t>
      </w:r>
      <w:r>
        <w:rPr>
          <w:rFonts w:hint="default" w:ascii="Arial" w:hAnsi="Arial" w:cs="Arial"/>
          <w:b/>
          <w:bCs w:val="0"/>
          <w:color w:val="000000" w:themeColor="text1"/>
          <w:sz w:val="22"/>
          <w:szCs w:val="22"/>
          <w14:textFill>
            <w14:solidFill>
              <w14:schemeClr w14:val="tx1"/>
            </w14:solidFill>
          </w14:textFill>
        </w:rPr>
        <w:t>e:7177</w:t>
      </w:r>
    </w:p>
    <w:p>
      <w:pPr>
        <w:spacing w:line="360" w:lineRule="auto"/>
        <w:ind w:firstLine="770" w:firstLineChars="350"/>
        <w:jc w:val="left"/>
        <w:rPr>
          <w:rFonts w:hint="default" w:ascii="Arial" w:hAnsi="Arial" w:cs="Arial"/>
          <w:b/>
          <w:bCs w:val="0"/>
          <w:color w:val="000000" w:themeColor="text1"/>
          <w:sz w:val="22"/>
          <w:szCs w:val="22"/>
          <w14:textFill>
            <w14:solidFill>
              <w14:schemeClr w14:val="tx1"/>
            </w14:solidFill>
          </w14:textFill>
        </w:rPr>
      </w:pPr>
      <w:r>
        <w:rPr>
          <w:rFonts w:hint="default" w:ascii="Arial" w:hAnsi="Arial" w:cs="Arial"/>
          <w:b/>
          <w:bCs w:val="0"/>
          <w:color w:val="000000" w:themeColor="text1"/>
          <w:sz w:val="22"/>
          <w:szCs w:val="22"/>
          <w14:textFill>
            <w14:solidFill>
              <w14:schemeClr w14:val="tx1"/>
            </w14:solidFill>
          </w14:textFill>
        </w:rPr>
        <w:t>Team members: Komathilakshmi D</w:t>
      </w:r>
    </w:p>
    <w:p>
      <w:pPr>
        <w:spacing w:line="360" w:lineRule="auto"/>
        <w:ind w:firstLine="2531" w:firstLineChars="1150"/>
        <w:jc w:val="both"/>
        <w:rPr>
          <w:rFonts w:hint="default" w:ascii="Arial" w:hAnsi="Arial" w:cs="Arial"/>
          <w:b/>
          <w:bCs w:val="0"/>
          <w:color w:val="000000" w:themeColor="text1"/>
          <w:sz w:val="22"/>
          <w:szCs w:val="22"/>
          <w14:textFill>
            <w14:solidFill>
              <w14:schemeClr w14:val="tx1"/>
            </w14:solidFill>
          </w14:textFill>
        </w:rPr>
      </w:pPr>
      <w:r>
        <w:rPr>
          <w:rFonts w:hint="default" w:ascii="Arial" w:hAnsi="Arial" w:cs="Arial"/>
          <w:b/>
          <w:bCs w:val="0"/>
          <w:color w:val="000000" w:themeColor="text1"/>
          <w:sz w:val="22"/>
          <w:szCs w:val="22"/>
          <w14:textFill>
            <w14:solidFill>
              <w14:schemeClr w14:val="tx1"/>
            </w14:solidFill>
          </w14:textFill>
        </w:rPr>
        <w:t>Preethi G</w:t>
      </w:r>
    </w:p>
    <w:p>
      <w:pPr>
        <w:spacing w:line="360" w:lineRule="auto"/>
        <w:ind w:firstLine="2531" w:firstLineChars="1150"/>
        <w:jc w:val="both"/>
        <w:rPr>
          <w:rFonts w:hint="default" w:ascii="Arial" w:hAnsi="Arial" w:cs="Arial"/>
          <w:b/>
          <w:bCs w:val="0"/>
          <w:color w:val="000000" w:themeColor="text1"/>
          <w:sz w:val="22"/>
          <w:szCs w:val="22"/>
          <w14:textFill>
            <w14:solidFill>
              <w14:schemeClr w14:val="tx1"/>
            </w14:solidFill>
          </w14:textFill>
        </w:rPr>
      </w:pPr>
      <w:r>
        <w:rPr>
          <w:rFonts w:hint="default" w:ascii="Arial" w:hAnsi="Arial" w:cs="Arial"/>
          <w:b/>
          <w:bCs w:val="0"/>
          <w:color w:val="000000" w:themeColor="text1"/>
          <w:sz w:val="22"/>
          <w:szCs w:val="22"/>
          <w14:textFill>
            <w14:solidFill>
              <w14:schemeClr w14:val="tx1"/>
            </w14:solidFill>
          </w14:textFill>
        </w:rPr>
        <w:t>Sheelajemi L</w:t>
      </w:r>
    </w:p>
    <w:p>
      <w:pPr>
        <w:spacing w:line="360" w:lineRule="auto"/>
        <w:ind w:firstLine="2531" w:firstLineChars="1150"/>
        <w:jc w:val="both"/>
        <w:rPr>
          <w:rFonts w:hint="default" w:ascii="Arial" w:hAnsi="Arial" w:cs="Arial"/>
          <w:b/>
          <w:bCs w:val="0"/>
          <w:color w:val="000000" w:themeColor="text1"/>
          <w:sz w:val="22"/>
          <w:szCs w:val="22"/>
          <w14:textFill>
            <w14:solidFill>
              <w14:schemeClr w14:val="tx1"/>
            </w14:solidFill>
          </w14:textFill>
        </w:rPr>
      </w:pPr>
      <w:r>
        <w:rPr>
          <w:rFonts w:hint="default" w:ascii="Arial" w:hAnsi="Arial" w:cs="Arial"/>
          <w:b/>
          <w:bCs w:val="0"/>
          <w:color w:val="000000" w:themeColor="text1"/>
          <w:sz w:val="22"/>
          <w:szCs w:val="22"/>
          <w14:textFill>
            <w14:solidFill>
              <w14:schemeClr w14:val="tx1"/>
            </w14:solidFill>
          </w14:textFill>
        </w:rPr>
        <w:t>Megavannan M D</w:t>
      </w:r>
    </w:p>
    <w:p>
      <w:pPr>
        <w:spacing w:line="360" w:lineRule="auto"/>
        <w:jc w:val="center"/>
        <w:rPr>
          <w:rFonts w:hint="default" w:ascii="Arial" w:hAnsi="Arial" w:cs="Arial"/>
          <w:b/>
          <w:bCs w:val="0"/>
          <w:color w:val="000000" w:themeColor="text1"/>
          <w:sz w:val="22"/>
          <w:szCs w:val="22"/>
          <w14:textFill>
            <w14:solidFill>
              <w14:schemeClr w14:val="tx1"/>
            </w14:solidFill>
          </w14:textFill>
        </w:rPr>
      </w:pPr>
      <w:r>
        <w:rPr>
          <w:rFonts w:hint="default" w:ascii="Arial" w:hAnsi="Arial" w:cs="Arial"/>
          <w:b/>
          <w:bCs w:val="0"/>
          <w:color w:val="000000" w:themeColor="text1"/>
          <w:sz w:val="22"/>
          <w:szCs w:val="22"/>
          <w14:textFill>
            <w14:solidFill>
              <w14:schemeClr w14:val="tx1"/>
            </w14:solidFill>
          </w14:textFill>
        </w:rPr>
        <w:t>COVID VACCINES ANALYSIS USING DATA ANALYCTICS WITH COGNOS</w:t>
      </w:r>
    </w:p>
    <w:p>
      <w:pPr>
        <w:spacing w:line="360" w:lineRule="auto"/>
        <w:jc w:val="center"/>
        <w:rPr>
          <w:rFonts w:ascii="Arial Narrow" w:hAnsi="Arial Narrow" w:cstheme="majorHAnsi"/>
          <w:b/>
          <w:bCs w:val="0"/>
          <w:color w:val="000000" w:themeColor="text1"/>
          <w:sz w:val="22"/>
          <w:szCs w:val="22"/>
          <w14:textFill>
            <w14:solidFill>
              <w14:schemeClr w14:val="tx1"/>
            </w14:solidFill>
          </w14:textFill>
        </w:rPr>
      </w:pPr>
      <w:bookmarkStart w:id="0" w:name="_GoBack"/>
      <w:r>
        <w:rPr>
          <w:rFonts w:hint="default" w:ascii="Arial" w:hAnsi="Arial" w:cs="Arial"/>
          <w:b/>
          <w:bCs w:val="0"/>
          <w:color w:val="000000" w:themeColor="text1"/>
          <w:sz w:val="22"/>
          <w:szCs w:val="22"/>
          <w14:textFill>
            <w14:solidFill>
              <w14:schemeClr w14:val="tx1"/>
            </w14:solidFill>
          </w14:textFill>
        </w:rPr>
        <w:t>PROJECT TITLE:</w:t>
      </w:r>
      <w:r>
        <w:rPr>
          <w:rFonts w:hint="default" w:ascii="Arial" w:hAnsi="Arial" w:cs="Arial"/>
          <w:b/>
          <w:bCs w:val="0"/>
          <w:color w:val="000000" w:themeColor="text1"/>
          <w:sz w:val="22"/>
          <w:szCs w:val="22"/>
          <w:lang w:val="en-AU"/>
          <w14:textFill>
            <w14:solidFill>
              <w14:schemeClr w14:val="tx1"/>
            </w14:solidFill>
          </w14:textFill>
        </w:rPr>
        <w:t xml:space="preserve">  </w:t>
      </w:r>
      <w:r>
        <w:rPr>
          <w:rFonts w:hint="default" w:ascii="Arial" w:hAnsi="Arial" w:cs="Arial"/>
          <w:b/>
          <w:bCs w:val="0"/>
          <w:color w:val="000000" w:themeColor="text1"/>
          <w:sz w:val="22"/>
          <w:szCs w:val="22"/>
          <w14:textFill>
            <w14:solidFill>
              <w14:schemeClr w14:val="tx1"/>
            </w14:solidFill>
          </w14:textFill>
        </w:rPr>
        <w:t>COVID vaccines analysis with IBM cognos.</w:t>
      </w:r>
      <w:bookmarkEnd w:id="0"/>
    </w:p>
    <w:p>
      <w:pPr>
        <w:rPr>
          <w:rFonts w:hint="default"/>
          <w:b w:val="0"/>
          <w:bCs/>
          <w:color w:val="000000"/>
          <w:sz w:val="22"/>
          <w:szCs w:val="22"/>
          <w:lang w:val="en-AU"/>
        </w:rPr>
      </w:pPr>
      <w:r>
        <w:rPr>
          <w:rFonts w:hint="default"/>
          <w:b w:val="0"/>
          <w:bCs/>
          <w:color w:val="000000"/>
          <w:sz w:val="22"/>
          <w:szCs w:val="22"/>
          <w:lang w:val="en-AU"/>
        </w:rPr>
        <w:t xml:space="preserve">Exploratory Data Analysis (EDA) is a critical step in data analysis process, with the analysis of COVID-19 vaccine distribution data. </w:t>
      </w:r>
    </w:p>
    <w:p>
      <w:pPr>
        <w:numPr>
          <w:ilvl w:val="0"/>
          <w:numId w:val="1"/>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helps us get a better understanding of our dataset. For COVID vaccine analysis, this might involve examining variables such as vaccination rates, demographic information. EDA allows us to identify what data we have, its quality, and how it's structured.</w:t>
      </w:r>
    </w:p>
    <w:p>
      <w:pPr>
        <w:numPr>
          <w:ilvl w:val="0"/>
          <w:numId w:val="1"/>
        </w:numPr>
        <w:ind w:left="420" w:leftChars="0" w:hanging="420" w:firstLineChars="0"/>
        <w:rPr>
          <w:rFonts w:hint="default"/>
          <w:b w:val="0"/>
          <w:bCs/>
          <w:color w:val="000000"/>
          <w:sz w:val="22"/>
          <w:szCs w:val="22"/>
          <w:lang w:val="en-AU"/>
        </w:rPr>
      </w:pPr>
      <w:r>
        <w:rPr>
          <w:rFonts w:hint="default"/>
          <w:b w:val="0"/>
          <w:bCs/>
          <w:color w:val="000000"/>
          <w:sz w:val="22"/>
          <w:szCs w:val="22"/>
          <w:lang w:val="en-AU"/>
        </w:rPr>
        <w:t>During EDA, we can identify and address data quality issues, missing values, outliers, and inconsistencies. Ensuring data cleanliness is crucial for reliable vaccine analysis.</w:t>
      </w:r>
    </w:p>
    <w:p>
      <w:pPr>
        <w:numPr>
          <w:ilvl w:val="0"/>
          <w:numId w:val="1"/>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techniques like data visualization can help us spot patterns and trends in the data. We can create various plots and charts to visualize vaccination trends, vaccine coverage over time, and variations among different regions or population groups.</w:t>
      </w:r>
    </w:p>
    <w:p>
      <w:pPr>
        <w:numPr>
          <w:ilvl w:val="0"/>
          <w:numId w:val="1"/>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allows us to explore relationships between variables. For COVID vaccine analysis, we can examine correlations between vaccination rates and COVID case numbers, hospitalizations, and mortality rates.</w:t>
      </w:r>
    </w:p>
    <w:p>
      <w:pPr>
        <w:numPr>
          <w:ilvl w:val="0"/>
          <w:numId w:val="1"/>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can inspire hypotheses for more in-depth analysis. For example, we might notice that vaccination rates are lower in certain areas and hypothesize that these areas could be potential hotspots for COVID outbreaks.</w:t>
      </w:r>
    </w:p>
    <w:p>
      <w:pPr>
        <w:numPr>
          <w:ilvl w:val="0"/>
          <w:numId w:val="1"/>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can help identify subpopulations that may require special attention. We can explore vaccination rates and outcomes among different age groups, ethnicities, or comorbidity categories.</w:t>
      </w:r>
    </w:p>
    <w:p>
      <w:pPr>
        <w:numPr>
          <w:ilvl w:val="0"/>
          <w:numId w:val="1"/>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can help you identify unusual or unexpected patterns in the data. For COVID vaccine analysis, this might involve detecting adverse events or side effects that occur at a higher rate than expected.</w:t>
      </w:r>
    </w:p>
    <w:p>
      <w:pPr>
        <w:numPr>
          <w:ilvl w:val="0"/>
          <w:numId w:val="1"/>
        </w:numPr>
        <w:ind w:left="420" w:leftChars="0" w:hanging="420" w:firstLineChars="0"/>
        <w:rPr>
          <w:rFonts w:hint="default"/>
          <w:b w:val="0"/>
          <w:bCs/>
          <w:color w:val="000000"/>
          <w:sz w:val="22"/>
          <w:szCs w:val="22"/>
          <w:lang w:val="en-AU"/>
        </w:rPr>
      </w:pPr>
      <w:r>
        <w:rPr>
          <w:rFonts w:hint="default"/>
          <w:b w:val="0"/>
          <w:bCs/>
          <w:color w:val="000000"/>
          <w:sz w:val="22"/>
          <w:szCs w:val="22"/>
          <w:lang w:val="en-AU"/>
        </w:rPr>
        <w:t>If we plan to build predictive models for COVID-related outcomes, EDA can guide you in selecting relevant features from the dataset. This can help improve model performance and interpretability.</w:t>
      </w:r>
    </w:p>
    <w:p>
      <w:pPr>
        <w:numPr>
          <w:ilvl w:val="0"/>
          <w:numId w:val="1"/>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involves creating various visualizations, such as histograms, scatter plots, and time series plots, to provide clear insights into the data. Visualization can make complex data more understandable and accessible to a broader audience.</w:t>
      </w:r>
    </w:p>
    <w:p>
      <w:pPr>
        <w:rPr>
          <w:rFonts w:hint="default"/>
          <w:b w:val="0"/>
          <w:bCs/>
          <w:color w:val="000000"/>
          <w:sz w:val="22"/>
          <w:szCs w:val="22"/>
          <w:lang w:val="en-AU"/>
        </w:rPr>
      </w:pPr>
    </w:p>
    <w:p>
      <w:pPr>
        <w:numPr>
          <w:ilvl w:val="0"/>
          <w:numId w:val="1"/>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findings can be used to create informative reports or dashboards to communicate insights to stakeholders, public health officials, and the general public.</w:t>
      </w:r>
    </w:p>
    <w:p>
      <w:pPr>
        <w:rPr>
          <w:rFonts w:hint="default"/>
          <w:b w:val="0"/>
          <w:bCs/>
          <w:color w:val="000000"/>
          <w:sz w:val="22"/>
          <w:szCs w:val="22"/>
        </w:rPr>
      </w:pPr>
    </w:p>
    <w:p>
      <w:pPr>
        <w:rPr>
          <w:rFonts w:hint="default"/>
          <w:b w:val="0"/>
          <w:bCs/>
          <w:color w:val="000000"/>
          <w:sz w:val="22"/>
          <w:szCs w:val="22"/>
        </w:rPr>
      </w:pPr>
      <w:r>
        <w:rPr>
          <w:rFonts w:hint="default"/>
          <w:b/>
          <w:bCs w:val="0"/>
          <w:color w:val="000000"/>
          <w:sz w:val="22"/>
          <w:szCs w:val="22"/>
        </w:rPr>
        <w:t>Statistical analysis</w:t>
      </w:r>
      <w:r>
        <w:rPr>
          <w:rFonts w:hint="default"/>
          <w:b w:val="0"/>
          <w:bCs/>
          <w:color w:val="000000"/>
          <w:sz w:val="22"/>
          <w:szCs w:val="22"/>
        </w:rPr>
        <w:t xml:space="preserve"> is a powerful tool for conducting COVID vaccine analysis. It helps researchers and public health professionals make data-driven decisions, assess the effectiveness of vaccines, and gain insights into their impact on COVID-19 outcomes. </w:t>
      </w:r>
    </w:p>
    <w:p>
      <w:pPr>
        <w:rPr>
          <w:rFonts w:hint="default"/>
          <w:b w:val="0"/>
          <w:bCs/>
          <w:color w:val="000000"/>
          <w:sz w:val="22"/>
          <w:szCs w:val="22"/>
        </w:rPr>
      </w:pPr>
      <w:r>
        <w:rPr>
          <w:rFonts w:hint="default"/>
          <w:b w:val="0"/>
          <w:bCs/>
          <w:color w:val="000000"/>
          <w:sz w:val="22"/>
          <w:szCs w:val="22"/>
        </w:rPr>
        <w:t>Certainly, here's how statistical analysis can be applied specifically to the distribution of COVID-19 vaccines:</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Statistical analysis can assess the efficiency of vaccine distribution by examining key metrics such as the time it takes to administer vaccines, the number of doses distributed versus administered, and the distribution coverage across different regions. This analysis can help identify bottlenecks and areas that need improvement.</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Statistical methods can be used to analyze the performance of the vaccine supply chain, including logistics and inventory management. This helps ensure a smooth and timely flow of vaccines to distribution centers, clinics, and vaccination sites.</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By employing statistical techniques like demand forecasting, inventory control models, and safety stock analysis, vaccine distribution centers can optimize their inventory management. This ensures that there are enough vaccine doses available without excessive overstock.</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Statistical analysis can help predict and understand the demand for vaccines in different geographic areas and demographic groups. This information is crucial for allocating vaccine doses effectively.</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Geographic information system (GIS) and spatial statistical methods can be used to analyze the geographic distribution of vaccines. This can help identify underserved areas and guide allocation decisions.</w:t>
      </w:r>
    </w:p>
    <w:p>
      <w:pPr>
        <w:rPr>
          <w:rFonts w:hint="default"/>
          <w:b w:val="0"/>
          <w:bCs/>
          <w:color w:val="000000"/>
          <w:sz w:val="22"/>
          <w:szCs w:val="22"/>
        </w:rPr>
      </w:pP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lang w:val="en-AU"/>
        </w:rPr>
        <w:t>S</w:t>
      </w:r>
      <w:r>
        <w:rPr>
          <w:rFonts w:hint="default"/>
          <w:b w:val="0"/>
          <w:bCs/>
          <w:color w:val="000000"/>
          <w:sz w:val="22"/>
          <w:szCs w:val="22"/>
        </w:rPr>
        <w:t>tatistical analysis can be used to monitor the temperature and condition of vaccines throughout the supply chain. Deviations from recommended storage conditions can be detected, allowing for timely corrective actions.</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Statistical methods can assess the performance of vaccination sites, including wait times, appointment availability, and vaccination rates. This information is vital for optimizing site operations.</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Statistical analysis can evaluate vaccine distribution to ensure equity and fairness. This includes analyzing whether vulnerable or underserved populations have equitable access to vaccines.</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Statistical models can assist in resource allocation decisions, such as determining the number of vaccination sites needed in a given region or the allocation of vaccines to different states or communities.</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Statistical techniques can be applied to assess the quality of the distributed vaccines, ensuring that they meet safety and efficacy standards.</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Statistical surveillance systems are used to monitor adverse events following vaccination. Analyzing this data can help identify potential safety concerns and guide regulatory decisions.</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Statistical modeling can be used to assess the public health impact of vaccine distribution. This involves estimating the reduction in COVID-19 cases, hospitalizations, and deaths attributable to the vaccination campaign.</w:t>
      </w:r>
    </w:p>
    <w:p>
      <w:pPr>
        <w:numPr>
          <w:ilvl w:val="0"/>
          <w:numId w:val="1"/>
        </w:numPr>
        <w:ind w:left="420" w:leftChars="0" w:hanging="420" w:firstLineChars="0"/>
        <w:rPr>
          <w:rFonts w:hint="default"/>
          <w:b w:val="0"/>
          <w:bCs/>
          <w:color w:val="000000"/>
          <w:sz w:val="22"/>
          <w:szCs w:val="22"/>
        </w:rPr>
      </w:pPr>
      <w:r>
        <w:rPr>
          <w:rFonts w:hint="default"/>
          <w:b w:val="0"/>
          <w:bCs/>
          <w:color w:val="000000"/>
          <w:sz w:val="22"/>
          <w:szCs w:val="22"/>
        </w:rPr>
        <w:t>Statistical simulations can help decision-makers explore different distribution strategies and their potential outcomes. For example, they can simulate the impact of prioritizing specific populations for vaccination or altering distribution routes.</w:t>
      </w:r>
    </w:p>
    <w:p>
      <w:pPr>
        <w:rPr>
          <w:sz w:val="22"/>
          <w:szCs w:val="22"/>
        </w:rPr>
      </w:pPr>
      <w:r>
        <w:rPr>
          <w:sz w:val="22"/>
          <w:szCs w:val="22"/>
        </w:rPr>
        <w:drawing>
          <wp:inline distT="0" distB="0" distL="114300" distR="114300">
            <wp:extent cx="5727700" cy="4015740"/>
            <wp:effectExtent l="0" t="0" r="6350"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6"/>
                    <a:stretch>
                      <a:fillRect/>
                    </a:stretch>
                  </pic:blipFill>
                  <pic:spPr>
                    <a:xfrm>
                      <a:off x="0" y="0"/>
                      <a:ext cx="5727700" cy="4015740"/>
                    </a:xfrm>
                    <a:prstGeom prst="rect">
                      <a:avLst/>
                    </a:prstGeom>
                    <a:noFill/>
                    <a:ln>
                      <a:noFill/>
                    </a:ln>
                  </pic:spPr>
                </pic:pic>
              </a:graphicData>
            </a:graphic>
          </wp:inline>
        </w:drawing>
      </w:r>
      <w:r>
        <w:rPr>
          <w:sz w:val="22"/>
          <w:szCs w:val="22"/>
        </w:rPr>
        <w:drawing>
          <wp:inline distT="0" distB="0" distL="114300" distR="114300">
            <wp:extent cx="4610100" cy="4600575"/>
            <wp:effectExtent l="0" t="0" r="0" b="952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7"/>
                    <a:stretch>
                      <a:fillRect/>
                    </a:stretch>
                  </pic:blipFill>
                  <pic:spPr>
                    <a:xfrm>
                      <a:off x="0" y="0"/>
                      <a:ext cx="4610100" cy="4600575"/>
                    </a:xfrm>
                    <a:prstGeom prst="rect">
                      <a:avLst/>
                    </a:prstGeom>
                    <a:noFill/>
                    <a:ln>
                      <a:noFill/>
                    </a:ln>
                  </pic:spPr>
                </pic:pic>
              </a:graphicData>
            </a:graphic>
          </wp:inline>
        </w:drawing>
      </w:r>
    </w:p>
    <w:p>
      <w:pPr>
        <w:rPr>
          <w:sz w:val="22"/>
          <w:szCs w:val="22"/>
        </w:rPr>
      </w:pPr>
      <w:r>
        <w:rPr>
          <w:sz w:val="22"/>
          <w:szCs w:val="22"/>
        </w:rPr>
        <w:drawing>
          <wp:inline distT="0" distB="0" distL="114300" distR="114300">
            <wp:extent cx="4610100" cy="460057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8"/>
                    <a:stretch>
                      <a:fillRect/>
                    </a:stretch>
                  </pic:blipFill>
                  <pic:spPr>
                    <a:xfrm>
                      <a:off x="0" y="0"/>
                      <a:ext cx="4610100" cy="4600575"/>
                    </a:xfrm>
                    <a:prstGeom prst="rect">
                      <a:avLst/>
                    </a:prstGeom>
                    <a:noFill/>
                    <a:ln>
                      <a:noFill/>
                    </a:ln>
                  </pic:spPr>
                </pic:pic>
              </a:graphicData>
            </a:graphic>
          </wp:inline>
        </w:drawing>
      </w:r>
    </w:p>
    <w:p>
      <w:pPr>
        <w:rPr>
          <w:sz w:val="22"/>
          <w:szCs w:val="22"/>
        </w:rPr>
      </w:pPr>
      <w:r>
        <w:rPr>
          <w:sz w:val="22"/>
          <w:szCs w:val="22"/>
        </w:rPr>
        <w:drawing>
          <wp:inline distT="0" distB="0" distL="114300" distR="114300">
            <wp:extent cx="5727700" cy="4008120"/>
            <wp:effectExtent l="0" t="0" r="6350" b="1143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9"/>
                    <a:stretch>
                      <a:fillRect/>
                    </a:stretch>
                  </pic:blipFill>
                  <pic:spPr>
                    <a:xfrm>
                      <a:off x="0" y="0"/>
                      <a:ext cx="5727700" cy="4008120"/>
                    </a:xfrm>
                    <a:prstGeom prst="rect">
                      <a:avLst/>
                    </a:prstGeom>
                    <a:noFill/>
                    <a:ln>
                      <a:noFill/>
                    </a:ln>
                  </pic:spPr>
                </pic:pic>
              </a:graphicData>
            </a:graphic>
          </wp:inline>
        </w:drawing>
      </w:r>
    </w:p>
    <w:p>
      <w:pPr>
        <w:rPr>
          <w:sz w:val="22"/>
          <w:szCs w:val="22"/>
        </w:rPr>
      </w:pPr>
      <w:r>
        <w:rPr>
          <w:sz w:val="22"/>
          <w:szCs w:val="22"/>
        </w:rPr>
        <w:drawing>
          <wp:inline distT="0" distB="0" distL="114300" distR="114300">
            <wp:extent cx="5729605" cy="4166870"/>
            <wp:effectExtent l="0" t="0" r="4445" b="508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0"/>
                    <a:stretch>
                      <a:fillRect/>
                    </a:stretch>
                  </pic:blipFill>
                  <pic:spPr>
                    <a:xfrm>
                      <a:off x="0" y="0"/>
                      <a:ext cx="5729605" cy="4166870"/>
                    </a:xfrm>
                    <a:prstGeom prst="rect">
                      <a:avLst/>
                    </a:prstGeom>
                    <a:noFill/>
                    <a:ln>
                      <a:noFill/>
                    </a:ln>
                  </pic:spPr>
                </pic:pic>
              </a:graphicData>
            </a:graphic>
          </wp:inline>
        </w:drawing>
      </w:r>
    </w:p>
    <w:p>
      <w:pPr>
        <w:rPr>
          <w:sz w:val="22"/>
          <w:szCs w:val="22"/>
        </w:rPr>
      </w:pPr>
      <w:r>
        <w:rPr>
          <w:sz w:val="22"/>
          <w:szCs w:val="22"/>
        </w:rPr>
        <w:drawing>
          <wp:inline distT="0" distB="0" distL="114300" distR="114300">
            <wp:extent cx="5729605" cy="4166870"/>
            <wp:effectExtent l="0" t="0" r="4445" b="508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1"/>
                    <a:stretch>
                      <a:fillRect/>
                    </a:stretch>
                  </pic:blipFill>
                  <pic:spPr>
                    <a:xfrm>
                      <a:off x="0" y="0"/>
                      <a:ext cx="5729605" cy="4166870"/>
                    </a:xfrm>
                    <a:prstGeom prst="rect">
                      <a:avLst/>
                    </a:prstGeom>
                    <a:noFill/>
                    <a:ln>
                      <a:noFill/>
                    </a:ln>
                  </pic:spPr>
                </pic:pic>
              </a:graphicData>
            </a:graphic>
          </wp:inline>
        </w:drawing>
      </w:r>
    </w:p>
    <w:p>
      <w:pPr>
        <w:rPr>
          <w:sz w:val="22"/>
          <w:szCs w:val="22"/>
        </w:rPr>
      </w:pPr>
    </w:p>
    <w:p>
      <w:pPr>
        <w:rPr>
          <w:sz w:val="22"/>
          <w:szCs w:val="22"/>
        </w:rPr>
      </w:pPr>
      <w:r>
        <w:rPr>
          <w:sz w:val="22"/>
          <w:szCs w:val="22"/>
        </w:rPr>
        <w:drawing>
          <wp:inline distT="0" distB="0" distL="114300" distR="114300">
            <wp:extent cx="5725160" cy="5104765"/>
            <wp:effectExtent l="0" t="0" r="8890" b="63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2"/>
                    <a:stretch>
                      <a:fillRect/>
                    </a:stretch>
                  </pic:blipFill>
                  <pic:spPr>
                    <a:xfrm>
                      <a:off x="0" y="0"/>
                      <a:ext cx="5725160" cy="5104765"/>
                    </a:xfrm>
                    <a:prstGeom prst="rect">
                      <a:avLst/>
                    </a:prstGeom>
                    <a:noFill/>
                    <a:ln>
                      <a:noFill/>
                    </a:ln>
                  </pic:spPr>
                </pic:pic>
              </a:graphicData>
            </a:graphic>
          </wp:inline>
        </w:drawing>
      </w:r>
    </w:p>
    <w:p>
      <w:pPr>
        <w:rPr>
          <w:sz w:val="22"/>
          <w:szCs w:val="22"/>
        </w:rPr>
      </w:pPr>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Arial Narrow">
    <w:panose1 w:val="020B0606020202030204"/>
    <w:charset w:val="00"/>
    <w:family w:val="swiss"/>
    <w:pitch w:val="default"/>
    <w:sig w:usb0="00000287" w:usb1="00000800" w:usb2="00000000" w:usb3="00000000" w:csb0="2000009F" w:csb1="DFD70000"/>
  </w:font>
  <w:font w:name="Helvetica">
    <w:altName w:val="Arial"/>
    <w:panose1 w:val="020B0604020202020204"/>
    <w:charset w:val="00"/>
    <w:family w:val="swiss"/>
    <w:pitch w:val="default"/>
    <w:sig w:usb0="00000000" w:usb1="00000000" w:usb2="00000000" w:usb3="00000000" w:csb0="00000001" w:csb1="00000000"/>
  </w:font>
  <w:font w:name="Quattrocento San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AR JULIAN">
    <w:panose1 w:val="02000000000000000000"/>
    <w:charset w:val="00"/>
    <w:family w:val="auto"/>
    <w:pitch w:val="default"/>
    <w:sig w:usb0="8000002F" w:usb1="0000000A" w:usb2="00000000" w:usb3="00000000" w:csb0="00000001" w:csb1="00000000"/>
  </w:font>
  <w:font w:name="Arial Black">
    <w:panose1 w:val="020B0A04020102020204"/>
    <w:charset w:val="00"/>
    <w:family w:val="auto"/>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46F3CD"/>
    <w:multiLevelType w:val="singleLevel"/>
    <w:tmpl w:val="BC46F3C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BED"/>
    <w:rsid w:val="0084638E"/>
    <w:rsid w:val="00851BED"/>
    <w:rsid w:val="00FA0DC3"/>
    <w:rsid w:val="0B6E3B68"/>
    <w:rsid w:val="16A135AF"/>
    <w:rsid w:val="1F264229"/>
    <w:rsid w:val="20706EE8"/>
    <w:rsid w:val="2A251F7A"/>
    <w:rsid w:val="2A6033D4"/>
    <w:rsid w:val="3E8A5092"/>
    <w:rsid w:val="423E5AB5"/>
    <w:rsid w:val="56D42182"/>
    <w:rsid w:val="63AE629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eastAsia="en-IN" w:bidi="ar-SA"/>
    </w:rPr>
  </w:style>
  <w:style w:type="paragraph" w:styleId="2">
    <w:name w:val="heading 1"/>
    <w:basedOn w:val="1"/>
    <w:next w:val="1"/>
    <w:uiPriority w:val="0"/>
    <w:pPr>
      <w:spacing w:line="240" w:lineRule="auto"/>
      <w:outlineLvl w:val="0"/>
    </w:pPr>
    <w:rPr>
      <w:rFonts w:ascii="Times New Roman" w:hAnsi="Times New Roman" w:eastAsia="Times New Roman" w:cs="Times New Roman"/>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spacing w:before="480" w:after="120"/>
    </w:pPr>
    <w:rPr>
      <w:b/>
      <w:sz w:val="72"/>
      <w:szCs w:val="7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21</Pages>
  <Words>1588</Words>
  <Characters>9058</Characters>
  <Lines>75</Lines>
  <Paragraphs>21</Paragraphs>
  <TotalTime>38</TotalTime>
  <ScaleCrop>false</ScaleCrop>
  <LinksUpToDate>false</LinksUpToDate>
  <CharactersWithSpaces>10625</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2023-11-01T16:31:00Z</dcterms:created>
  <dc:creator>admin</dc:creator>
  <cp:lastModifiedBy>dhans</cp:lastModifiedBy>
  <dcterms:modified xsi:type="dcterms:W3CDTF">2023-11-01T18:00:38Z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536ECEC0C2914A2C828B2F53B93AC75C</vt:lpwstr>
  </property>
</Properties>
</file>