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Acme Corp — Annual Business Review 2024</w:t>
      </w:r>
    </w:p>
    <w:p>
      <w:pPr>
        <w:pStyle w:val="Heading1"/>
      </w:pPr>
      <w:r>
        <w:t xml:space="preserve">Executive Summary</w:t>
      </w:r>
    </w:p>
    <w:p>
      <w:r>
        <w:t xml:space="preserve">Acme Corporation achieved record-breaking financial performance in fiscal year 2024, delivering 34% year-over-year revenue growth while maintaining disciplined cost management. Our strategic investments in product innovation, market expansion, and talent acquisition have positioned us strongly for sustained growth through 2025 and beyond.</w:t>
      </w:r>
    </w:p>
    <w:p>
      <w:pPr>
        <w:pStyle w:val="Heading1"/>
      </w:pPr>
      <w:r>
        <w:t xml:space="preserve">Financial Highlights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Category</w:t>
            </w:r>
          </w:p>
        </w:tc>
        <w:tc>
          <w:p>
            <w:r>
              <w:rPr>
                <w:b/>
                <w:bCs/>
              </w:rPr>
              <w:t xml:space="preserve">Q3 2024</w:t>
            </w:r>
          </w:p>
        </w:tc>
        <w:tc>
          <w:p>
            <w:r>
              <w:rPr>
                <w:b/>
                <w:bCs/>
              </w:rPr>
              <w:t xml:space="preserve">Q4 2024</w:t>
            </w:r>
          </w:p>
        </w:tc>
        <w:tc>
          <w:p>
            <w:r>
              <w:rPr>
                <w:b/>
                <w:bCs/>
              </w:rPr>
              <w:t xml:space="preserve">Change</w:t>
            </w:r>
          </w:p>
        </w:tc>
      </w:tr>
      <w:tr>
        <w:tc>
          <w:p>
            <w:r>
              <w:t xml:space="preserve">Revenue</w:t>
            </w:r>
          </w:p>
        </w:tc>
        <w:tc>
          <w:p>
            <w:r>
              <w:t xml:space="preserve">$4.2M</w:t>
            </w:r>
          </w:p>
        </w:tc>
        <w:tc>
          <w:p>
            <w:r>
              <w:t xml:space="preserve">$5.1M</w:t>
            </w:r>
          </w:p>
        </w:tc>
        <w:tc>
          <w:p>
            <w:r>
              <w:t xml:space="preserve">+21.4%</w:t>
            </w:r>
          </w:p>
        </w:tc>
      </w:tr>
      <w:tr>
        <w:tc>
          <w:p>
            <w:r>
              <w:t xml:space="preserve">Operating Costs</w:t>
            </w:r>
          </w:p>
        </w:tc>
        <w:tc>
          <w:p>
            <w:r>
              <w:t xml:space="preserve">$2.8M</w:t>
            </w:r>
          </w:p>
        </w:tc>
        <w:tc>
          <w:p>
            <w:r>
              <w:t xml:space="preserve">$3.1M</w:t>
            </w:r>
          </w:p>
        </w:tc>
        <w:tc>
          <w:p>
            <w:r>
              <w:t xml:space="preserve">+10.7%</w:t>
            </w:r>
          </w:p>
        </w:tc>
      </w:tr>
      <w:tr>
        <w:tc>
          <w:p>
            <w:r>
              <w:t xml:space="preserve">Net Profit</w:t>
            </w:r>
          </w:p>
        </w:tc>
        <w:tc>
          <w:p>
            <w:r>
              <w:t xml:space="preserve">$1.4M</w:t>
            </w:r>
          </w:p>
        </w:tc>
        <w:tc>
          <w:p>
            <w:r>
              <w:t xml:space="preserve">$2.0M</w:t>
            </w:r>
          </w:p>
        </w:tc>
        <w:tc>
          <w:p>
            <w:r>
              <w:t xml:space="preserve">+42.9%</w:t>
            </w:r>
          </w:p>
        </w:tc>
      </w:tr>
      <w:tr>
        <w:tc>
          <w:p>
            <w:r>
              <w:t xml:space="preserve">Active Users</w:t>
            </w:r>
          </w:p>
        </w:tc>
        <w:tc>
          <w:p>
            <w:r>
              <w:t xml:space="preserve">48,200</w:t>
            </w:r>
          </w:p>
        </w:tc>
        <w:tc>
          <w:p>
            <w:r>
              <w:t xml:space="preserve">61,500</w:t>
            </w:r>
          </w:p>
        </w:tc>
        <w:tc>
          <w:p>
            <w:r>
              <w:t xml:space="preserve">+27.6%</w:t>
            </w:r>
          </w:p>
        </w:tc>
      </w:tr>
      <w:tr>
        <w:tc>
          <w:p>
            <w:r>
              <w:t xml:space="preserve">Customer Churn</w:t>
            </w:r>
          </w:p>
        </w:tc>
        <w:tc>
          <w:p>
            <w:r>
              <w:t xml:space="preserve">3.2%</w:t>
            </w:r>
          </w:p>
        </w:tc>
        <w:tc>
          <w:p>
            <w:r>
              <w:t xml:space="preserve">2.8%</w:t>
            </w:r>
          </w:p>
        </w:tc>
        <w:tc>
          <w:p>
            <w:r>
              <w:t xml:space="preserve">-12.5%</w:t>
            </w:r>
          </w:p>
        </w:tc>
      </w:tr>
    </w:tbl>
    <w:p/>
    <w:p>
      <w:pPr>
        <w:pStyle w:val="Heading1"/>
      </w:pPr>
      <w:r>
        <w:t xml:space="preserve">Strategic Initiatives</w:t>
      </w:r>
    </w:p>
    <w:p>
      <w:pPr>
        <w:pStyle w:val="Heading2"/>
      </w:pPr>
      <w:r>
        <w:t xml:space="preserve">Product Innovation</w:t>
      </w:r>
    </w:p>
    <w:p>
      <w:r>
        <w:t xml:space="preserve">We launched Gadget Lite in Q3 2024, which immediately became our best-selling product. The product achieved 1.2 million units sold within its first quarter, exceeding internal projections by 43%. The engineering team delivered the product two weeks ahead of schedule with a defect rate below 0.2%, setting a new quality benchmark for the organization.</w:t>
      </w:r>
    </w:p>
    <w:p>
      <w:pPr>
        <w:pStyle w:val="Heading2"/>
      </w:pPr>
      <w:r>
        <w:t xml:space="preserve">Market Expansion</w:t>
      </w:r>
    </w:p>
    <w:p>
      <w:r>
        <w:t xml:space="preserve">Asia Pacific emerged as our fastest-growing region in 2024, with 28% revenue growth. We established new distribution partnerships in Japan, South Korea, and Australia. The APAC team grew from 45 to 112 employees, reflecting our long-term commitment to the region. We project APAC to represent 30% of total revenue by end of FY2025.</w:t>
      </w:r>
    </w:p>
    <w:p>
      <w:pPr>
        <w:pStyle w:val="Heading2"/>
      </w:pPr>
      <w:r>
        <w:t xml:space="preserve">Technology Roadmap</w:t>
      </w:r>
    </w:p>
    <w:p>
      <w:r>
        <w:t xml:space="preserve">Our engineering team completed the core API refactoring initiative, reducing system latency by 67% and enabling a new class of real-time integrations with enterprise customers. The Mobile App v2 program, currently in planning phase, will introduce AI-powered features and an overhauled user experience targeting a Q3 2025 release.</w:t>
      </w:r>
    </w:p>
    <w:p>
      <w:pPr>
        <w:pStyle w:val="Heading1"/>
      </w:pPr>
      <w:r>
        <w:t xml:space="preserve">Workforce &amp; Culture</w:t>
      </w:r>
    </w:p>
    <w:p>
      <w:r>
        <w:t xml:space="preserve">Headcount grew from 312 to 487 employees across 8 global offices in 2024. Employee Net Promoter Score (eNPS) reached 72, up from 58 in 2023. We launched the Engineering Excellence Program, certifying 94 engineers in advanced cloud architecture and security practices. Voluntary attrition fell to 8.3%, compared to an industry average of 14.1%.</w:t>
      </w:r>
    </w:p>
    <w:p>
      <w:pPr>
        <w:pStyle w:val="Heading1"/>
      </w:pPr>
      <w:r>
        <w:t xml:space="preserve">Outlook for 2025</w:t>
      </w:r>
    </w:p>
    <w:p>
      <w:r>
        <w:t xml:space="preserve">Management projects revenue of $22–24M for FY2025, representing 35–47% growth over FY2024. Key growth levers include the Gadget Lite Pro launch (Q1 2025), enterprise channel expansion, and the APAC manufacturing partnership expected to reduce COGS by 18%. Capital expenditure is budgeted at $3.8M, focused on R&amp;D facilities and cloud infrastructure.</w:t>
      </w:r>
    </w:p>
    <w:p>
      <w:pPr>
        <w:pStyle w:val="Heading1"/>
      </w:pPr>
      <w:r>
        <w:t xml:space="preserve">Risk Factors</w:t>
      </w:r>
    </w:p>
    <w:p>
      <w:r>
        <w:t xml:space="preserve">Supply chain disruption remains the primary operational risk. Geopolitical tensions in key manufacturing regions could impact component availability and costs. We have partially mitigated this risk through a dual-sourcing strategy implemented in H2 2024. Foreign exchange headwinds, particularly EUR/USD and JPY/USD volatility, could impact reported APAC revenue by ±5% depending on market conditions.</w:t>
      </w:r>
    </w:p>
    <w:p>
      <w:pPr>
        <w:pStyle w:val="Heading1"/>
      </w:pPr>
      <w:r>
        <w:t xml:space="preserve">Conclusion</w:t>
      </w:r>
    </w:p>
    <w:p>
      <w:r>
        <w:t xml:space="preserve">2024 was a transformational year for Acme Corporation. The foundations we have built — in product, in people, and in operational excellence — provide a compelling platform for the next phase of our growth journey. We are grateful to our employees, customers, and partners for their continued trust and support.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2026-07-10T09:35:37.820Z</dcterms:created>
  <dcterms:modified xsi:type="dcterms:W3CDTF">2026-07-10T09:35:37.820Z</dcterms:modified>
</cp:coreProperties>
</file>

<file path=docProps/custom.xml><?xml version="1.0" encoding="utf-8"?>
<Properties xmlns="http://schemas.openxmlformats.org/officeDocument/2006/custom-properties" xmlns:vt="http://schemas.openxmlformats.org/officeDocument/2006/docPropsVTypes"/>
</file>