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8305" w14:textId="77777777"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Pr="006474B7" w:rsidRDefault="00AD69D7" w:rsidP="00AD69D7">
      <w:pPr>
        <w:rPr>
          <w:rFonts w:ascii="Arial" w:hAnsi="Arial" w:cs="Arial"/>
          <w:b/>
          <w:bCs/>
          <w:sz w:val="20"/>
          <w:szCs w:val="20"/>
          <w:lang w:val="en-US"/>
        </w:rPr>
      </w:pPr>
    </w:p>
    <w:p w14:paraId="0B8C790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Inherent in understanding the tempo and mode of evolution is understanding the variation being acted upon and the constraints limiting change.</w:t>
      </w:r>
      <w:r w:rsidRPr="006474B7">
        <w:rPr>
          <w:rFonts w:ascii="Arial" w:eastAsia="Times New Roman" w:hAnsi="Arial" w:cs="Arial"/>
          <w:color w:val="000000"/>
          <w:kern w:val="0"/>
          <w:sz w:val="20"/>
          <w:szCs w:val="20"/>
          <w:shd w:val="clear" w:color="auto" w:fill="FFFFFF"/>
          <w:lang w:val="en-US" w:eastAsia="en-GB"/>
          <w14:ligatures w14:val="none"/>
        </w:rPr>
        <w:t xml:space="preserve"> The variation of interest is often the genetic variation, or the variation in traits among parent-offspring relationships, as this is the fodder for selection to act upon. The shape and size of the G matrix is important in determining the phenotypic space a lineage can explore (site Schluter, others). </w:t>
      </w: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above-average evolvability (i.e., variance). </w:t>
      </w:r>
      <w:r w:rsidRPr="006474B7">
        <w:rPr>
          <w:rFonts w:ascii="Arial" w:hAnsi="Arial" w:cs="Arial"/>
          <w:sz w:val="20"/>
          <w:szCs w:val="20"/>
          <w:lang w:val="en-US"/>
        </w:rPr>
        <w:t xml:space="preserve">Indeed, </w:t>
      </w:r>
      <w:r w:rsidRPr="006474B7">
        <w:rPr>
          <w:rFonts w:ascii="Arial" w:eastAsia="Times New Roman" w:hAnsi="Arial" w:cs="Arial"/>
          <w:color w:val="000000"/>
          <w:kern w:val="0"/>
          <w:sz w:val="20"/>
          <w:szCs w:val="20"/>
          <w:shd w:val="clear" w:color="auto" w:fill="FFFFFF"/>
          <w:lang w:val="en-US" w:eastAsia="en-GB"/>
          <w14:ligatures w14:val="none"/>
        </w:rPr>
        <w:t xml:space="preserve">majority of studies investigating the role of variation on phenotypic evolution show that evolution often occurs along axes of above-average evolvability (i.e., variation) (cite Voje, etc.). </w:t>
      </w:r>
    </w:p>
    <w:p w14:paraId="270CB187"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2D035EA9"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i.e.,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difficult. Breeding experiments are time-intensive and often low in sample size and estimating G matrices are data-intensive (Cheverud; Porto). Further, these studies often are not conducted over deep time (cite examples including Houle 2017). </w:t>
      </w:r>
    </w:p>
    <w:p w14:paraId="75535255"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07758E9D" w14:textId="20DE980D" w:rsidR="00322EA0" w:rsidRPr="006474B7" w:rsidRDefault="00E4359B" w:rsidP="00322EA0">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r w:rsidRPr="006474B7">
        <w:rPr>
          <w:rFonts w:ascii="Arial" w:eastAsia="Times New Roman" w:hAnsi="Arial" w:cs="Arial"/>
          <w:color w:val="000000"/>
          <w:kern w:val="0"/>
          <w:sz w:val="20"/>
          <w:szCs w:val="20"/>
          <w:shd w:val="clear" w:color="auto" w:fill="FFFFFF"/>
          <w:lang w:val="en-US" w:eastAsia="en-GB"/>
          <w14:ligatures w14:val="none"/>
        </w:rPr>
        <w:t xml:space="preserve">From this phenotypic matrix, a </w:t>
      </w:r>
      <w:r w:rsidRPr="006474B7">
        <w:rPr>
          <w:rFonts w:ascii="Arial" w:hAnsi="Arial" w:cs="Arial"/>
          <w:sz w:val="20"/>
          <w:szCs w:val="20"/>
          <w:lang w:val="en-US"/>
        </w:rPr>
        <w:t>broad</w:t>
      </w:r>
      <w:r w:rsidR="00AD69D7" w:rsidRPr="006474B7">
        <w:rPr>
          <w:rFonts w:ascii="Arial" w:hAnsi="Arial" w:cs="Arial"/>
          <w:sz w:val="20"/>
          <w:szCs w:val="20"/>
          <w:lang w:val="en-US"/>
        </w:rPr>
        <w:t xml:space="preserve"> sense G matrix (is this right??)</w:t>
      </w:r>
      <w:r w:rsidRPr="006474B7">
        <w:rPr>
          <w:rFonts w:ascii="Arial" w:hAnsi="Arial" w:cs="Arial"/>
          <w:sz w:val="20"/>
          <w:szCs w:val="20"/>
          <w:lang w:val="en-US"/>
        </w:rPr>
        <w:t xml:space="preserve"> can be estimated</w:t>
      </w:r>
      <w:r w:rsidR="00AD69D7" w:rsidRPr="006474B7">
        <w:rPr>
          <w:rFonts w:ascii="Arial" w:hAnsi="Arial" w:cs="Arial"/>
          <w:sz w:val="20"/>
          <w:szCs w:val="20"/>
          <w:lang w:val="en-US"/>
        </w:rPr>
        <w:t>. The P matrix is naturally “noisier” than the G matrix, as it represents the amount of genetic variation and environmental variation to produce the observed phenotypic variation. Cheverud 1988</w:t>
      </w:r>
      <w:r w:rsidR="00AD69D7"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theoretical framework has been used as reason to pool phenotypic change over time and estimate a G matrix (e.g., Cheetham; Voje).</w:t>
      </w:r>
      <w:r w:rsidR="00431D6E" w:rsidRPr="006474B7">
        <w:rPr>
          <w:rFonts w:ascii="Arial" w:eastAsia="Times New Roman" w:hAnsi="Arial" w:cs="Arial"/>
          <w:color w:val="000000"/>
          <w:kern w:val="0"/>
          <w:sz w:val="20"/>
          <w:szCs w:val="20"/>
          <w:shd w:val="clear" w:color="auto" w:fill="FFFFFF"/>
          <w:lang w:val="en-US" w:eastAsia="en-GB"/>
          <w14:ligatures w14:val="none"/>
        </w:rPr>
        <w:t xml:space="preserve"> </w:t>
      </w:r>
      <w:r w:rsidR="00AD69D7" w:rsidRPr="006474B7">
        <w:rPr>
          <w:rFonts w:ascii="Arial" w:eastAsia="Times New Roman" w:hAnsi="Arial" w:cs="Arial"/>
          <w:color w:val="000000"/>
          <w:kern w:val="0"/>
          <w:sz w:val="20"/>
          <w:szCs w:val="20"/>
          <w:shd w:val="clear" w:color="auto" w:fill="FFFFFF"/>
          <w:lang w:val="en-US" w:eastAsia="en-GB"/>
          <w14:ligatures w14:val="none"/>
        </w:rPr>
        <w:t xml:space="preserve">There is reason to think P can substitute for G not just in the near time, but in the deep time too: the amount of phenotypic variation represented by fossil, time-averaged populations is only ~1% larger than those of modern populations (Hunt 2004?). </w:t>
      </w:r>
      <w:r w:rsidR="00F74EF0" w:rsidRPr="006474B7">
        <w:rPr>
          <w:rFonts w:ascii="Arial" w:eastAsia="Times New Roman" w:hAnsi="Arial" w:cs="Arial"/>
          <w:color w:val="000000"/>
          <w:kern w:val="0"/>
          <w:sz w:val="20"/>
          <w:szCs w:val="20"/>
          <w:shd w:val="clear" w:color="auto" w:fill="FFFFFF"/>
          <w:lang w:val="en-US" w:eastAsia="en-GB"/>
          <w14:ligatures w14:val="none"/>
        </w:rPr>
        <w:t>While</w:t>
      </w:r>
      <w:r w:rsidR="00322EA0"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substitute for the G matrix in some groups, this has not been evaluated using fossil data. </w:t>
      </w:r>
    </w:p>
    <w:p w14:paraId="40B6A15D" w14:textId="77777777" w:rsidR="00322EA0" w:rsidRPr="006474B7" w:rsidRDefault="00322EA0" w:rsidP="00AD69D7">
      <w:pPr>
        <w:rPr>
          <w:rFonts w:ascii="Arial" w:eastAsia="Times New Roman" w:hAnsi="Arial" w:cs="Arial"/>
          <w:color w:val="000000"/>
          <w:kern w:val="0"/>
          <w:sz w:val="20"/>
          <w:szCs w:val="20"/>
          <w:shd w:val="clear" w:color="auto" w:fill="FFFFFF"/>
          <w:lang w:eastAsia="en-GB"/>
          <w14:ligatures w14:val="none"/>
        </w:rPr>
      </w:pPr>
    </w:p>
    <w:p w14:paraId="7CBAB914" w14:textId="2886AB44" w:rsidR="00AD69D7" w:rsidRPr="006474B7" w:rsidRDefault="00322EA0"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Clonal organisms with a fossil record, such as bryozoans, provide a unique opportunity to branch micro- to macro-evolutionary studies by disentangling the P from the G 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w:t>
      </w:r>
      <w:r w:rsidR="00AD69D7" w:rsidRPr="006474B7">
        <w:rPr>
          <w:rFonts w:ascii="Arial" w:eastAsia="Times New Roman" w:hAnsi="Arial" w:cs="Arial"/>
          <w:color w:val="000000"/>
          <w:kern w:val="0"/>
          <w:sz w:val="20"/>
          <w:szCs w:val="20"/>
          <w:shd w:val="clear" w:color="auto" w:fill="FFFFFF"/>
          <w:lang w:val="en-US" w:eastAsia="en-GB"/>
          <w14:ligatures w14:val="none"/>
        </w:rPr>
        <w:t xml:space="preserve">Bryozoans are colonial organisms with a fossil record and are a potential system to apply evolutionary quantitative genetics to deep time. Each colony is made up of genetically identical zooids. Because of their shared genetics, we can estimate the G matrix, calculate a P matrix, and extract the environmental (E) matrix. </w:t>
      </w:r>
      <w:r w:rsidR="00AD69D7" w:rsidRPr="006474B7">
        <w:rPr>
          <w:rFonts w:ascii="Arial" w:eastAsia="Times New Roman" w:hAnsi="Arial" w:cs="Arial"/>
          <w:i/>
          <w:iCs/>
          <w:color w:val="000000"/>
          <w:kern w:val="0"/>
          <w:sz w:val="20"/>
          <w:szCs w:val="20"/>
          <w:shd w:val="clear" w:color="auto" w:fill="FFFFFF"/>
          <w:lang w:val="en-US" w:eastAsia="en-GB"/>
          <w14:ligatures w14:val="none"/>
        </w:rPr>
        <w:t>Steginoporella magnifica</w:t>
      </w:r>
      <w:r w:rsidR="00AD69D7"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 </w:t>
      </w:r>
    </w:p>
    <w:p w14:paraId="225B220A"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7AA9F9B4" w14:textId="2BAE016E" w:rsidR="00322EA0" w:rsidRPr="006474B7" w:rsidRDefault="00CE606E" w:rsidP="00322EA0">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00AD69D7" w:rsidRPr="006474B7">
        <w:rPr>
          <w:rFonts w:ascii="Arial" w:eastAsia="Times New Roman" w:hAnsi="Arial" w:cs="Arial"/>
          <w:color w:val="000000"/>
          <w:kern w:val="0"/>
          <w:sz w:val="20"/>
          <w:szCs w:val="20"/>
          <w:shd w:val="clear" w:color="auto" w:fill="FFFFFF"/>
          <w:lang w:val="en-US" w:eastAsia="en-GB"/>
          <w14:ligatures w14:val="none"/>
        </w:rPr>
        <w:t>Here, we apply a quantitative genetic framework to the fossil record. We first estimate G across time. We then examine how well the P matrix can substitute for the G matrix, testing Cheverud’s hypothesis. We also ask if the G matrix changes through time, and thus if the phenotypic space available changes through time. Finally, we test if, based on the directions of the G matrix, if phenotypic change is occurring in directions of above-average evolvability.</w:t>
      </w:r>
      <w:r w:rsidR="00322EA0" w:rsidRPr="006474B7">
        <w:rPr>
          <w:rFonts w:ascii="Arial" w:eastAsia="Times New Roman" w:hAnsi="Arial" w:cs="Arial"/>
          <w:color w:val="000000"/>
          <w:kern w:val="0"/>
          <w:sz w:val="20"/>
          <w:szCs w:val="20"/>
          <w:shd w:val="clear" w:color="auto" w:fill="FFFFFF"/>
          <w:lang w:val="en-US" w:eastAsia="en-GB"/>
          <w14:ligatures w14:val="none"/>
        </w:rPr>
        <w:t xml:space="preserve"> </w:t>
      </w:r>
      <w:r w:rsidR="00322EA0" w:rsidRPr="006474B7">
        <w:rPr>
          <w:rFonts w:ascii="Arial" w:eastAsia="Times New Roman" w:hAnsi="Arial" w:cs="Arial"/>
          <w:color w:val="000000"/>
          <w:kern w:val="0"/>
          <w:sz w:val="20"/>
          <w:szCs w:val="20"/>
          <w:shd w:val="clear" w:color="auto" w:fill="FFFFFF"/>
          <w:lang w:eastAsia="en-GB"/>
          <w14:ligatures w14:val="none"/>
        </w:rPr>
        <w:t>Our approach attempts to apply evolutionary quantitative genetics to fossil data to investigate how the G matrix changes within a single lineage over millions of years.</w:t>
      </w: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The Wanganui Basin is well studied for its geology and invertebrate fossils (cite Naish, Seward, Liow,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lastRenderedPageBreak/>
        <w:t>Shell substrates were cleaned using diluted bleach and water, catalogued, SEMed,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ks. We piped together DeepBryo (Di Martino et al.) to detect zooids and ML-Morp</w:t>
      </w:r>
      <w:r w:rsidR="0073436E" w:rsidRPr="001C796C">
        <w:rPr>
          <w:rFonts w:ascii="Arial" w:hAnsi="Arial" w:cs="Arial"/>
          <w:sz w:val="20"/>
          <w:szCs w:val="20"/>
          <w:lang w:val="en-US"/>
        </w:rPr>
        <w:t xml:space="preserve">h (Porto &amp; Voje)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Steginator (</w:t>
      </w:r>
      <w:hyperlink r:id="rId5" w:history="1">
        <w:r w:rsidR="001C796C" w:rsidRPr="001C796C">
          <w:rPr>
            <w:rStyle w:val="Hyperlink"/>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r>
        <w:rPr>
          <w:rFonts w:ascii="Arial" w:hAnsi="Arial" w:cs="Arial"/>
          <w:i/>
          <w:iCs/>
          <w:sz w:val="20"/>
          <w:szCs w:val="20"/>
          <w:lang w:val="en-US"/>
        </w:rPr>
        <w:t>Steginoporella maginifica</w:t>
      </w:r>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errorneous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exploratoryAnalysis.R</w:t>
      </w:r>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Q. why outputMetadata.R??</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(github)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Checked for quality of ML measurements compared to my own</w:t>
      </w:r>
    </w:p>
    <w:p w14:paraId="3C8F9DB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Placed landmarks</w:t>
      </w:r>
    </w:p>
    <w:p w14:paraId="2E62F8DB"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Measured self, measured using code</w:t>
      </w:r>
    </w:p>
    <w:p w14:paraId="2D8430D4" w14:textId="657BB435" w:rsidR="00FA1F40" w:rsidRPr="009B0E3C" w:rsidRDefault="00FA1F40" w:rsidP="009B0E3C">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Did this three times</w:t>
      </w:r>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glmm </w:t>
      </w:r>
      <w:r w:rsidR="00B92CD9">
        <w:rPr>
          <w:rFonts w:ascii="Arial" w:hAnsi="Arial" w:cs="Arial"/>
          <w:sz w:val="20"/>
          <w:szCs w:val="20"/>
          <w:lang w:val="en-US"/>
        </w:rPr>
        <w:t xml:space="preserve">with traits as fixed effects and </w:t>
      </w:r>
      <w:r w:rsidR="00B92CD9">
        <w:rPr>
          <w:rFonts w:ascii="Arial" w:hAnsi="Arial" w:cs="Arial"/>
          <w:sz w:val="20"/>
          <w:szCs w:val="20"/>
          <w:lang w:val="en-US"/>
        </w:rPr>
        <w:t xml:space="preserve">colony as a random effect to account </w:t>
      </w:r>
      <w:r w:rsidR="00B92CD9">
        <w:rPr>
          <w:rFonts w:ascii="Arial" w:hAnsi="Arial" w:cs="Arial"/>
          <w:sz w:val="20"/>
          <w:szCs w:val="20"/>
          <w:lang w:val="en-US"/>
        </w:rPr>
        <w:t xml:space="preserve">for variation within colonies </w:t>
      </w:r>
      <w:r w:rsidR="00765AE0">
        <w:rPr>
          <w:rFonts w:ascii="Arial" w:hAnsi="Arial" w:cs="Arial"/>
          <w:sz w:val="20"/>
          <w:szCs w:val="20"/>
          <w:lang w:val="en-US"/>
        </w:rPr>
        <w:t xml:space="preserve">(? Rcov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this 1.5 million times, and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w:t>
      </w:r>
      <w:r w:rsidR="003A698E">
        <w:rPr>
          <w:rFonts w:ascii="Arial" w:hAnsi="Arial" w:cs="Arial"/>
          <w:sz w:val="20"/>
          <w:szCs w:val="20"/>
          <w:lang w:val="en-US"/>
        </w:rPr>
        <w:t>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We calculated random skewers following Marroig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t</w:t>
      </w:r>
      <w:r>
        <w:rPr>
          <w:rFonts w:ascii="Arial" w:hAnsi="Arial" w:cs="Arial"/>
          <w:sz w:val="20"/>
          <w:szCs w:val="20"/>
          <w:u w:val="single"/>
          <w:lang w:val="en-US"/>
        </w:rPr>
        <w:t>ime</w:t>
      </w:r>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We calculated the angle change in Gmax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Gmax from the first eigen vector and normalize it. We get difference between Gmax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We asked if Pmax and Gmax aligned.</w:t>
      </w:r>
      <w:r>
        <w:rPr>
          <w:rFonts w:ascii="Arial" w:hAnsi="Arial" w:cs="Arial"/>
          <w:sz w:val="20"/>
          <w:szCs w:val="20"/>
          <w:lang w:val="en-US"/>
        </w:rPr>
        <w:t xml:space="preserve"> We did this in the </w:t>
      </w:r>
      <w:r w:rsidR="00E169F4">
        <w:rPr>
          <w:rFonts w:ascii="Arial" w:hAnsi="Arial" w:cs="Arial"/>
          <w:sz w:val="20"/>
          <w:szCs w:val="20"/>
          <w:lang w:val="en-US"/>
        </w:rPr>
        <w:t xml:space="preserve">similar to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Gmax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above-average evolvability. To do that, </w:t>
      </w:r>
      <w:r w:rsidR="00733B16">
        <w:rPr>
          <w:rFonts w:ascii="Arial" w:hAnsi="Arial" w:cs="Arial"/>
          <w:sz w:val="20"/>
          <w:szCs w:val="20"/>
          <w:lang w:val="en-US"/>
        </w:rPr>
        <w:t>w</w:t>
      </w:r>
      <w:r w:rsidR="00733B16">
        <w:rPr>
          <w:rFonts w:ascii="Arial" w:hAnsi="Arial" w:cs="Arial"/>
          <w:sz w:val="20"/>
          <w:szCs w:val="20"/>
          <w:lang w:val="en-US"/>
        </w:rPr>
        <w:t>e first calculate the amount of phenotypic change between each adjacent formation and normalize the vector. We then calculate the amount of observed evolvability as amount of phenotypic change based on the amount of variation-covariation in the oldest time point (t1). We then generate 10000 selection gradients in random directions to calculate the minimum, mean, and maximum evolvability for each formation, excluding the last. We compare the range of observed evolability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Change in G over time</w:t>
      </w:r>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Pr="00202A11" w:rsidRDefault="006C36A6">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Figure Gmax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r w:rsidR="002E4A17">
        <w:rPr>
          <w:rFonts w:ascii="Arial" w:hAnsi="Arial" w:cs="Arial"/>
          <w:sz w:val="20"/>
          <w:szCs w:val="20"/>
          <w:lang w:val="en-US"/>
        </w:rPr>
        <w:t>above-average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7B1D76" w:rsidRDefault="00207EAF">
      <w:pPr>
        <w:rPr>
          <w:rFonts w:ascii="Arial" w:hAnsi="Arial" w:cs="Arial"/>
          <w:sz w:val="20"/>
          <w:szCs w:val="20"/>
          <w:lang w:val="nb-NO"/>
        </w:rPr>
      </w:pPr>
      <w:r w:rsidRPr="00035BC4">
        <w:rPr>
          <w:rFonts w:ascii="Arial" w:hAnsi="Arial" w:cs="Arial"/>
          <w:sz w:val="20"/>
          <w:szCs w:val="20"/>
          <w:lang w:val="en-US"/>
        </w:rPr>
        <w:t>SI Table Formations</w:t>
      </w:r>
      <w:r w:rsidR="00035BC4" w:rsidRPr="00035BC4">
        <w:rPr>
          <w:rFonts w:ascii="Arial" w:hAnsi="Arial" w:cs="Arial"/>
          <w:sz w:val="20"/>
          <w:szCs w:val="20"/>
          <w:lang w:val="en-US"/>
        </w:rPr>
        <w:t>. Abbr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leGrid"/>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Formation</w:t>
            </w:r>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Abbr.</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SHCSBSB</w:t>
            </w:r>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Tainui</w:t>
            </w:r>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Upper Kai-Iwi</w:t>
            </w:r>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Waipuru</w:t>
            </w:r>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Tewkesbury</w:t>
            </w:r>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Nukamuru</w:t>
            </w:r>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NKBS</w:t>
            </w:r>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Nukamuru</w:t>
            </w:r>
          </w:p>
          <w:p w14:paraId="23DA1C85" w14:textId="0FD6B20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Limestone</w:t>
            </w:r>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r w:rsidR="00610839" w:rsidRPr="00035BC4">
        <w:rPr>
          <w:rFonts w:ascii="Arial" w:hAnsi="Arial" w:cs="Arial"/>
          <w:sz w:val="20"/>
          <w:szCs w:val="20"/>
          <w:lang w:val="en-US"/>
        </w:rPr>
        <w:t>Abbr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leGrid"/>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Formation</w:t>
            </w:r>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Abbr.</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colonies</w:t>
            </w:r>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SHCSBSB</w:t>
            </w:r>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Tainui</w:t>
            </w:r>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Upper Kai-Iwi</w:t>
            </w:r>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Waipuru</w:t>
            </w:r>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Tewkesbury</w:t>
            </w:r>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Nukamuru</w:t>
            </w:r>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NKBS</w:t>
            </w:r>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Nukamuru</w:t>
            </w:r>
          </w:p>
          <w:p w14:paraId="0E4A2A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Limestone</w:t>
            </w:r>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Zooid height (zh) from 4 to 12</w:t>
      </w:r>
    </w:p>
    <w:p w14:paraId="67AAA0B1" w14:textId="77777777" w:rsidR="00136199" w:rsidRDefault="00136199" w:rsidP="00136199">
      <w:pPr>
        <w:pStyle w:val="ListParagraph"/>
        <w:numPr>
          <w:ilvl w:val="2"/>
          <w:numId w:val="3"/>
        </w:numPr>
        <w:spacing w:after="120"/>
        <w:rPr>
          <w:rFonts w:ascii="Arial" w:hAnsi="Arial" w:cs="Arial"/>
          <w:sz w:val="22"/>
          <w:szCs w:val="22"/>
          <w:lang w:val="en-US"/>
        </w:rPr>
      </w:pPr>
      <w:r>
        <w:rPr>
          <w:rFonts w:ascii="Arial" w:hAnsi="Arial" w:cs="Arial"/>
          <w:sz w:val="22"/>
          <w:szCs w:val="22"/>
          <w:lang w:val="en-US"/>
        </w:rPr>
        <w:t xml:space="preserve">Similar to LZ in </w:t>
      </w:r>
      <w:r w:rsidRPr="00D27B63">
        <w:rPr>
          <w:rFonts w:ascii="Arial" w:hAnsi="Arial" w:cs="Arial"/>
          <w:sz w:val="22"/>
          <w:szCs w:val="22"/>
          <w:lang w:val="en-US"/>
        </w:rPr>
        <w:t>Voje et al. 20</w:t>
      </w:r>
      <w:r>
        <w:rPr>
          <w:rFonts w:ascii="Arial" w:hAnsi="Arial" w:cs="Arial"/>
          <w:sz w:val="22"/>
          <w:szCs w:val="22"/>
          <w:lang w:val="en-US"/>
        </w:rPr>
        <w:t>19</w:t>
      </w:r>
    </w:p>
    <w:p w14:paraId="17E381DE"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(mpw.b) from 5 to 6</w:t>
      </w:r>
    </w:p>
    <w:p w14:paraId="0DF9D3C7"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Cryptocyst width at midline (cw.m) from 10 to 11</w:t>
      </w:r>
    </w:p>
    <w:p w14:paraId="443E40A0"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Cryptocyst width at distal end (cw.d) from 8 to 7</w:t>
      </w:r>
    </w:p>
    <w:p w14:paraId="234210F8"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Operculum width at midline (ow.m) from 19 to 0</w:t>
      </w:r>
    </w:p>
    <w:p w14:paraId="0C248F1A" w14:textId="3DE209E0" w:rsidR="00136199" w:rsidRPr="0085157E" w:rsidRDefault="00136199" w:rsidP="0085157E">
      <w:pPr>
        <w:pStyle w:val="ListParagraph"/>
        <w:numPr>
          <w:ilvl w:val="2"/>
          <w:numId w:val="3"/>
        </w:numPr>
        <w:spacing w:after="120"/>
        <w:rPr>
          <w:rFonts w:ascii="Arial" w:hAnsi="Arial" w:cs="Arial"/>
          <w:sz w:val="22"/>
          <w:szCs w:val="22"/>
          <w:lang w:val="en-US"/>
        </w:rPr>
      </w:pPr>
      <w:r>
        <w:rPr>
          <w:rFonts w:ascii="Arial" w:hAnsi="Arial" w:cs="Arial"/>
          <w:sz w:val="22"/>
          <w:szCs w:val="22"/>
          <w:lang w:val="en-US"/>
        </w:rPr>
        <w:t>Similar to WO in Voje et al. 2019</w:t>
      </w:r>
    </w:p>
    <w:p w14:paraId="43C7875F" w14:textId="77777777" w:rsidR="00522E71" w:rsidRDefault="00522E71">
      <w:pPr>
        <w:rPr>
          <w:rFonts w:ascii="Arial" w:hAnsi="Arial" w:cs="Arial"/>
          <w:sz w:val="20"/>
          <w:szCs w:val="20"/>
          <w:lang w:val="en-US"/>
        </w:rPr>
      </w:pPr>
    </w:p>
    <w:p w14:paraId="7A53091C" w14:textId="6B694CF6" w:rsidR="00EB0FE6" w:rsidRDefault="00EB0FE6">
      <w:pPr>
        <w:rPr>
          <w:rFonts w:ascii="Arial" w:hAnsi="Arial" w:cs="Arial"/>
          <w:sz w:val="20"/>
          <w:szCs w:val="20"/>
          <w:lang w:val="en-US"/>
        </w:rPr>
      </w:pPr>
      <w:r>
        <w:rPr>
          <w:rFonts w:ascii="Arial" w:hAnsi="Arial" w:cs="Arial"/>
          <w:sz w:val="20"/>
          <w:szCs w:val="20"/>
          <w:lang w:val="en-US"/>
        </w:rPr>
        <w:t>SI Fig Traits</w:t>
      </w:r>
    </w:p>
    <w:p w14:paraId="6866F6A0" w14:textId="77777777" w:rsidR="00EB0FE6" w:rsidRDefault="00EB0FE6">
      <w:pPr>
        <w:rPr>
          <w:rFonts w:ascii="Arial" w:hAnsi="Arial" w:cs="Arial"/>
          <w:sz w:val="20"/>
          <w:szCs w:val="20"/>
          <w:lang w:val="en-US"/>
        </w:rPr>
      </w:pPr>
    </w:p>
    <w:p w14:paraId="2470DE4B" w14:textId="73BE5E28" w:rsidR="002B46A4" w:rsidRDefault="002B46A4">
      <w:pPr>
        <w:rPr>
          <w:rFonts w:ascii="Arial" w:hAnsi="Arial" w:cs="Arial"/>
          <w:sz w:val="20"/>
          <w:szCs w:val="20"/>
          <w:lang w:val="en-US"/>
        </w:rPr>
      </w:pPr>
      <w:r>
        <w:rPr>
          <w:rFonts w:ascii="Arial" w:hAnsi="Arial" w:cs="Arial"/>
          <w:sz w:val="20"/>
          <w:szCs w:val="20"/>
          <w:lang w:val="en-US"/>
        </w:rPr>
        <w:t>SI Fig P &amp; G PC</w:t>
      </w:r>
    </w:p>
    <w:p w14:paraId="165D6215" w14:textId="77777777" w:rsidR="002B46A4" w:rsidRPr="00A10BB6" w:rsidRDefault="002B46A4">
      <w:pPr>
        <w:rPr>
          <w:rFonts w:ascii="Arial" w:hAnsi="Arial" w:cs="Arial"/>
          <w:sz w:val="20"/>
          <w:szCs w:val="20"/>
          <w:lang w:val="en-US"/>
        </w:rPr>
      </w:pPr>
    </w:p>
    <w:p w14:paraId="390AA58C" w14:textId="1A74A06F" w:rsidR="00522E71" w:rsidRPr="00A10BB6" w:rsidRDefault="00522E71">
      <w:pPr>
        <w:rPr>
          <w:rFonts w:ascii="Arial" w:hAnsi="Arial" w:cs="Arial"/>
          <w:i/>
          <w:iCs/>
          <w:sz w:val="20"/>
          <w:szCs w:val="20"/>
          <w:lang w:val="en-US"/>
        </w:rPr>
      </w:pPr>
      <w:r w:rsidRPr="00A10BB6">
        <w:rPr>
          <w:rFonts w:ascii="Arial" w:hAnsi="Arial" w:cs="Arial"/>
          <w:i/>
          <w:iCs/>
          <w:sz w:val="20"/>
          <w:szCs w:val="20"/>
          <w:lang w:val="en-US"/>
        </w:rPr>
        <w:t>Errorenous landmarking?</w:t>
      </w:r>
    </w:p>
    <w:p w14:paraId="3B8F7424" w14:textId="77777777" w:rsidR="00AD0A00" w:rsidRPr="00A10BB6" w:rsidRDefault="00AD0A00">
      <w:pPr>
        <w:rPr>
          <w:rFonts w:ascii="Arial" w:hAnsi="Arial" w:cs="Arial"/>
          <w:sz w:val="20"/>
          <w:szCs w:val="20"/>
          <w:lang w:val="en-US"/>
        </w:rPr>
      </w:pPr>
    </w:p>
    <w:p w14:paraId="5B95E236" w14:textId="32486EEF" w:rsidR="00AD0A00" w:rsidRPr="00AD0A00" w:rsidRDefault="00AD0A00">
      <w:pPr>
        <w:rPr>
          <w:rFonts w:ascii="Arial" w:hAnsi="Arial" w:cs="Arial"/>
          <w:sz w:val="20"/>
          <w:szCs w:val="20"/>
          <w:lang w:val="en-US"/>
        </w:rPr>
      </w:pPr>
      <w:r>
        <w:rPr>
          <w:rFonts w:ascii="Arial" w:hAnsi="Arial" w:cs="Arial"/>
          <w:sz w:val="20"/>
          <w:szCs w:val="20"/>
          <w:lang w:val="en-US"/>
        </w:rPr>
        <w:t xml:space="preserve">SI </w:t>
      </w:r>
      <w:r w:rsidRPr="00AD0A00">
        <w:rPr>
          <w:rFonts w:ascii="Arial" w:hAnsi="Arial" w:cs="Arial"/>
          <w:sz w:val="20"/>
          <w:szCs w:val="20"/>
          <w:lang w:val="en-US"/>
        </w:rPr>
        <w:t>References:</w:t>
      </w:r>
    </w:p>
    <w:p w14:paraId="3041B667" w14:textId="70B42885" w:rsidR="0097229B" w:rsidRP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40BB7FCC" w14:textId="77777777" w:rsidR="0097229B" w:rsidRPr="0097229B" w:rsidRDefault="0097229B" w:rsidP="0097229B">
      <w:pPr>
        <w:ind w:left="360"/>
        <w:rPr>
          <w:rFonts w:ascii="Calibri" w:eastAsia="Times New Roman" w:hAnsi="Calibri" w:cs="Calibri"/>
          <w:color w:val="000000"/>
          <w:kern w:val="0"/>
          <w:lang w:eastAsia="en-GB"/>
          <w14:ligatures w14:val="none"/>
        </w:rPr>
      </w:pPr>
    </w:p>
    <w:sectPr w:rsidR="0097229B" w:rsidRPr="009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1"/>
  </w:num>
  <w:num w:numId="2" w16cid:durableId="362361868">
    <w:abstractNumId w:val="0"/>
  </w:num>
  <w:num w:numId="3" w16cid:durableId="1696350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D166B"/>
    <w:rsid w:val="00112018"/>
    <w:rsid w:val="00136199"/>
    <w:rsid w:val="00140E15"/>
    <w:rsid w:val="001A366C"/>
    <w:rsid w:val="001B4A6F"/>
    <w:rsid w:val="001C796C"/>
    <w:rsid w:val="001D406D"/>
    <w:rsid w:val="001F5B38"/>
    <w:rsid w:val="00202A11"/>
    <w:rsid w:val="00207EAF"/>
    <w:rsid w:val="00256D49"/>
    <w:rsid w:val="002662EE"/>
    <w:rsid w:val="0028376F"/>
    <w:rsid w:val="00290B4A"/>
    <w:rsid w:val="002B46A4"/>
    <w:rsid w:val="002D4C1B"/>
    <w:rsid w:val="002E4A17"/>
    <w:rsid w:val="00311A8B"/>
    <w:rsid w:val="00322EA0"/>
    <w:rsid w:val="00342A33"/>
    <w:rsid w:val="00346BA5"/>
    <w:rsid w:val="003728B9"/>
    <w:rsid w:val="003776B5"/>
    <w:rsid w:val="00394F6D"/>
    <w:rsid w:val="003A4274"/>
    <w:rsid w:val="003A698E"/>
    <w:rsid w:val="003B70D5"/>
    <w:rsid w:val="003D41E2"/>
    <w:rsid w:val="003E5711"/>
    <w:rsid w:val="003E7454"/>
    <w:rsid w:val="00431D6E"/>
    <w:rsid w:val="004C28A3"/>
    <w:rsid w:val="004C544C"/>
    <w:rsid w:val="004C5723"/>
    <w:rsid w:val="004C73B9"/>
    <w:rsid w:val="00522E71"/>
    <w:rsid w:val="00527469"/>
    <w:rsid w:val="00544DE0"/>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579D1"/>
    <w:rsid w:val="00765AE0"/>
    <w:rsid w:val="00774ECE"/>
    <w:rsid w:val="00781140"/>
    <w:rsid w:val="0079302D"/>
    <w:rsid w:val="007B1D76"/>
    <w:rsid w:val="007C2364"/>
    <w:rsid w:val="007E7818"/>
    <w:rsid w:val="00802226"/>
    <w:rsid w:val="00832B1F"/>
    <w:rsid w:val="0085157E"/>
    <w:rsid w:val="008907D4"/>
    <w:rsid w:val="00892114"/>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C3945"/>
    <w:rsid w:val="00AD0A00"/>
    <w:rsid w:val="00AD43C6"/>
    <w:rsid w:val="00AD69D7"/>
    <w:rsid w:val="00B46D74"/>
    <w:rsid w:val="00B65F5E"/>
    <w:rsid w:val="00B92CD9"/>
    <w:rsid w:val="00BA2D0C"/>
    <w:rsid w:val="00BC7735"/>
    <w:rsid w:val="00BD3BB4"/>
    <w:rsid w:val="00BD5AFC"/>
    <w:rsid w:val="00C00821"/>
    <w:rsid w:val="00C04137"/>
    <w:rsid w:val="00C5316F"/>
    <w:rsid w:val="00C54900"/>
    <w:rsid w:val="00C63D18"/>
    <w:rsid w:val="00C7080B"/>
    <w:rsid w:val="00C844C0"/>
    <w:rsid w:val="00CA4DD2"/>
    <w:rsid w:val="00CE606E"/>
    <w:rsid w:val="00CF32C3"/>
    <w:rsid w:val="00D00157"/>
    <w:rsid w:val="00D32560"/>
    <w:rsid w:val="00D334AA"/>
    <w:rsid w:val="00D773C6"/>
    <w:rsid w:val="00DD657A"/>
    <w:rsid w:val="00DE37E1"/>
    <w:rsid w:val="00E10F54"/>
    <w:rsid w:val="00E169F4"/>
    <w:rsid w:val="00E4359B"/>
    <w:rsid w:val="00E64836"/>
    <w:rsid w:val="00E677B9"/>
    <w:rsid w:val="00E759B3"/>
    <w:rsid w:val="00E76443"/>
    <w:rsid w:val="00E84010"/>
    <w:rsid w:val="00EB0FE6"/>
    <w:rsid w:val="00F1696C"/>
    <w:rsid w:val="00F31A45"/>
    <w:rsid w:val="00F322EE"/>
    <w:rsid w:val="00F65173"/>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18"/>
    <w:pPr>
      <w:ind w:left="720"/>
      <w:contextualSpacing/>
    </w:pPr>
  </w:style>
  <w:style w:type="character" w:styleId="Hyperlink">
    <w:name w:val="Hyperlink"/>
    <w:basedOn w:val="DefaultParagraphFont"/>
    <w:uiPriority w:val="99"/>
    <w:unhideWhenUsed/>
    <w:rsid w:val="001C796C"/>
    <w:rPr>
      <w:color w:val="0563C1" w:themeColor="hyperlink"/>
      <w:u w:val="single"/>
    </w:rPr>
  </w:style>
  <w:style w:type="table" w:styleId="TableGrid">
    <w:name w:val="Table Grid"/>
    <w:basedOn w:val="TableNorma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porto/Stegin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130</cp:revision>
  <dcterms:created xsi:type="dcterms:W3CDTF">2023-10-14T14:43:00Z</dcterms:created>
  <dcterms:modified xsi:type="dcterms:W3CDTF">2023-10-14T16:01:00Z</dcterms:modified>
</cp:coreProperties>
</file>