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wgnojm0oa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ML ASSIGNMENT 4: K-MEANS CLUSTERING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ID: ASGN2606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K-Means Clustering on Health and Fitness Dataset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6fhvicjpyu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1) Data Preprocessing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Dropped unnecessary column: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Filled missing values in numerical columns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Exercise Hours</w:t>
      </w:r>
      <w:r w:rsidDel="00000000" w:rsidR="00000000" w:rsidRPr="00000000">
        <w:rPr>
          <w:rtl w:val="0"/>
        </w:rPr>
        <w:t xml:space="preserve">) using mean imputation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Encoded categorical columns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Chronic Conditions</w:t>
      </w:r>
      <w:r w:rsidDel="00000000" w:rsidR="00000000" w:rsidRPr="00000000">
        <w:rPr>
          <w:rtl w:val="0"/>
        </w:rPr>
        <w:t xml:space="preserve">) using One-Hot Encoding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Scaled all numerical features using StandardScaler to normalize the data for clustering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lribgqmaat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2) Elbow Method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Elbow Method was applied by plotting the inertia (within-cluster sum of squares) for different values of k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curve showed a clear elbow at k = 4, which was selected as the optimal number of clusters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0ikmxbf8k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3) K-Means Clustering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K-Means algorithm was applied with n_clusters = 4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Cluster labels were added to the preprocessed dataset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PCA was used to reduce dimensions for visualization of clusters in 2D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86dadoj8fv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4) Cluster Interpretation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Cluster 0</w:t>
        <w:br w:type="textWrapping"/>
        <w:t xml:space="preserve"> Active individuals with healthy BMI and good fitness levels</w:t>
        <w:br w:type="textWrapping"/>
        <w:t xml:space="preserve"> Diet and activity scores are average to above-average</w:t>
        <w:br w:type="textWrapping"/>
        <w:t xml:space="preserve"> Represent generally fit, moderate lifestyle group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Cluster 1</w:t>
        <w:br w:type="textWrapping"/>
        <w:t xml:space="preserve"> Least physically active with low exercise and high BMI</w:t>
        <w:br w:type="textWrapping"/>
        <w:t xml:space="preserve"> Most members have chronic health issues</w:t>
        <w:br w:type="textWrapping"/>
        <w:t xml:space="preserve"> Sedentary lifestyle, higher health risk group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Cluster 2</w:t>
        <w:br w:type="textWrapping"/>
        <w:t xml:space="preserve"> Most active group with highest step count and exercise hours</w:t>
        <w:br w:type="textWrapping"/>
        <w:t xml:space="preserve"> High diet scores and no chronic conditions</w:t>
        <w:br w:type="textWrapping"/>
        <w:t xml:space="preserve"> Health-conscious, energetic individuals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Cluster 3</w:t>
        <w:br w:type="textWrapping"/>
        <w:t xml:space="preserve"> Moderate activity, some chronic conditions, and average diet</w:t>
        <w:br w:type="textWrapping"/>
        <w:t xml:space="preserve"> Transitional group with mixed lifestyle traits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kvaab79qe5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5) Visualization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PCA was used to reduce features to 2 dimensions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Clusters were visualized using matplotlib scatter plots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Each cluster was clearly distinguishable in the 2D plot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cw3me4gyg9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K-Means successfully grouped individuals into 4 unique health profiles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results can be used to understand fitness behaviors and target wellness programs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Clustering helped reveal hidden patterns in lifestyle habits based on numerical and categorical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