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2BA3A">
      <w:pPr>
        <w:rPr>
          <w:rFonts w:hint="default" w:ascii="Arial" w:hAnsi="Arial" w:cs="Arial"/>
          <w:b/>
          <w:bCs/>
          <w:sz w:val="24"/>
          <w:szCs w:val="24"/>
          <w:u w:val="single"/>
          <w:lang w:val="en-IN"/>
        </w:rPr>
      </w:pPr>
      <w:r>
        <w:rPr>
          <w:rFonts w:hint="default" w:ascii="Arial" w:hAnsi="Arial" w:cs="Arial"/>
          <w:b/>
          <w:bCs/>
          <w:sz w:val="24"/>
          <w:szCs w:val="24"/>
          <w:u w:val="single"/>
          <w:lang w:val="en-IN"/>
        </w:rPr>
        <w:t>Residential and Commercial Energy Cost</w:t>
      </w:r>
    </w:p>
    <w:p w14:paraId="2197E85F">
      <w:pPr>
        <w:rPr>
          <w:rFonts w:ascii="Arial" w:hAnsi="Arial" w:cs="Arial"/>
          <w:b/>
          <w:bCs/>
          <w:sz w:val="24"/>
          <w:szCs w:val="24"/>
          <w:u w:val="single"/>
        </w:rPr>
      </w:pPr>
    </w:p>
    <w:p w14:paraId="0B7BCA72">
      <w:pPr>
        <w:rPr>
          <w:rFonts w:ascii="Arial" w:hAnsi="Arial" w:cs="Arial"/>
          <w:b/>
          <w:bCs/>
          <w:sz w:val="24"/>
          <w:szCs w:val="24"/>
          <w:u w:val="single"/>
        </w:rPr>
      </w:pPr>
      <w:r>
        <w:rPr>
          <w:rFonts w:ascii="Arial" w:hAnsi="Arial" w:cs="Arial"/>
          <w:b/>
          <w:bCs/>
          <w:sz w:val="24"/>
          <w:szCs w:val="24"/>
          <w:u w:val="single"/>
        </w:rPr>
        <w:t>Beginning:</w:t>
      </w:r>
    </w:p>
    <w:p w14:paraId="1BBBF2F3">
      <w:pPr>
        <w:rPr>
          <w:b w:val="0"/>
          <w:bCs w:val="0"/>
        </w:rPr>
      </w:pPr>
      <w:r>
        <w:rPr>
          <w:rFonts w:hint="default"/>
          <w:lang w:val="en-IN"/>
        </w:rPr>
        <w:t xml:space="preserve">This project focuses on analyzing the </w:t>
      </w:r>
      <w:r>
        <w:rPr>
          <w:b w:val="0"/>
          <w:bCs w:val="0"/>
        </w:rPr>
        <w:t xml:space="preserve">energy consumption patterns to better understand </w:t>
      </w:r>
      <w:r>
        <w:rPr>
          <w:b/>
          <w:bCs/>
        </w:rPr>
        <w:t>customer behavior, optimize resource allocation, and develop targeted energy efficiency programs</w:t>
      </w:r>
      <w:r>
        <w:rPr>
          <w:b w:val="0"/>
          <w:bCs w:val="0"/>
        </w:rPr>
        <w:t>.This dataset contains synthetic data representing energy consumption patterns for 5,000 customers across different regions. The data includes both residential and commercial properties, with information about building characteristics, occupancy, and monthly energy costs.</w:t>
      </w:r>
    </w:p>
    <w:p w14:paraId="25460B14">
      <w:pPr>
        <w:rPr>
          <w:b w:val="0"/>
          <w:bCs w:val="0"/>
        </w:rPr>
      </w:pPr>
    </w:p>
    <w:p w14:paraId="7F02F177">
      <w:pPr>
        <w:rPr>
          <w:rFonts w:ascii="Arial" w:hAnsi="Arial" w:cs="Arial"/>
          <w:b/>
          <w:bCs/>
          <w:sz w:val="24"/>
          <w:szCs w:val="24"/>
          <w:u w:val="single"/>
        </w:rPr>
      </w:pPr>
      <w:r>
        <w:rPr>
          <w:rFonts w:ascii="Arial" w:hAnsi="Arial" w:cs="Arial"/>
          <w:b/>
          <w:bCs/>
          <w:sz w:val="24"/>
          <w:szCs w:val="24"/>
          <w:u w:val="single"/>
        </w:rPr>
        <w:t>Middle:</w:t>
      </w:r>
    </w:p>
    <w:p w14:paraId="2476FFB8">
      <w:pPr>
        <w:rPr>
          <w:rFonts w:hint="default"/>
          <w:lang w:val="en-IN"/>
        </w:rPr>
      </w:pPr>
      <w:r>
        <w:rPr>
          <w:rFonts w:hint="default"/>
          <w:lang w:val="en-IN"/>
        </w:rPr>
        <w:t>The analysis provides key insights into energy consumption patterns, which are crucial for understanding customer behavior, optimizing resource allocation, and developing targeted energy efficiency programs.</w:t>
      </w:r>
    </w:p>
    <w:p w14:paraId="0869E5B4">
      <w:pPr>
        <w:rPr>
          <w:rFonts w:hint="default"/>
          <w:lang w:val="en-IN"/>
        </w:rPr>
      </w:pPr>
      <w:r>
        <w:rPr>
          <w:rFonts w:hint="default"/>
          <w:b/>
          <w:bCs/>
          <w:lang w:val="en-IN"/>
        </w:rPr>
        <w:t>Bar Chart – Average Energy Cost by Occupants (BRL) by customer_type:</w:t>
      </w:r>
      <w:r>
        <w:rPr>
          <w:rFonts w:hint="default"/>
          <w:b/>
          <w:bCs/>
          <w:lang w:val="en-IN"/>
        </w:rPr>
        <w:br w:type="textWrapping"/>
      </w:r>
      <w:r>
        <w:rPr>
          <w:rFonts w:hint="default"/>
          <w:b w:val="0"/>
          <w:bCs w:val="0"/>
          <w:lang w:val="en-IN"/>
        </w:rPr>
        <w:t>This chart shows the average energy cost by customer type. Residential customers have an average cost of 87 BRL, while Commercial customers have an average cost of 86 BRL.</w:t>
      </w:r>
    </w:p>
    <w:p w14:paraId="73EFBC64">
      <w:pPr>
        <w:rPr>
          <w:rFonts w:hint="default"/>
          <w:lang w:val="en-IN"/>
        </w:rPr>
      </w:pPr>
      <w:r>
        <w:rPr>
          <w:rFonts w:hint="default"/>
          <w:b/>
          <w:bCs/>
          <w:lang w:val="en-IN"/>
        </w:rPr>
        <w:t>Column Chart – Average Energy Cost by Occupants (BRL) by Occupants:</w:t>
      </w:r>
      <w:r>
        <w:rPr>
          <w:rFonts w:hint="default"/>
          <w:b/>
          <w:bCs/>
          <w:lang w:val="en-IN"/>
        </w:rPr>
        <w:br w:type="textWrapping"/>
      </w:r>
      <w:r>
        <w:rPr>
          <w:rFonts w:hint="default"/>
          <w:b w:val="0"/>
          <w:bCs w:val="0"/>
          <w:lang w:val="en-IN"/>
        </w:rPr>
        <w:t>The highest average energy cost is observed for 4 occupants (132 BRL), while the lowest average cost is for 3 occupants (78 BRL), indicating that higher occupancy generally leads to higher energy use.</w:t>
      </w:r>
    </w:p>
    <w:p w14:paraId="047A8610">
      <w:pPr>
        <w:rPr>
          <w:rFonts w:hint="default"/>
          <w:lang w:val="en-IN"/>
        </w:rPr>
      </w:pPr>
      <w:r>
        <w:rPr>
          <w:rFonts w:hint="default"/>
          <w:b/>
          <w:bCs/>
          <w:lang w:val="en-IN"/>
        </w:rPr>
        <w:t>Pie Chart – Sum Of Energy Cost by Occupants (BRL) by customer_type:</w:t>
      </w:r>
      <w:r>
        <w:rPr>
          <w:rFonts w:hint="default"/>
          <w:b/>
          <w:bCs/>
          <w:lang w:val="en-IN"/>
        </w:rPr>
        <w:br w:type="textWrapping"/>
      </w:r>
      <w:r>
        <w:rPr>
          <w:rFonts w:hint="default"/>
          <w:b w:val="0"/>
          <w:bCs w:val="0"/>
          <w:lang w:val="en-IN"/>
        </w:rPr>
        <w:t>The pie chart highlights that Commercial customers contribute to 65% of the total energy cost, whereas Residential customers contribute 35%, showing that commercial spaces consume more energy overall.</w:t>
      </w:r>
    </w:p>
    <w:p w14:paraId="0DF784DC">
      <w:pPr>
        <w:rPr>
          <w:rFonts w:hint="default"/>
          <w:lang w:val="en-IN"/>
        </w:rPr>
      </w:pPr>
      <w:r>
        <w:rPr>
          <w:rFonts w:hint="default"/>
          <w:b/>
          <w:bCs/>
          <w:lang w:val="en-IN"/>
        </w:rPr>
        <w:t>Column Chart – Average Energy Cost by Occupants (BRL) by Regions:</w:t>
      </w:r>
      <w:r>
        <w:rPr>
          <w:rFonts w:hint="default"/>
          <w:b/>
          <w:bCs/>
          <w:lang w:val="en-IN"/>
        </w:rPr>
        <w:br w:type="textWrapping"/>
      </w:r>
      <w:r>
        <w:rPr>
          <w:rFonts w:hint="default"/>
          <w:b w:val="0"/>
          <w:bCs w:val="0"/>
          <w:lang w:val="en-IN"/>
        </w:rPr>
        <w:t>The highest average energy costs are seen in the Southeast and North regions (both around 88 BRL), while the Midwest region has the lowest (86 BRL).</w:t>
      </w:r>
    </w:p>
    <w:p w14:paraId="502DFEAF">
      <w:pPr>
        <w:rPr>
          <w:rFonts w:hint="default"/>
          <w:b w:val="0"/>
          <w:bCs w:val="0"/>
          <w:lang w:val="en-IN"/>
        </w:rPr>
      </w:pPr>
      <w:r>
        <w:rPr>
          <w:rFonts w:hint="default"/>
          <w:b/>
          <w:bCs/>
          <w:lang w:val="en-IN"/>
        </w:rPr>
        <w:t>Line Chart – Average Energy Cost by Occupants (BRL) by Building Size:</w:t>
      </w:r>
      <w:r>
        <w:rPr>
          <w:rFonts w:hint="default"/>
          <w:b/>
          <w:bCs/>
          <w:lang w:val="en-IN"/>
        </w:rPr>
        <w:br w:type="textWrapping"/>
      </w:r>
      <w:r>
        <w:rPr>
          <w:rFonts w:hint="default"/>
          <w:b w:val="0"/>
          <w:bCs w:val="0"/>
          <w:lang w:val="en-IN"/>
        </w:rPr>
        <w:t>The line chart illustrates that buildings of size 45 m² have the highest average energy cost (93.2 BRL), whereas buildings of 17 m² have the lowest (79.3 BRL), indicating that larger properties tend to consume more energy.</w:t>
      </w:r>
    </w:p>
    <w:p w14:paraId="0AF90806">
      <w:pPr>
        <w:rPr>
          <w:rFonts w:hint="default"/>
          <w:lang w:val="en-IN"/>
        </w:rPr>
      </w:pPr>
      <w:r>
        <w:rPr>
          <w:rFonts w:hint="default"/>
          <w:b/>
          <w:bCs/>
          <w:lang w:val="en-IN"/>
        </w:rPr>
        <w:t>Clustered Column Chart – Sum Of Energy Cost by Occupants (BRL) by Regions and customer_type:</w:t>
      </w:r>
      <w:r>
        <w:rPr>
          <w:rFonts w:hint="default"/>
          <w:b/>
          <w:bCs/>
          <w:lang w:val="en-IN"/>
        </w:rPr>
        <w:br w:type="textWrapping"/>
      </w:r>
      <w:r>
        <w:rPr>
          <w:rFonts w:hint="default"/>
          <w:b w:val="0"/>
          <w:bCs w:val="0"/>
          <w:lang w:val="en-IN"/>
        </w:rPr>
        <w:t>The Midwest region records the highest total energy cost, with Residential customers at 113K BRL and Commercial customers at 61K BRL. The South region shows the lowest, with Residential at 29K BRL and Commercial at 13K BRL.</w:t>
      </w:r>
    </w:p>
    <w:p w14:paraId="18EBA345">
      <w:pPr>
        <w:rPr>
          <w:rFonts w:hint="default"/>
          <w:lang w:val="en-IN"/>
        </w:rPr>
      </w:pPr>
    </w:p>
    <w:p w14:paraId="21D9703C">
      <w:pPr>
        <w:rPr>
          <w:rFonts w:hint="default"/>
          <w:lang w:val="en-IN"/>
        </w:rPr>
      </w:pPr>
      <w:r>
        <w:rPr>
          <w:rFonts w:hint="default"/>
          <w:lang w:val="en-IN"/>
        </w:rPr>
        <w:t xml:space="preserve"> </w:t>
      </w:r>
      <w:bookmarkStart w:id="0" w:name="_GoBack"/>
      <w:bookmarkEnd w:id="0"/>
    </w:p>
    <w:p w14:paraId="1AAF7E8C">
      <w:pPr>
        <w:rPr>
          <w:rFonts w:ascii="Arial" w:hAnsi="Arial" w:cs="Arial"/>
          <w:b/>
          <w:bCs/>
          <w:sz w:val="24"/>
          <w:szCs w:val="24"/>
          <w:u w:val="single"/>
        </w:rPr>
      </w:pPr>
      <w:r>
        <w:rPr>
          <w:rFonts w:ascii="Arial" w:hAnsi="Arial" w:cs="Arial"/>
          <w:b/>
          <w:bCs/>
          <w:sz w:val="24"/>
          <w:szCs w:val="24"/>
          <w:u w:val="single"/>
        </w:rPr>
        <w:t>End:-</w:t>
      </w:r>
    </w:p>
    <w:p w14:paraId="035C5BB6">
      <w:pPr>
        <w:rPr>
          <w:rFonts w:hint="default"/>
          <w:lang w:val="en-IN"/>
        </w:rPr>
      </w:pPr>
      <w:r>
        <w:rPr>
          <w:rFonts w:hint="default"/>
          <w:lang w:val="en-IN"/>
        </w:rPr>
        <w:t xml:space="preserve">The analysis highlights how </w:t>
      </w:r>
      <w:r>
        <w:rPr>
          <w:rFonts w:hint="default"/>
          <w:b/>
          <w:bCs/>
          <w:lang w:val="en-IN"/>
        </w:rPr>
        <w:t>building size, occupancy, and regional factors</w:t>
      </w:r>
      <w:r>
        <w:rPr>
          <w:rFonts w:hint="default"/>
          <w:lang w:val="en-IN"/>
        </w:rPr>
        <w:t xml:space="preserve"> influence energy consumption across residential and commercial sectors.</w:t>
      </w:r>
      <w:r>
        <w:rPr>
          <w:rFonts w:hint="default"/>
          <w:lang w:val="en-IN"/>
        </w:rPr>
        <w:br w:type="textWrapping"/>
      </w:r>
      <w:r>
        <w:rPr>
          <w:rFonts w:hint="default"/>
          <w:lang w:val="en-IN"/>
        </w:rPr>
        <w:t xml:space="preserve">It was observed that </w:t>
      </w:r>
      <w:r>
        <w:rPr>
          <w:rFonts w:hint="default"/>
          <w:b/>
          <w:bCs/>
          <w:lang w:val="en-IN"/>
        </w:rPr>
        <w:t>larger buildings and higher occupancy levels</w:t>
      </w:r>
      <w:r>
        <w:rPr>
          <w:rFonts w:hint="default"/>
          <w:lang w:val="en-IN"/>
        </w:rPr>
        <w:t xml:space="preserve"> lead to increased energy costs, while </w:t>
      </w:r>
      <w:r>
        <w:rPr>
          <w:rFonts w:hint="default"/>
          <w:b/>
          <w:bCs/>
          <w:lang w:val="en-IN"/>
        </w:rPr>
        <w:t>commercial customers contribute a greater share</w:t>
      </w:r>
      <w:r>
        <w:rPr>
          <w:rFonts w:hint="default"/>
          <w:lang w:val="en-IN"/>
        </w:rPr>
        <w:t xml:space="preserve"> of total energy expenditure. </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BD5A23"/>
    <w:rsid w:val="15655FDB"/>
    <w:rsid w:val="36FF3742"/>
    <w:rsid w:val="37BF0805"/>
    <w:rsid w:val="6DBD5A23"/>
    <w:rsid w:val="74E34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2025-11-03T04:13:00Z</dcterms:created>
  <dc:creator>meg2027</dc:creator>
  <cp:lastModifiedBy>meg2027</cp:lastModifiedBy>
  <dcterms:modified xsi:type="dcterms:W3CDTF">2025-11-03T06:22:25Z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ACB97FDCEA3242EF80082B4A3D681008_11</vt:lpwstr>
  </property>
</Properties>
</file>