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Northwind Financial — Cybersecurity Self-Assessment Questionnaire (Completed)</w:t>
      </w:r>
    </w:p>
    <w:p>
      <w:r>
        <w:t>Synthetic test fixture for the CSF Assessor Fleet's Q&amp;A upload/extraction pipeline. Not real Northwind evidence — for pipeline testing only.</w:t>
      </w:r>
    </w:p>
    <w:p>
      <w:pPr>
        <w:pStyle w:val="Heading2"/>
      </w:pPr>
      <w:r>
        <w:t>Governance</w:t>
      </w:r>
    </w:p>
    <w:p>
      <w:pPr>
        <w:pStyle w:val="IntenseQuote"/>
      </w:pPr>
      <w:r>
        <w:t>Q (GV.OC-01): How is the organization's mission and business strategy connected to cybersecurity risk decisions?</w:t>
      </w:r>
    </w:p>
    <w:p>
      <w:r>
        <w:t>A: Northwind's Board-approved strategy statement explicitly names operational resilience and client-data integrity as top-3 strategic priorities, and the CISO references this statement directly when framing risk appetite discussions with the Risk Committee. However, that linkage isn't yet documented anywhere outside the CISO's own board deck — there's no standing policy that ties business strategy to cyber risk prioritization for staff below the executive level.</w:t>
      </w:r>
    </w:p>
    <w:p>
      <w:pPr>
        <w:pStyle w:val="IntenseQuote"/>
      </w:pPr>
      <w:r>
        <w:t>Q (GV.OC-03): What process tracks the legal, regulatory, and contractual cybersecurity requirements you're subject to?</w:t>
      </w:r>
    </w:p>
    <w:p>
      <w:r>
        <w:t>A: A Regulatory Requirements Register is maintained by Compliance, covering PRA/FCA rules, SM&amp;CR obligations, and UK GDPR. It's reviewed twice a year and explicitly documents which regimes were assessed and ruled not applicable, with rationale. Ownership is clear and the register is current as of this quarter.</w:t>
      </w:r>
    </w:p>
    <w:p>
      <w:pPr>
        <w:pStyle w:val="IntenseQuote"/>
      </w:pPr>
      <w:r>
        <w:t>Q (GV.RM-01): Are cybersecurity risk management objectives formally established and agreed by stakeholders?</w:t>
      </w:r>
    </w:p>
    <w:p>
      <w:r>
        <w:t>A: Yes — objectives are set annually by the Risk Committee and signed off by the Board. They're stated in business terms (e.g. 'no client-impacting outage exceeding 4 hours') rather than technical ones, which makes them easy to communicate but harder to translate into specific control targets for engineering teams.</w:t>
      </w:r>
    </w:p>
    <w:p>
      <w:pPr>
        <w:pStyle w:val="IntenseQuote"/>
      </w:pPr>
      <w:r>
        <w:t>Q (GV.RM-02): Is there a documented risk appetite or risk tolerance statement for cybersecurity risk?</w:t>
      </w:r>
    </w:p>
    <w:p>
      <w:r>
        <w:t>A: There is a one-page risk appetite statement approved by the Board last year, but it hasn't been communicated below Director level — most engineering and operations staff we spoke with weren't aware it existed, so it isn't actually shaping day-to-day risk decisions yet.</w:t>
      </w:r>
    </w:p>
    <w:p>
      <w:pPr>
        <w:pStyle w:val="IntenseQuote"/>
      </w:pPr>
      <w:r>
        <w:t>Q (GV.RM-06): What standardized methodology is used to calculate and prioritize cybersecurity risks?</w:t>
      </w:r>
    </w:p>
    <w:p>
      <w:r>
        <w:t>A: We use a 5x5 likelihood/impact matrix, applied consistently across all business units via a shared risk register template. Scoring criteria are documented and each entry requires a named risk owner before it can be closed or accepted.</w:t>
      </w:r>
    </w:p>
    <w:p>
      <w:pPr>
        <w:pStyle w:val="IntenseQuote"/>
      </w:pPr>
      <w:r>
        <w:t>Q (GV.RR-01): How is organizational leadership held accountable for cybersecurity risk?</w:t>
      </w:r>
    </w:p>
    <w:p>
      <w:r>
        <w:t>A: The CISO reports to the Board quarterly, and cyber risk is a standing line item on the Risk Committee agenda. There's no formal consequence structure yet (e.g. tied to executive compensation), but visibility and reporting cadence are solid.</w:t>
      </w:r>
    </w:p>
    <w:p>
      <w:pPr>
        <w:pStyle w:val="IntenseQuote"/>
      </w:pPr>
      <w:r>
        <w:t>Q (GV.RR-02): Are cybersecurity roles, responsibilities, and authorities formally documented?</w:t>
      </w:r>
    </w:p>
    <w:p>
      <w:r>
        <w:t>A: Yes, a governance charter with a RACI matrix was published last year and is reviewed annually. There is a single named executive (the CISO) accountable for the program, confirmed in our SM&amp;CR Statement of Responsibilities filing.</w:t>
      </w:r>
    </w:p>
    <w:p>
      <w:pPr>
        <w:pStyle w:val="IntenseQuote"/>
      </w:pPr>
      <w:r>
        <w:t>Q (GV.RR-04): Is cybersecurity included in human resources practices (onboarding, offboarding, role changes)?</w:t>
      </w:r>
    </w:p>
    <w:p>
      <w:r>
        <w:t>A: Security awareness training is mandatory at onboarding and access is provisioned through HR-triggered workflows. Offboarding deprovisioning, however, still relies on a manual ticket from the departing employee's manager — there have been two cases in the past year where access wasn't revoked for over a week after termination.</w:t>
      </w:r>
    </w:p>
    <w:p>
      <w:pPr>
        <w:pStyle w:val="IntenseQuote"/>
      </w:pPr>
      <w:r>
        <w:t>Q (GV.PO-01): Is there an established policy for managing cybersecurity risks, communicated and enforced?</w:t>
      </w:r>
    </w:p>
    <w:p>
      <w:r>
        <w:t>A: A top-level Information Security Policy exists, is version-controlled, and is communicated at onboarding and via annual attestation. Enforcement relies mostly on the attestation process rather than technical controls checking compliance.</w:t>
      </w:r>
    </w:p>
    <w:p>
      <w:pPr>
        <w:pStyle w:val="IntenseQuote"/>
      </w:pPr>
      <w:r>
        <w:t>Q (GV.PO-02): How often is the cybersecurity policy reviewed and updated?</w:t>
      </w:r>
    </w:p>
    <w:p>
      <w:r>
        <w:t>A: Annually, or triggered by a material regulatory change — the last update was driven by an FCA guidance refresh six months ago. The review is owned by Compliance with sign-off from the CISO.</w:t>
      </w:r>
    </w:p>
    <w:p>
      <w:pPr>
        <w:pStyle w:val="IntenseQuote"/>
      </w:pPr>
      <w:r>
        <w:t>Q (GV.OV-01): Are cybersecurity risk management strategy outcomes reviewed to inform future strategy?</w:t>
      </w:r>
    </w:p>
    <w:p>
      <w:r>
        <w:t>A: The Risk Committee reviews KRIs quarterly and the strategy document is refreshed annually based on that review. This is a relatively new practice, in place for about a year.</w:t>
      </w:r>
    </w:p>
    <w:p>
      <w:pPr>
        <w:pStyle w:val="IntenseQuote"/>
      </w:pPr>
      <w:r>
        <w:t>Q (GV.OV-03): Is organizational cybersecurity risk management performance evaluated and reviewed?</w:t>
      </w:r>
    </w:p>
    <w:p>
      <w:r>
        <w:t>A: We track a handful of metrics (patch SLA compliance, phishing simulation click rate, MFA coverage) and report them to the Risk Committee quarterly, but there's no formal maturity benchmarking against an external framework yet — this questionnaire will likely be the first time that happens.</w:t>
      </w:r>
    </w:p>
    <w:p>
      <w:pPr>
        <w:pStyle w:val="IntenseQuote"/>
      </w:pPr>
      <w:r>
        <w:t>Q (GV.SC-04): Do you maintain an inventory of suppliers and third parties prioritized by cybersecurity criticality?</w:t>
      </w:r>
    </w:p>
    <w:p>
      <w:r>
        <w:t>A: We have a vendor list, but it's tiered by contract dollar value, not by actual access to systems or data — a low-spend vendor with direct system access is currently treated the same as a high-spend vendor with none. We're aware this is a gap and it's on the roadmap to fix.</w:t>
      </w:r>
    </w:p>
    <w:p>
      <w:pPr>
        <w:pStyle w:val="IntenseQuote"/>
      </w:pPr>
      <w:r>
        <w:t>Q (GV.SC-06): What cybersecurity due diligence is performed before signing a new vendor contract?</w:t>
      </w:r>
    </w:p>
    <w:p>
      <w:r>
        <w:t>A: Vendors above £250K annual spend go through a formal security questionnaire and, for critical ones, a SOC 2 report review before signing. Vendors under that threshold currently get no due diligence at all, regardless of what access or data they'd touch.</w:t>
      </w:r>
    </w:p>
    <w:p>
      <w:pPr>
        <w:pStyle w:val="Heading2"/>
      </w:pPr>
      <w:r>
        <w:t>Identify</w:t>
      </w:r>
    </w:p>
    <w:p>
      <w:pPr>
        <w:pStyle w:val="IntenseQuote"/>
      </w:pPr>
      <w:r>
        <w:t>Q (ID.AM-01): Do you maintain an inventory of hardware managed by the organization?</w:t>
      </w:r>
    </w:p>
    <w:p>
      <w:r>
        <w:t>A: Yes, an asset management platform tracks all corporate laptops, servers, and network devices, reconciled monthly against procurement records. Coverage is close to complete for corporate-owned assets, but the BYOD mobile device population isn't inventoried the same way.</w:t>
      </w:r>
    </w:p>
    <w:p>
      <w:pPr>
        <w:pStyle w:val="IntenseQuote"/>
      </w:pPr>
      <w:r>
        <w:t>Q (ID.AM-02): Do you maintain an inventory of software, services, and systems managed by the organization?</w:t>
      </w:r>
    </w:p>
    <w:p>
      <w:r>
        <w:t>A: A CMDB exists and is the system of record for production systems and licensed software. Shadow IT — SaaS tools individual teams sign up for without going through procurement — is a known blind spot; we estimate the CMDB captures maybe 80% of what's actually in use.</w:t>
      </w:r>
    </w:p>
    <w:p>
      <w:pPr>
        <w:pStyle w:val="IntenseQuote"/>
      </w:pPr>
      <w:r>
        <w:t>Q (ID.AM-04): Do you maintain an inventory of services provided by suppliers?</w:t>
      </w:r>
    </w:p>
    <w:p>
      <w:r>
        <w:t>A: Partially — the vendor list mentioned earlier captures contracted suppliers, but it doesn't map which specific service or system each supplier's access touches, so it can't answer 'which vendors could affect this particular system' without manual cross-referencing.</w:t>
      </w:r>
    </w:p>
    <w:p>
      <w:pPr>
        <w:pStyle w:val="IntenseQuote"/>
      </w:pPr>
      <w:r>
        <w:t>Q (ID.AM-05): Are assets prioritized based on classification, criticality, resources, and impact on the mission?</w:t>
      </w:r>
    </w:p>
    <w:p>
      <w:r>
        <w:t>A: Our core banking platform and client data stores are formally classified as Tier 1 critical assets with enhanced monitoring and change control. Classification for everything else is informal and inconsistent across business units.</w:t>
      </w:r>
    </w:p>
    <w:p>
      <w:pPr>
        <w:pStyle w:val="IntenseQuote"/>
      </w:pPr>
      <w:r>
        <w:t>Q (ID.RA-01): Are vulnerabilities in assets identified, validated, and recorded?</w:t>
      </w:r>
    </w:p>
    <w:p>
      <w:r>
        <w:t>A: We run authenticated vulnerability scans monthly across the production estate, and findings are logged in a tracking system with an owner and target remediation date. Validation (confirming a finding isn't a false positive) happens for critical/high findings only, not the full list.</w:t>
      </w:r>
    </w:p>
    <w:p>
      <w:pPr>
        <w:pStyle w:val="IntenseQuote"/>
      </w:pPr>
      <w:r>
        <w:t>Q (ID.RA-02): Do you receive cyber threat intelligence from information sharing forums and sources?</w:t>
      </w:r>
    </w:p>
    <w:p>
      <w:r>
        <w:t>A: We subscribe to a commercial threat intel feed and participate in the FS-ISAC-equivalent UK financial sector sharing group. Intelligence is reviewed by the SOC but there's no formal process for feeding it back into risk register updates.</w:t>
      </w:r>
    </w:p>
    <w:p>
      <w:pPr>
        <w:pStyle w:val="IntenseQuote"/>
      </w:pPr>
      <w:r>
        <w:t>Q (ID.RA-05): Are threats, vulnerabilities, likelihoods, and impacts used to inform risk response prioritization?</w:t>
      </w:r>
    </w:p>
    <w:p>
      <w:r>
        <w:t>A: Yes, this feeds directly into the 5x5 risk matrix mentioned earlier — vulnerability scan findings and threat intel are both explicit inputs to how items get prioritized in the risk register.</w:t>
      </w:r>
    </w:p>
    <w:p>
      <w:pPr>
        <w:pStyle w:val="IntenseQuote"/>
      </w:pPr>
      <w:r>
        <w:t>Q (ID.RA-06): How are risk responses chosen, prioritized, planned, tracked, and communicated?</w:t>
      </w:r>
    </w:p>
    <w:p>
      <w:r>
        <w:t>A: Each risk register entry has a chosen response (accept/mitigate/transfer/avoid), an owner, and a target date, reviewed monthly by the risk owner and quarterly by the Risk Committee. Tracking is consistent; communication to affected business units is more ad hoc.</w:t>
      </w:r>
    </w:p>
    <w:p>
      <w:pPr>
        <w:pStyle w:val="IntenseQuote"/>
      </w:pPr>
      <w:r>
        <w:t>Q (ID.RA-10): Are critical suppliers assessed for risk prior to acquisition/engagement?</w:t>
      </w:r>
    </w:p>
    <w:p>
      <w:r>
        <w:t>A: Only for suppliers above the £250K threshold, using the same due-diligence process mentioned under supply chain governance — this is the same gap, just viewed from the risk-assessment side rather than the governance side.</w:t>
      </w:r>
    </w:p>
    <w:p>
      <w:pPr>
        <w:pStyle w:val="IntenseQuote"/>
      </w:pPr>
      <w:r>
        <w:t>Q (ID.IM-01): Are improvements identified from evaluations (audits, assessments, etc.)?</w:t>
      </w:r>
    </w:p>
    <w:p>
      <w:r>
        <w:t>A: Internal Audit runs an annual cybersecurity review and findings are tracked to closure with the business owner. This assessment itself will be the first external-framework-style evaluation feeding into that improvement backlog.</w:t>
      </w:r>
    </w:p>
    <w:p>
      <w:pPr>
        <w:pStyle w:val="IntenseQuote"/>
      </w:pPr>
      <w:r>
        <w:t>Q (ID.IM-04): Are incident response plans established, communicated, maintained, and improved?</w:t>
      </w:r>
    </w:p>
    <w:p>
      <w:r>
        <w:t>A: An Incident Response Plan exists, was last tabletop-tested eight months ago, and updates are logged after each real incident or exercise. It's communicated to the core IR team but not broadly across the organization, so most staff wouldn't know their role in a live incident.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