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Meghavarshini 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 No: RA2211026050054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Topology Design: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 Configuration: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Design a network topology that includes at least 10 computers connected to switches. Ensure proper switch connectivity within the LAN segment.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Implement WAN configuration to connect the LAN network to another network using routers, creating a broader network structure for communication between distinct LANs.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Network Setup in Cisco Packet Tracer: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 Devices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Place and connect 10-15 computers within the LAN segment.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Add at least 2 switches to facilitate connections between the computers.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Introduce at least 2 routers to establish WAN connectivity.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Configure IP Addresses: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Assign unique IP addresses to all computers within the LAN segment, ensuring they are within the same subnet.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Configure router interfaces with appropriate IP addresses to enable routing between LAN and WAN segments.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Set up routing protocols or static routes as needed to ensure seamless communication between different LANs via the WAN.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Configuration Steps: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LAN Configuration: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Connect computers to switches using network cables.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Assign unique IP addresses to each computer within the same subnet.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Interconnect the switches to support network expansion and communication within the LAN.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WAN Configuration: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Connect the routers to each other to establish the WAN connection.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Configure the router interfaces with IP addresses that support communication across the WAN.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Set up static or dynamic routing to ensure traffic can be routed between different LAN segments.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Simulation: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Send a Message: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Use Cisco Packet Tracer's simulation mode to monitor and test network activity.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Configure and send a message from a computer in one network (e.g., LAN1) to a computer in another network (e.g., LAN2). Command - ping 172.16.1.2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Capture and verify the message transmission to ensure successful delivery between networks.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95775" cy="2676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240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