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3E5C86"/>
          <w:spacing w:val="20"/>
          <w:sz w:val="16"/>
          <w:szCs w:val="16"/>
        </w:rPr>
        <w:t xml:space="preserve">SANDBOX · PROFILE STUDIO — TUTORIAL 3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2233B"/>
          <w:sz w:val="38"/>
          <w:szCs w:val="38"/>
        </w:rPr>
        <w:t xml:space="preserve">The process stack</w:t>
      </w:r>
    </w:p>
    <w:p>
      <w:pPr>
        <w:spacing w:after="60"/>
      </w:pPr>
      <w:r>
        <w:rPr>
          <w:rFonts w:ascii="Arial" w:cs="Arial" w:eastAsia="Arial" w:hAnsi="Arial"/>
          <w:color w:val="6B7A8D"/>
          <w:sz w:val="20"/>
          <w:szCs w:val="20"/>
        </w:rPr>
        <w:t xml:space="preserve">After the material stack and opening are built, the process stack transforms the profile step by step — the same idea as real fab steps (deposit, fill, etch, polish).</w:t>
      </w:r>
    </w:p>
    <w:p>
      <w:pPr>
        <w:pBdr>
          <w:bottom w:val="single" w:color="CBD6E4" w:sz="6" w:space="8"/>
        </w:pBdr>
        <w:spacing w:after="150"/>
      </w:pPr>
      <w:r>
        <w:rPr>
          <w:sz w:val="2"/>
          <w:szCs w:val="2"/>
        </w:rPr>
        <w:t xml:space="preserve"/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How it works</w:t>
      </w:r>
    </w:p>
    <w:p>
      <w:pPr>
        <w:spacing w:after="70"/>
      </w:pPr>
      <w:r>
        <w:rPr>
          <w:rFonts w:ascii="Arial" w:cs="Arial" w:eastAsia="Arial" w:hAnsi="Arial"/>
          <w:color w:val="1F2A38"/>
          <w:sz w:val="20"/>
          <w:szCs w:val="20"/>
        </w:rPr>
        <w:t xml:space="preserve">Steps run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in order, top to bottom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(①, then ②, ③ …). Each step acts on the result of the one above it. A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Repeat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block runs its steps ×N — handy for multilayers / superlattices.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The step types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conformal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coats every surface (walls, bottom, top) with a uniform layer that follows the profile. Use it for liners and spacers.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Deposit · planar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adds a flat layer on top only (no sidewall coverage).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gap-fills the opening flush with the surface. The number is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overfill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(extra nm of blanket above the surface; 0 = flush).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equally in all directions; rounds corners and undercuts.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Etch · anisotropic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removes material vertically. Anisotropy 1 = fully vertical, 0 = isotropic, in between = a rounded undercut. Pick a material to etch only that one, or “(any)”.</w:t>
      </w:r>
    </w:p>
    <w:p>
      <w:pPr>
        <w:spacing w:after="60"/>
        <w:ind w:left="120"/>
      </w:pPr>
      <w:r>
        <w:rPr>
          <w:rFonts w:ascii="Arial" w:cs="Arial" w:eastAsia="Arial" w:hAnsi="Arial"/>
          <w:b/>
          <w:bCs/>
          <w:color w:val="2E9E77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color w:val="1F2A38"/>
          <w:sz w:val="20"/>
          <w:szCs w:val="20"/>
        </w:rPr>
        <w:t xml:space="preserve">Planarize</w:t>
      </w:r>
      <w:r>
        <w:rPr>
          <w:rFonts w:ascii="Arial" w:cs="Arial" w:eastAsia="Arial" w:hAnsi="Arial"/>
          <w:color w:val="1F2A38"/>
          <w:sz w:val="20"/>
          <w:szCs w:val="20"/>
        </w:rPr>
        <w:t xml:space="preserve"> — cuts everything flat at a height, like chemical-mechanical polish (CMP).</w:t>
      </w:r>
    </w:p>
    <w:p>
      <w:pPr>
        <w:spacing w:after="70" w:before="170"/>
      </w:pPr>
      <w:r>
        <w:rPr>
          <w:rFonts w:ascii="Arial" w:cs="Arial" w:eastAsia="Arial" w:hAnsi="Arial"/>
          <w:color w:val="2E9E77"/>
          <w:sz w:val="22"/>
          <w:szCs w:val="22"/>
        </w:rPr>
        <w:t xml:space="preserve">▍</w:t>
      </w:r>
      <w:r>
        <w:rPr>
          <w:rFonts w:ascii="Arial" w:cs="Arial" w:eastAsia="Arial" w:hAnsi="Arial"/>
          <w:b/>
          <w:bCs/>
          <w:color w:val="12233B"/>
          <w:sz w:val="23"/>
          <w:szCs w:val="23"/>
        </w:rPr>
        <w:t xml:space="preserve"> Worked example — liner + fill + polish</w:t>
      </w:r>
    </w:p>
    <w:tbl>
      <w:tblPr>
        <w:tblW w:type="dxa" w:w="100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73"/>
        <w:gridCol w:w="260"/>
        <w:gridCol w:w="3173"/>
        <w:gridCol w:w="260"/>
        <w:gridCol w:w="3173"/>
      </w:tblGrid>
      <w:tr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① bare trench (stack + opening)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② ＋ Deposit·conformal (nitride liner)</w:t>
            </w: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3173"/>
            <w:tcBorders>
              <w:top w:val="single" w:color="CBD6E4" w:sz="4"/>
              <w:left w:val="single" w:color="CBD6E4" w:sz="4"/>
              <w:bottom w:val="single" w:color="CBD6E4" w:sz="4"/>
              <w:right w:val="single" w:color="CBD6E4" w:sz="4"/>
            </w:tcBorders>
            <w:shd w:fill="F6F9FD" w:val="clear"/>
            <w:tcMar>
              <w:top w:type="dxa" w:w="9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8585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6B7A8D"/>
                <w:sz w:val="16"/>
                <w:szCs w:val="16"/>
              </w:rPr>
              <w:t xml:space="preserve">③ ＋ Fill (tungsten) ＋ Planarize</w:t>
            </w:r>
          </w:p>
        </w:tc>
      </w:tr>
    </w:tbl>
    <w:p>
      <w:pPr>
        <w:spacing w:after="60"/>
      </w:pPr>
      <w:r>
        <w:rPr>
          <w:sz w:val="2"/>
          <w:szCs w:val="2"/>
        </w:rPr>
        <w:t xml:space="preserve"/>
      </w:r>
    </w:p>
    <w:tbl>
      <w:tblPr>
        <w:tblW w:type="dxa" w:w="10040"/>
        <w:tblBorders>
          <w:top w:val="single" w:color="2E9E77" w:sz="4"/>
          <w:left w:val="single" w:color="2E9E77" w:sz="4"/>
          <w:bottom w:val="single" w:color="2E9E77" w:sz="4"/>
          <w:right w:val="single" w:color="2E9E77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EAF6F0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2233B"/>
                <w:sz w:val="19"/>
                <w:szCs w:val="19"/>
              </w:rPr>
              <w:t xml:space="preserve">Tips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Deposit / Fill can use ANY material in the palette — you don’t need to add liner/fill materials to the stack first. Etch lists the materials present (plus “(any)”).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Etch with a material selected removes only that material; “(any)” removes whatever it reaches.</w:t>
            </w:r>
          </w:p>
          <w:p>
            <w:pPr>
              <w:spacing w:before="24"/>
              <w:ind w:left="80"/>
            </w:pPr>
            <w:r>
              <w:rPr>
                <w:rFonts w:ascii="Arial" w:cs="Arial" w:eastAsia="Arial" w:hAnsi="Arial"/>
                <w:color w:val="1F2A38"/>
                <w:sz w:val="18"/>
                <w:szCs w:val="18"/>
              </w:rPr>
              <w:t xml:space="preserve">•  Build a superlattice with a Repeat block: e.g. deposit A, deposit B, repeated ×10.</w:t>
            </w:r>
          </w:p>
        </w:tc>
      </w:tr>
    </w:tbl>
    <w:sectPr>
      <w:pgSz w:w="12240" w:h="15840" w:orient="portrait"/>
      <w:pgMar w:top="1000" w:right="1100" w:bottom="8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e604cd870fb24b2a29251cdf82992fefe91eb1.png"/><Relationship Id="rId8" Type="http://schemas.openxmlformats.org/officeDocument/2006/relationships/image" Target="media/25b3f05df81761aff129ba495175085c5cce1609.png"/><Relationship Id="rId9" Type="http://schemas.openxmlformats.org/officeDocument/2006/relationships/image" Target="media/9148cecd980f06d6c3faaa2241c1f0f8b4e9f0f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2026-07-22T20:00:19.848Z</dcterms:created>
  <dcterms:modified xsi:type="dcterms:W3CDTF">2026-07-22T20:00:19.848Z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