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5F"/>
          <w:sz w:val="44"/>
          <w:szCs w:val="44"/>
        </w:rPr>
        <w:t xml:space="preserve">Specialized Small Language Models as a Service</w:t>
      </w:r>
    </w:p>
    <w:p>
      <w:pPr>
        <w:spacing w:after="60"/>
        <w:jc w:val="center"/>
      </w:pPr>
      <w:r>
        <w:rPr>
          <w:sz w:val="24"/>
          <w:szCs w:val="24"/>
        </w:rPr>
        <w:t xml:space="preserve">Product offering — working draft</w:t>
      </w:r>
    </w:p>
    <w:p>
      <w:pPr>
        <w:spacing w:after="500"/>
        <w:jc w:val="center"/>
      </w:pPr>
      <w:r>
        <w:rPr>
          <w:color w:val="666666"/>
          <w:sz w:val="20"/>
          <w:szCs w:val="20"/>
        </w:rPr>
        <w:t xml:space="preserve">July 2026 · Prepared from the CalcuLearn pilot</w:t>
      </w:r>
    </w:p>
    <w:p>
      <w:pPr>
        <w:pBdr>
          <w:bottom w:val="single" w:color="1F4E5F" w:sz="6" w:space="1"/>
        </w:pBdr>
      </w:pPr>
    </w:p>
    <w:p>
      <w:pPr>
        <w:pStyle w:val="Heading1"/>
      </w:pPr>
      <w:r>
        <w:t xml:space="preserve">1. What the offering is</w:t>
      </w:r>
    </w:p>
    <w:p>
      <w:pPr>
        <w:spacing w:after="160"/>
      </w:pPr>
      <w:r>
        <w:t xml:space="preserve">A customer brings a domain — a curriculum, a legal playbook, clinical protocols, a support knowledge base — and we deliver a small language model (1–4B parameters) specialized to expert level in that domain, packaged to run </w:t>
      </w:r>
      <w:r>
        <w:rPr>
          <w:b/>
          <w:bCs/>
        </w:rPr>
        <w:t xml:space="preserve">on their own hardware: offline, private, with no per-token costs</w:t>
      </w:r>
      <w:r>
        <w:t xml:space="preserve">. The service includes the evaluation evidence that the model is good, the integration path into their existing application, and a subscription that keeps the model current as base models, devices, and customer content evolve.</w:t>
      </w:r>
    </w:p>
    <w:p>
      <w:pPr>
        <w:spacing w:after="160"/>
      </w:pPr>
      <w:r>
        <w:t xml:space="preserve">The premise, demonstrated in the CalcuLearn pilot: for a </w:t>
      </w:r>
      <w:r>
        <w:rPr>
          <w:b/>
          <w:bCs/>
        </w:rPr>
        <w:t xml:space="preserve">single narrow job</w:t>
      </w:r>
      <w:r>
        <w:t xml:space="preserve">, a well-finetuned 1.7B model with strong domain data can deliver the useful subset of frontier-model behavior at roughly 1/1000th of the deployment cost, on hardware as small as a Raspberry Pi.</w:t>
      </w:r>
    </w:p>
    <w:p>
      <w:pPr>
        <w:pStyle w:val="Heading1"/>
      </w:pPr>
      <w:r>
        <w:t xml:space="preserve">2. What it composes</w:t>
      </w:r>
    </w:p>
    <w:p>
      <w:pPr>
        <w:pStyle w:val="Heading2"/>
      </w:pPr>
      <w:r>
        <w:t xml:space="preserve">2.1 The factory (repeatable pipeline)</w:t>
      </w:r>
    </w:p>
    <w:p>
      <w:pPr>
        <w:spacing w:after="160"/>
      </w:pPr>
      <w:r>
        <w:t xml:space="preserve">Every engagement runs the same five-stage pipeline. Each stage exists today as working code from the pilot and generalizes per customer: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 extraction: </w:t>
      </w:r>
      <w:r>
        <w:t xml:space="preserve">convert the customer’s structured domain content into instruction/response pairs that byte-match the prompt formats their application actually uses at runtime — this format fidelity is what makes the finetuned model a drop-in replacement.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Synthetic augmentation: </w:t>
      </w:r>
      <w:r>
        <w:t xml:space="preserve">frontier-model-generated training data, seeded with the customer’s gold examples as style and correctness anchors, passed through automated quality gates (answer-leak detection, format compliance, length caps).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License-vetted public data: </w:t>
      </w:r>
      <w:r>
        <w:t xml:space="preserve">domain-filtered open datasets to add raw capability. Every source is screened for redistribution and commercial-use terms before it enters a training mix.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Training: </w:t>
      </w:r>
      <w:r>
        <w:t xml:space="preserve">LoRA finetuning with fixed, tested recipes; small models train in hours on commodity hardware.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Packaging: </w:t>
      </w:r>
      <w:r>
        <w:t xml:space="preserve">fuse, convert, and quantize to the customer’s runtime (GGUF, MLX, safetensors), with integrity hashes for tamper detection on-device.</w:t>
      </w:r>
    </w:p>
    <w:p>
      <w:pPr>
        <w:pStyle w:val="Heading2"/>
      </w:pPr>
      <w:r>
        <w:t xml:space="preserve">2.2 The evaluation harness — the moat</w:t>
      </w:r>
    </w:p>
    <w:p>
      <w:pPr>
        <w:spacing w:after="160"/>
      </w:pPr>
      <w:r>
        <w:t xml:space="preserve">The hardest and most valuable artifact in every engagement is a </w:t>
      </w:r>
      <w:r>
        <w:rPr>
          <w:b/>
          <w:bCs/>
        </w:rPr>
        <w:t xml:space="preserve">domain-specific, auto-scored evaluation suite built from the customer’s own ground truth</w:t>
      </w:r>
      <w:r>
        <w:t xml:space="preserve">. Generic benchmarks cannot tell a customer whether a model is safe to put in front of their students, clients, or patients. In the pilot, a 63-problem calculus eval exposed that a model which looked competitive on a 7-problem sample actually collapsed on half the curriculum — a decision-quality difference no public benchmark would have caught. Training scripts are copyable; disciplined eval construction is the durable differentiator, and each customer’s eval suite compounds into reusable domain templates.</w:t>
      </w:r>
    </w:p>
    <w:p>
      <w:pPr>
        <w:pStyle w:val="Heading2"/>
      </w:pPr>
      <w:r>
        <w:t xml:space="preserve">2.3 Per-customer deliverables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Model artifacts in the runtime formats the customer needs, quantized for their device floor.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evaluation report against their own ground-truth suite, including before/after comparisons and regression checks.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integration adapter matching their existing application’s inference interface — we meet the customer inside their app rather than asking them to rebuild.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model card documenting data provenance, licenses, intended use, and known limitations.</w:t>
      </w:r>
    </w:p>
    <w:p>
      <w:pPr>
        <w:pStyle w:val="Heading2"/>
      </w:pPr>
      <w:r>
        <w:t xml:space="preserve">2.4 The recurring layer (where the business lives)</w:t>
      </w:r>
    </w:p>
    <w:p>
      <w:pPr>
        <w:spacing w:after="160"/>
      </w:pPr>
      <w:r>
        <w:t xml:space="preserve">One-time finetunes are consulting. The subscription is the product: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Re-evaluation and upgrade recommendations when new base models release — base-model churn resets the upgrade question every few months, in our favor.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Retraining as the customer’s content and edge cases accumulate.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Regression monitoring against the eval suite; quantization refreshes for new devices.</w:t>
      </w:r>
    </w:p>
    <w:p>
      <w:pPr>
        <w:pStyle w:val="Heading1"/>
      </w:pPr>
      <w:r>
        <w:t xml:space="preserve">3. Offering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the customer gets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Pricing logic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 (fixed scope)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model, one domain, customer-provided content; eval suite (~50–100 items); quantized artifacts + eval report. 4–6 weeks.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project fee. Priced to be an easy yes; goal is proving the eval + model on their ground truth.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 in Pilot plus integration adapter, expanded eval suite, safety checks, model card, deployment support.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fee scaled by data readiness and eval complexity — the cost driver is eval construction, not GPU time.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 (subscription)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Retraining cadence, base-model upgrade evals, regression monitoring, new-device quantization, support SLA.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subscription, tiered by model count and retrain frequency. Target: majority of revenue here within a year.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Case study: CalcuLearn (pilot, July 2026)</w:t>
      </w:r>
    </w:p>
    <w:p>
      <w:pPr>
        <w:spacing w:after="160"/>
      </w:pPr>
      <w:r>
        <w:t xml:space="preserve">An offline Socratic calculus tutor for AP students, targeting Raspberry Pi 5–class devices. The entire R&amp;D cycle below ran on </w:t>
      </w:r>
      <w:r>
        <w:rPr>
          <w:b/>
          <w:bCs/>
        </w:rPr>
        <w:t xml:space="preserve">one consumer laptop (Apple M5, 32GB)</w:t>
      </w:r>
      <w:r>
        <w:t xml:space="preserve"> in days, not months — the strongest cost evidence in this document.</w:t>
      </w:r>
    </w:p>
    <w:p>
      <w:pPr>
        <w:pStyle w:val="Heading2"/>
      </w:pPr>
      <w:r>
        <w:t xml:space="preserve">4.1 Base-model selection, evidence-driven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Candidate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 solver accuracy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Qwen3-1.7B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52% (33/63 problems)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Selected — consistent across all 20 concepts; Apache 2.0.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Gemma 3 1B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33% (21/63)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Rejected — fastest, but collapsed on half the curriculum; restrictive license.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Qwen2.5-Math-1.5B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math subset 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Rejected — ignored output-format instructions entirely (0% compliance).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SmolLM2-1.7B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Weakest of the four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Rejected — despite fully open training data.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4.2 First finetune (v0): format mastery in 10 minutes of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300"/>
        <w:gridCol w:w="2360"/>
      </w:tblGrid>
      <w:tr>
        <w:trPr>
          <w:tblHeader/>
        </w:trP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 (runtime task compliance)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After v0 LoRA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Answer-classification accuracy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JSON generation (problem variants)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answer scoring (JSON + agreement)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95% / 95%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/ 100%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length compliance (≤150 words)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The v0 adapter trained on ~1,800 pairs exported from existing curriculum content — zero new content authored. The v1 run (in progress) adds a 27,800-record mix including 20,000 license-vetted public calculus problems to move raw solving accuracy. Deployment target: a ~1GB 4-bit GGUF, roughly 5× smaller than the general-purpose model it replaces, dropping the hardware floor accordingly.</w:t>
      </w:r>
    </w:p>
    <w:p>
      <w:pPr>
        <w:pStyle w:val="Heading1"/>
      </w:pPr>
      <w:r>
        <w:t xml:space="preserve">5. Positioning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Against frontier APIs: </w:t>
      </w:r>
      <w:r>
        <w:t xml:space="preserve">privacy (data never leaves the device), offline operation, zero marginal inference cost, and latency on cheap hardware. The pitch is not “better than GPT/Claude” — it is “all you need for this one job, running where the API cannot go.”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Against DIY finetuning: </w:t>
      </w:r>
      <w:r>
        <w:t xml:space="preserve">the eval discipline, license compliance, and edge packaging are where in-house efforts stall. Customers buy certainty, not GPU hours.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Beachhead: </w:t>
      </w:r>
      <w:r>
        <w:t xml:space="preserve">education and other connectivity- or budget-constrained deployments (school devices, field hardware, regulated environments), where the equity story and the case study land hardest. CalcuLearn doubles as the flagship demo and an open-source credibility asset.</w:t>
      </w:r>
    </w:p>
    <w:p>
      <w:pPr>
        <w:pStyle w:val="Heading1"/>
      </w:pPr>
      <w:r>
        <w:t xml:space="preserve">6. What launching requires, and key risks</w:t>
      </w:r>
    </w:p>
    <w:p>
      <w:pPr>
        <w:pStyle w:val="Heading2"/>
      </w:pPr>
      <w:r>
        <w:t xml:space="preserve">6.1 Requirements beyond the pilot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Cloud GPU capacity for parallel customer runs (the laptop workflow proves economics but does not scale to a book of business).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Legal review of synthetic-data provider terms for commercial redistribution — obligations differ materially between an open-source education project and a paid service.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Safety and robustness evaluation beyond task accuracy (adversarial prompts, off-domain refusals, age-appropriateness where relevant).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generalized version of the pipeline: the pilot’s code is domain-specific by design; productization means templating the exporters, gates, and eval builders.</w:t>
      </w:r>
    </w:p>
    <w:p>
      <w:pPr>
        <w:pStyle w:val="Heading2"/>
      </w:pPr>
      <w:r>
        <w:t xml:space="preserve">6.2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Frontier models get cheaper/smaller, eroding the niche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offline/privacy/zero-marginal-cost constraints are structural, not price-based; recurring eval service survives model churn.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Small-model accuracy ceiling in high-stakes domains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 the SLM as one component behind deterministic guards (the pilot app validates answers symbolically before trusting the model) and scope claims per eval evidence.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Training-data licensing challenges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License screening is already a pipeline stage; keep per-customer data provenance in the model card.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 suites are expensive to build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They are also the moat and the main billable artifact; templates amortize across customers in the same vertical.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7. Suggested next steps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Finish the CalcuLearn v1 model and publish the open-source release — it is the marketing asset.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Write the one-page pilot offer (fixed price, fixed scope, 4–6 weeks) and identify 3–5 candidate customers in the education beachhead.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Get a legal read on synthetic-data terms for commercial use before the first paid engagement.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Template the pipeline: extract the domain-specific parts of the CalcuLearn scripts behind a config layer.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Confidential draft — for discussion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2026-07-08T18:10:04.333Z</dcterms:created>
  <dcterms:modified xsi:type="dcterms:W3CDTF">2026-07-08T18:10:04.333Z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