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Business Requirements Document (BRD)</w:t>
      </w:r>
    </w:p>
    <w:p>
      <w:r>
        <w:t>Project: Charger Management and Analytics Enhancements</w:t>
      </w:r>
    </w:p>
    <w:p>
      <w:r>
        <w:t>Version: 1.0</w:t>
      </w:r>
    </w:p>
    <w:p>
      <w:r>
        <w:t>Date: October 15, 2025</w:t>
      </w:r>
    </w:p>
    <w:p>
      <w:r>
        <w:t>Prepared By: Product Owner – eSW Platform</w:t>
      </w:r>
    </w:p>
    <w:p>
      <w:r>
        <w:t>Reviewed By: ATG QA &amp; Development Teams</w:t>
      </w:r>
    </w:p>
    <w:p>
      <w:pPr>
        <w:pStyle w:val="Heading2"/>
      </w:pPr>
      <w:r>
        <w:t>Document Version History</w:t>
      </w:r>
    </w:p>
    <w:tbl>
      <w:tblPr>
        <w:tblW w:type="auto" w:w="0"/>
        <w:tblLook w:firstColumn="1" w:firstRow="1" w:lastColumn="0" w:lastRow="0" w:noHBand="0" w:noVBand="1" w:val="04A0"/>
      </w:tblPr>
      <w:tblGrid>
        <w:gridCol w:w="2160"/>
        <w:gridCol w:w="2160"/>
        <w:gridCol w:w="2160"/>
        <w:gridCol w:w="2160"/>
      </w:tblGrid>
      <w:tr>
        <w:tc>
          <w:tcPr>
            <w:tcW w:type="dxa" w:w="2160"/>
          </w:tcPr>
          <w:p>
            <w:r>
              <w:t>Version</w:t>
            </w:r>
          </w:p>
        </w:tc>
        <w:tc>
          <w:tcPr>
            <w:tcW w:type="dxa" w:w="2160"/>
          </w:tcPr>
          <w:p>
            <w:r>
              <w:t>Date</w:t>
            </w:r>
          </w:p>
        </w:tc>
        <w:tc>
          <w:tcPr>
            <w:tcW w:type="dxa" w:w="2160"/>
          </w:tcPr>
          <w:p>
            <w:r>
              <w:t>Description</w:t>
            </w:r>
          </w:p>
        </w:tc>
        <w:tc>
          <w:tcPr>
            <w:tcW w:type="dxa" w:w="2160"/>
          </w:tcPr>
          <w:p>
            <w:r>
              <w:t>Author</w:t>
            </w:r>
          </w:p>
        </w:tc>
      </w:tr>
      <w:tr>
        <w:tc>
          <w:tcPr>
            <w:tcW w:type="dxa" w:w="2160"/>
          </w:tcPr>
          <w:p>
            <w:r>
              <w:t>1.0</w:t>
            </w:r>
          </w:p>
        </w:tc>
        <w:tc>
          <w:tcPr>
            <w:tcW w:type="dxa" w:w="2160"/>
          </w:tcPr>
          <w:p>
            <w:r>
              <w:t>15-Oct-2025</w:t>
            </w:r>
          </w:p>
        </w:tc>
        <w:tc>
          <w:tcPr>
            <w:tcW w:type="dxa" w:w="2160"/>
          </w:tcPr>
          <w:p>
            <w:r>
              <w:t>Initial BRD draft created based on current Jira stories</w:t>
            </w:r>
          </w:p>
        </w:tc>
        <w:tc>
          <w:tcPr>
            <w:tcW w:type="dxa" w:w="2160"/>
          </w:tcPr>
          <w:p>
            <w:r>
              <w:t>ATG Product Team</w:t>
            </w:r>
          </w:p>
        </w:tc>
      </w:tr>
    </w:tbl>
    <w:p/>
    <w:p>
      <w:pPr>
        <w:pStyle w:val="Heading2"/>
      </w:pPr>
      <w:r>
        <w:t>1. Purpose</w:t>
      </w:r>
    </w:p>
    <w:p>
      <w:r>
        <w:t>The purpose of this BRD is to define and consolidate the enhancements and new features planned for the Charger Management and Analytics modules within the eSW (Electric SmartWorks) platform. These stories collectively aim to improve charger configurability, data visibility, automation, and operational intelligence.</w:t>
      </w:r>
    </w:p>
    <w:p>
      <w:pPr>
        <w:pStyle w:val="Heading2"/>
      </w:pPr>
      <w:r>
        <w:t>2. Scope</w:t>
      </w:r>
    </w:p>
    <w:p>
      <w:r>
        <w:t>• Charger Configuration &amp; Automation Enhancements</w:t>
      </w:r>
    </w:p>
    <w:p>
      <w:r>
        <w:t>• Subscription &amp; Reseller Management</w:t>
      </w:r>
    </w:p>
    <w:p>
      <w:r>
        <w:t>• Analytics &amp; Reporting Dashboards</w:t>
      </w:r>
    </w:p>
    <w:p>
      <w:r>
        <w:t>• Load Management &amp; OCPP Compliance</w:t>
      </w:r>
    </w:p>
    <w:p>
      <w:r>
        <w:t>• QA Regression and Validation Support</w:t>
      </w:r>
    </w:p>
    <w:p>
      <w:pPr>
        <w:pStyle w:val="Heading2"/>
      </w:pPr>
      <w:r>
        <w:t>3. Functional Requirements</w:t>
      </w:r>
    </w:p>
    <w:p>
      <w:pPr>
        <w:pStyle w:val="Heading3"/>
      </w:pPr>
      <w:r>
        <w:t>3.1 Charger Configuration and Status Management</w:t>
      </w:r>
    </w:p>
    <w:tbl>
      <w:tblPr>
        <w:tblW w:type="auto" w:w="0"/>
        <w:tblLook w:firstColumn="1" w:firstRow="1" w:lastColumn="0" w:lastRow="0" w:noHBand="0" w:noVBand="1" w:val="04A0"/>
      </w:tblPr>
      <w:tblGrid>
        <w:gridCol w:w="1728"/>
        <w:gridCol w:w="1728"/>
        <w:gridCol w:w="1728"/>
        <w:gridCol w:w="1728"/>
        <w:gridCol w:w="1728"/>
      </w:tblGrid>
      <w:tr>
        <w:tc>
          <w:tcPr>
            <w:tcW w:type="dxa" w:w="1728"/>
          </w:tcPr>
          <w:p>
            <w:r>
              <w:t>Story ID</w:t>
            </w:r>
          </w:p>
        </w:tc>
        <w:tc>
          <w:tcPr>
            <w:tcW w:type="dxa" w:w="1728"/>
          </w:tcPr>
          <w:p>
            <w:r>
              <w:t>Title</w:t>
            </w:r>
          </w:p>
        </w:tc>
        <w:tc>
          <w:tcPr>
            <w:tcW w:type="dxa" w:w="1728"/>
          </w:tcPr>
          <w:p>
            <w:r>
              <w:t>Description</w:t>
            </w:r>
          </w:p>
        </w:tc>
        <w:tc>
          <w:tcPr>
            <w:tcW w:type="dxa" w:w="1728"/>
          </w:tcPr>
          <w:p>
            <w:r>
              <w:t>Status</w:t>
            </w:r>
          </w:p>
        </w:tc>
        <w:tc>
          <w:tcPr>
            <w:tcW w:type="dxa" w:w="1728"/>
          </w:tcPr>
          <w:p>
            <w:r>
              <w:t>Assignee</w:t>
            </w:r>
          </w:p>
        </w:tc>
      </w:tr>
      <w:tr>
        <w:tc>
          <w:tcPr>
            <w:tcW w:type="dxa" w:w="1728"/>
          </w:tcPr>
          <w:p>
            <w:r>
              <w:t>ESW-6086</w:t>
            </w:r>
          </w:p>
        </w:tc>
        <w:tc>
          <w:tcPr>
            <w:tcW w:type="dxa" w:w="1728"/>
          </w:tcPr>
          <w:p>
            <w:r>
              <w:t>Charger Configuration Management Enhancements</w:t>
            </w:r>
          </w:p>
        </w:tc>
        <w:tc>
          <w:tcPr>
            <w:tcW w:type="dxa" w:w="1728"/>
          </w:tcPr>
          <w:p>
            <w:r>
              <w:t>Extend charger configuration capabilities for advanced settings, including breaker limits, firmware versions, and power configurations.</w:t>
            </w:r>
          </w:p>
        </w:tc>
        <w:tc>
          <w:tcPr>
            <w:tcW w:type="dxa" w:w="1728"/>
          </w:tcPr>
          <w:p>
            <w:r>
              <w:t>To Do</w:t>
            </w:r>
          </w:p>
        </w:tc>
        <w:tc>
          <w:tcPr>
            <w:tcW w:type="dxa" w:w="1728"/>
          </w:tcPr>
          <w:p>
            <w:r>
              <w:t>Unassigned</w:t>
            </w:r>
          </w:p>
        </w:tc>
      </w:tr>
      <w:tr>
        <w:tc>
          <w:tcPr>
            <w:tcW w:type="dxa" w:w="1728"/>
          </w:tcPr>
          <w:p>
            <w:r>
              <w:t>ESW-6083</w:t>
            </w:r>
          </w:p>
        </w:tc>
        <w:tc>
          <w:tcPr>
            <w:tcW w:type="dxa" w:w="1728"/>
          </w:tcPr>
          <w:p>
            <w:r>
              <w:t>Ability to Set Chargers to 'No Subscription'</w:t>
            </w:r>
          </w:p>
        </w:tc>
        <w:tc>
          <w:tcPr>
            <w:tcW w:type="dxa" w:w="1728"/>
          </w:tcPr>
          <w:p>
            <w:r>
              <w:t>Introduce a new charger status indicating inactive or unsubscribed state to support billing and operational isolation.</w:t>
            </w:r>
          </w:p>
        </w:tc>
        <w:tc>
          <w:tcPr>
            <w:tcW w:type="dxa" w:w="1728"/>
          </w:tcPr>
          <w:p>
            <w:r>
              <w:t>To Do</w:t>
            </w:r>
          </w:p>
        </w:tc>
        <w:tc>
          <w:tcPr>
            <w:tcW w:type="dxa" w:w="1728"/>
          </w:tcPr>
          <w:p>
            <w:r>
              <w:t>Unassigned</w:t>
            </w:r>
          </w:p>
        </w:tc>
      </w:tr>
      <w:tr>
        <w:tc>
          <w:tcPr>
            <w:tcW w:type="dxa" w:w="1728"/>
          </w:tcPr>
          <w:p>
            <w:r>
              <w:t>ESW-6070</w:t>
            </w:r>
          </w:p>
        </w:tc>
        <w:tc>
          <w:tcPr>
            <w:tcW w:type="dxa" w:w="1728"/>
          </w:tcPr>
          <w:p>
            <w:r>
              <w:t>Attach Reseller to Onboard Requests</w:t>
            </w:r>
          </w:p>
        </w:tc>
        <w:tc>
          <w:tcPr>
            <w:tcW w:type="dxa" w:w="1728"/>
          </w:tcPr>
          <w:p>
            <w:r>
              <w:t>Enable association of reseller accounts during charger onboarding to simplify partner-led deployments.</w:t>
            </w:r>
          </w:p>
        </w:tc>
        <w:tc>
          <w:tcPr>
            <w:tcW w:type="dxa" w:w="1728"/>
          </w:tcPr>
          <w:p>
            <w:r>
              <w:t>To Do</w:t>
            </w:r>
          </w:p>
        </w:tc>
        <w:tc>
          <w:tcPr>
            <w:tcW w:type="dxa" w:w="1728"/>
          </w:tcPr>
          <w:p>
            <w:r>
              <w:t>Padmaja Bodsakurthi</w:t>
            </w:r>
          </w:p>
        </w:tc>
      </w:tr>
      <w:tr>
        <w:tc>
          <w:tcPr>
            <w:tcW w:type="dxa" w:w="1728"/>
          </w:tcPr>
          <w:p>
            <w:r>
              <w:t>ESW-5730</w:t>
            </w:r>
          </w:p>
        </w:tc>
        <w:tc>
          <w:tcPr>
            <w:tcW w:type="dxa" w:w="1728"/>
          </w:tcPr>
          <w:p>
            <w:r>
              <w:t>Stop Anonymous Charge Sessions</w:t>
            </w:r>
          </w:p>
        </w:tc>
        <w:tc>
          <w:tcPr>
            <w:tcW w:type="dxa" w:w="1728"/>
          </w:tcPr>
          <w:p>
            <w:r>
              <w:t>Enforce authentication for all charge sessions to prevent untraceable usage.</w:t>
            </w:r>
          </w:p>
        </w:tc>
        <w:tc>
          <w:tcPr>
            <w:tcW w:type="dxa" w:w="1728"/>
          </w:tcPr>
          <w:p>
            <w:r>
              <w:t>On Hold</w:t>
            </w:r>
          </w:p>
        </w:tc>
        <w:tc>
          <w:tcPr>
            <w:tcW w:type="dxa" w:w="1728"/>
          </w:tcPr>
          <w:p>
            <w:r>
              <w:t>Srilakshmi Achanta</w:t>
            </w:r>
          </w:p>
        </w:tc>
      </w:tr>
    </w:tbl>
    <w:p/>
    <w:p>
      <w:pPr>
        <w:pStyle w:val="Heading3"/>
      </w:pPr>
      <w:r>
        <w:t>3.2 Automation &amp; Operational Flows</w:t>
      </w:r>
    </w:p>
    <w:tbl>
      <w:tblPr>
        <w:tblW w:type="auto" w:w="0"/>
        <w:tblLook w:firstColumn="1" w:firstRow="1" w:lastColumn="0" w:lastRow="0" w:noHBand="0" w:noVBand="1" w:val="04A0"/>
      </w:tblPr>
      <w:tblGrid>
        <w:gridCol w:w="1728"/>
        <w:gridCol w:w="1728"/>
        <w:gridCol w:w="1728"/>
        <w:gridCol w:w="1728"/>
        <w:gridCol w:w="1728"/>
      </w:tblGrid>
      <w:tr>
        <w:tc>
          <w:tcPr>
            <w:tcW w:type="dxa" w:w="1728"/>
          </w:tcPr>
          <w:p>
            <w:r>
              <w:t>Story ID</w:t>
            </w:r>
          </w:p>
        </w:tc>
        <w:tc>
          <w:tcPr>
            <w:tcW w:type="dxa" w:w="1728"/>
          </w:tcPr>
          <w:p>
            <w:r>
              <w:t>Title</w:t>
            </w:r>
          </w:p>
        </w:tc>
        <w:tc>
          <w:tcPr>
            <w:tcW w:type="dxa" w:w="1728"/>
          </w:tcPr>
          <w:p>
            <w:r>
              <w:t>Description</w:t>
            </w:r>
          </w:p>
        </w:tc>
        <w:tc>
          <w:tcPr>
            <w:tcW w:type="dxa" w:w="1728"/>
          </w:tcPr>
          <w:p>
            <w:r>
              <w:t>Status</w:t>
            </w:r>
          </w:p>
        </w:tc>
        <w:tc>
          <w:tcPr>
            <w:tcW w:type="dxa" w:w="1728"/>
          </w:tcPr>
          <w:p>
            <w:r>
              <w:t>Assignee</w:t>
            </w:r>
          </w:p>
        </w:tc>
      </w:tr>
      <w:tr>
        <w:tc>
          <w:tcPr>
            <w:tcW w:type="dxa" w:w="1728"/>
          </w:tcPr>
          <w:p>
            <w:r>
              <w:t>ESW-6077</w:t>
            </w:r>
          </w:p>
        </w:tc>
        <w:tc>
          <w:tcPr>
            <w:tcW w:type="dxa" w:w="1728"/>
          </w:tcPr>
          <w:p>
            <w:r>
              <w:t>OOS to Inservice Automation</w:t>
            </w:r>
          </w:p>
        </w:tc>
        <w:tc>
          <w:tcPr>
            <w:tcW w:type="dxa" w:w="1728"/>
          </w:tcPr>
          <w:p>
            <w:r>
              <w:t>Automate transition of chargers from 'Out of Service' to 'In Service' based on health metrics and uptime validations.</w:t>
            </w:r>
          </w:p>
        </w:tc>
        <w:tc>
          <w:tcPr>
            <w:tcW w:type="dxa" w:w="1728"/>
          </w:tcPr>
          <w:p>
            <w:r>
              <w:t>Dev In Progress</w:t>
            </w:r>
          </w:p>
        </w:tc>
        <w:tc>
          <w:tcPr>
            <w:tcW w:type="dxa" w:w="1728"/>
          </w:tcPr>
          <w:p>
            <w:r>
              <w:t>Srilakshmi Achanta</w:t>
            </w:r>
          </w:p>
        </w:tc>
      </w:tr>
      <w:tr>
        <w:tc>
          <w:tcPr>
            <w:tcW w:type="dxa" w:w="1728"/>
          </w:tcPr>
          <w:p>
            <w:r>
              <w:t>ESW-4893</w:t>
            </w:r>
          </w:p>
        </w:tc>
        <w:tc>
          <w:tcPr>
            <w:tcW w:type="dxa" w:w="1728"/>
          </w:tcPr>
          <w:p>
            <w:r>
              <w:t>SWARM Enhancements – ChargeSession Flow</w:t>
            </w:r>
          </w:p>
        </w:tc>
        <w:tc>
          <w:tcPr>
            <w:tcW w:type="dxa" w:w="1728"/>
          </w:tcPr>
          <w:p>
            <w:r>
              <w:t>Enhance charge session orchestration using SWARM logic for better event sequencing and telemetry reliability.</w:t>
            </w:r>
          </w:p>
        </w:tc>
        <w:tc>
          <w:tcPr>
            <w:tcW w:type="dxa" w:w="1728"/>
          </w:tcPr>
          <w:p>
            <w:r>
              <w:t>Dev In Progress</w:t>
            </w:r>
          </w:p>
        </w:tc>
        <w:tc>
          <w:tcPr>
            <w:tcW w:type="dxa" w:w="1728"/>
          </w:tcPr>
          <w:p>
            <w:r>
              <w:t>Gayatri Alluri</w:t>
            </w:r>
          </w:p>
        </w:tc>
      </w:tr>
      <w:tr>
        <w:tc>
          <w:tcPr>
            <w:tcW w:type="dxa" w:w="1728"/>
          </w:tcPr>
          <w:p>
            <w:r>
              <w:t>ESW-4687</w:t>
            </w:r>
          </w:p>
        </w:tc>
        <w:tc>
          <w:tcPr>
            <w:tcW w:type="dxa" w:w="1728"/>
          </w:tcPr>
          <w:p>
            <w:r>
              <w:t>ChargeSession Flow – Backend Code Refinement</w:t>
            </w:r>
          </w:p>
        </w:tc>
        <w:tc>
          <w:tcPr>
            <w:tcW w:type="dxa" w:w="1728"/>
          </w:tcPr>
          <w:p>
            <w:r>
              <w:t>Refactor backend components for session handling to improve scalability and maintainability.</w:t>
            </w:r>
          </w:p>
        </w:tc>
        <w:tc>
          <w:tcPr>
            <w:tcW w:type="dxa" w:w="1728"/>
          </w:tcPr>
          <w:p>
            <w:r>
              <w:t>Ready for QA Validation</w:t>
            </w:r>
          </w:p>
        </w:tc>
        <w:tc>
          <w:tcPr>
            <w:tcW w:type="dxa" w:w="1728"/>
          </w:tcPr>
          <w:p>
            <w:r>
              <w:t>Mahesh Dantham</w:t>
            </w:r>
          </w:p>
        </w:tc>
      </w:tr>
    </w:tbl>
    <w:p/>
    <w:p>
      <w:pPr>
        <w:pStyle w:val="Heading3"/>
      </w:pPr>
      <w:r>
        <w:t>3.3 Subscription and Fee Management</w:t>
      </w:r>
    </w:p>
    <w:tbl>
      <w:tblPr>
        <w:tblW w:type="auto" w:w="0"/>
        <w:tblLook w:firstColumn="1" w:firstRow="1" w:lastColumn="0" w:lastRow="0" w:noHBand="0" w:noVBand="1" w:val="04A0"/>
      </w:tblPr>
      <w:tblGrid>
        <w:gridCol w:w="1728"/>
        <w:gridCol w:w="1728"/>
        <w:gridCol w:w="1728"/>
        <w:gridCol w:w="1728"/>
        <w:gridCol w:w="1728"/>
      </w:tblGrid>
      <w:tr>
        <w:tc>
          <w:tcPr>
            <w:tcW w:type="dxa" w:w="1728"/>
          </w:tcPr>
          <w:p>
            <w:r>
              <w:t>Story ID</w:t>
            </w:r>
          </w:p>
        </w:tc>
        <w:tc>
          <w:tcPr>
            <w:tcW w:type="dxa" w:w="1728"/>
          </w:tcPr>
          <w:p>
            <w:r>
              <w:t>Title</w:t>
            </w:r>
          </w:p>
        </w:tc>
        <w:tc>
          <w:tcPr>
            <w:tcW w:type="dxa" w:w="1728"/>
          </w:tcPr>
          <w:p>
            <w:r>
              <w:t>Description</w:t>
            </w:r>
          </w:p>
        </w:tc>
        <w:tc>
          <w:tcPr>
            <w:tcW w:type="dxa" w:w="1728"/>
          </w:tcPr>
          <w:p>
            <w:r>
              <w:t>Status</w:t>
            </w:r>
          </w:p>
        </w:tc>
        <w:tc>
          <w:tcPr>
            <w:tcW w:type="dxa" w:w="1728"/>
          </w:tcPr>
          <w:p>
            <w:r>
              <w:t>Assignee</w:t>
            </w:r>
          </w:p>
        </w:tc>
      </w:tr>
      <w:tr>
        <w:tc>
          <w:tcPr>
            <w:tcW w:type="dxa" w:w="1728"/>
          </w:tcPr>
          <w:p>
            <w:r>
              <w:t>ESW-6080</w:t>
            </w:r>
          </w:p>
        </w:tc>
        <w:tc>
          <w:tcPr>
            <w:tcW w:type="dxa" w:w="1728"/>
          </w:tcPr>
          <w:p>
            <w:r>
              <w:t>Reseller Session Fee and Fee % Management</w:t>
            </w:r>
          </w:p>
        </w:tc>
        <w:tc>
          <w:tcPr>
            <w:tcW w:type="dxa" w:w="1728"/>
          </w:tcPr>
          <w:p>
            <w:r>
              <w:t>Introduce configurable fee management at reseller level – allowing both fixed session fees and percentage-based commissions.</w:t>
            </w:r>
          </w:p>
        </w:tc>
        <w:tc>
          <w:tcPr>
            <w:tcW w:type="dxa" w:w="1728"/>
          </w:tcPr>
          <w:p>
            <w:r>
              <w:t>To Do</w:t>
            </w:r>
          </w:p>
        </w:tc>
        <w:tc>
          <w:tcPr>
            <w:tcW w:type="dxa" w:w="1728"/>
          </w:tcPr>
          <w:p>
            <w:r>
              <w:t>Unassigned</w:t>
            </w:r>
          </w:p>
        </w:tc>
      </w:tr>
    </w:tbl>
    <w:p/>
    <w:p>
      <w:pPr>
        <w:pStyle w:val="Heading2"/>
      </w:pPr>
      <w:r>
        <w:t>4. Non-Functional Requirements</w:t>
      </w:r>
    </w:p>
    <w:p>
      <w:r>
        <w:t>• Scalability: All new dashboards and configuration services must support at least 10K concurrent chargers.</w:t>
      </w:r>
    </w:p>
    <w:p>
      <w:r>
        <w:t>• Security: Enforce RBAC for all configuration and fee management features.</w:t>
      </w:r>
    </w:p>
    <w:p>
      <w:r>
        <w:t>• Performance: Average dashboard load time &lt; 3 seconds for 90% of use cases.</w:t>
      </w:r>
    </w:p>
    <w:p>
      <w:r>
        <w:t>• Compliance: OCPI 2.2 and OCPP 2.0.1 alignment to ensure future interoperability.</w:t>
      </w:r>
    </w:p>
    <w:p>
      <w:r>
        <w:t>• Auditability: All status changes and session reconciliations should be audit-logged.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Lato" w:hAnsi="Lato" w:eastAsia="Lato"/>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