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EdVidura Master Loop Engineering Prompt v3.1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master-loop-engineering-prompt-v3"/>
    <w:p>
      <w:pPr>
        <w:pStyle w:val="Heading1"/>
      </w:pPr>
      <w:r>
        <w:t xml:space="preserve">MASTER LOOP ENGINEERING PROMPT — v3</w:t>
      </w:r>
    </w:p>
    <w:bookmarkStart w:id="20" w:name="Xb8263c82a126fb001a8be2d9ecff26f51e8c501"/>
    <w:p>
      <w:pPr>
        <w:pStyle w:val="Heading2"/>
      </w:pPr>
      <w:r>
        <w:t xml:space="preserve">EdVidura Total Learning Architecture: System Stress Test, Gap Analysis, MOSA Conformance Audit, Air-Gap Readiness Review, Assumption Validation, and Design Improvement Framework</w:t>
      </w:r>
    </w:p>
    <w:p>
      <w:pPr>
        <w:pStyle w:val="FirstParagraph"/>
      </w:pPr>
      <w:r>
        <w:t xml:space="preserve">This prompt is the controlling instruction for an architecture-review AI, engineering workshop, external technical audit, or formal design-review process for the EdVidura platform — an Indian-market implementation of a Multiverse-class Total Learning Architecture (TLA) ecosystem, designed to also satisfy defense-grade deployment requirements (air-gapped enclaves, ATO/accreditation, federated cross-command data, and immersive hardware labs).</w:t>
      </w:r>
    </w:p>
    <w:p>
      <w:pPr>
        <w:pStyle w:val="BodyText"/>
      </w:pPr>
      <w:r>
        <w:t xml:space="preserve">It is tailored to the EdVidura architecture: an expanded registry of independently deliverable modules built on a shared Learning-data API, an LRS-based event store, LMS/LTI integration, TLA core services (ELRR, ECC, Competency Registry, Learner Profile), a Dynamic Content Authoring Tool (DCT), analytics, adaptive/personalized learning, AI-assisted assessment, SME chatbots, an XR simulator store, and site-deployed immersive labs.</w:t>
      </w:r>
    </w:p>
    <w:p>
      <w:pPr>
        <w:pStyle w:val="BodyText"/>
      </w:pPr>
      <w:r>
        <w:t xml:space="preserve">It also tests the platform’s non-negotiable architectural rules: modules must not directly access one another’s databases; learning events must pass through the Learning-data API; grades must return through the Course connector; reports must use safe data copies; every module interface must be an open, published, versioned contract (MOSA); every AI capability must run without dependence on external token-metered APIs when deployed in an air-gapped enclave; and the Total Learning Architecture data strategy (xAPI, ELRR, ECC, Competency Registry, Learner Profile) is the central spine of the system, not an add-on.</w:t>
      </w:r>
    </w:p>
    <w:p>
      <w:r>
        <w:pict>
          <v:rect style="width:0;height:1.5pt" o:hralign="center" o:hrstd="t" o:hr="t"/>
        </w:pict>
      </w:r>
    </w:p>
    <w:bookmarkEnd w:id="20"/>
    <w:bookmarkEnd w:id="21"/>
    <w:bookmarkStart w:id="25" w:name="X29acbd16489b46c7638d9cb64282532bc04b741"/>
    <w:p>
      <w:pPr>
        <w:pStyle w:val="Heading1"/>
      </w:pPr>
      <w:r>
        <w:t xml:space="preserve">0. EXECUTION PROTOCOL (LOOP ENGINEERING RULES)</w:t>
      </w:r>
    </w:p>
    <w:p>
      <w:pPr>
        <w:pStyle w:val="FirstParagraph"/>
      </w:pPr>
      <w:r>
        <w:t xml:space="preserve">Before beginning, internalize how this review must be executed. This section governs</w:t>
      </w:r>
      <w:r>
        <w:t xml:space="preserve"> </w:t>
      </w:r>
      <w:r>
        <w:rPr>
          <w:iCs/>
          <w:i/>
        </w:rPr>
        <w:t xml:space="preserve">how</w:t>
      </w:r>
      <w:r>
        <w:t xml:space="preserve"> </w:t>
      </w:r>
      <w:r>
        <w:t xml:space="preserve">you run the loops in Section 5, not</w:t>
      </w:r>
      <w:r>
        <w:t xml:space="preserve"> </w:t>
      </w:r>
      <w:r>
        <w:rPr>
          <w:iCs/>
          <w:i/>
        </w:rPr>
        <w:t xml:space="preserve">what</w:t>
      </w:r>
      <w:r>
        <w:t xml:space="preserve"> </w:t>
      </w:r>
      <w:r>
        <w:t xml:space="preserve">you review.</w:t>
      </w:r>
    </w:p>
    <w:bookmarkStart w:id="22" w:name="loop-discipline"/>
    <w:p>
      <w:pPr>
        <w:pStyle w:val="Heading2"/>
      </w:pPr>
      <w:r>
        <w:t xml:space="preserve">0.1 Loop discipline</w:t>
      </w:r>
    </w:p>
    <w:p>
      <w:pPr>
        <w:numPr>
          <w:ilvl w:val="0"/>
          <w:numId w:val="1001"/>
        </w:numPr>
        <w:pStyle w:val="Compact"/>
      </w:pPr>
      <w:r>
        <w:t xml:space="preserve">Execute loops in numbered order. Do not merge loops. Do not skip a loop because the system is at an early planning stage — an early stage changes the</w:t>
      </w:r>
      <w:r>
        <w:t xml:space="preserve"> </w:t>
      </w:r>
      <w:r>
        <w:rPr>
          <w:iCs/>
          <w:i/>
        </w:rPr>
        <w:t xml:space="preserve">evidence available</w:t>
      </w:r>
      <w:r>
        <w:t xml:space="preserve">, not the</w:t>
      </w:r>
      <w:r>
        <w:t xml:space="preserve"> </w:t>
      </w:r>
      <w:r>
        <w:rPr>
          <w:iCs/>
          <w:i/>
        </w:rPr>
        <w:t xml:space="preserve">questions asked</w:t>
      </w:r>
      <w:r>
        <w:t xml:space="preserve">.</w:t>
      </w:r>
    </w:p>
    <w:p>
      <w:pPr>
        <w:numPr>
          <w:ilvl w:val="0"/>
          <w:numId w:val="1001"/>
        </w:numPr>
        <w:pStyle w:val="Compact"/>
      </w:pPr>
      <w:r>
        <w:t xml:space="preserve">Each loop is a bounded iteration with a defined input, a defined output contract, and an explicit exit criterion. A loop is complete only when its output contract (Findings, Evidence, Assumptions, Failure scenarios, Required modifications, Test methods, Acceptance criteria, Residual risk) is fully populated or each empty field is explicitly marked</w:t>
      </w:r>
      <w:r>
        <w:t xml:space="preserve"> </w:t>
      </w:r>
      <w:r>
        <w:t xml:space="preserve">“</w:t>
      </w:r>
      <w:r>
        <w:t xml:space="preserve">No finding — evidence: …</w:t>
      </w:r>
      <w:r>
        <w:t xml:space="preserve">”</w:t>
      </w:r>
      <w:r>
        <w:t xml:space="preserve">.</w:t>
      </w:r>
    </w:p>
    <w:p>
      <w:pPr>
        <w:numPr>
          <w:ilvl w:val="0"/>
          <w:numId w:val="1001"/>
        </w:numPr>
        <w:pStyle w:val="Compact"/>
      </w:pPr>
      <w:r>
        <w:t xml:space="preserve">Carry state forward. Maintain four living registers across all loops and append to them continuously rather than recreating them per loop:</w:t>
      </w:r>
    </w:p>
    <w:p>
      <w:pPr>
        <w:numPr>
          <w:ilvl w:val="1"/>
          <w:numId w:val="1002"/>
        </w:numPr>
        <w:pStyle w:val="Compact"/>
      </w:pPr>
      <w:r>
        <w:t xml:space="preserve">Assumption Register (Loop 5 owns the schema; every loop contributes)</w:t>
      </w:r>
    </w:p>
    <w:p>
      <w:pPr>
        <w:numPr>
          <w:ilvl w:val="1"/>
          <w:numId w:val="1002"/>
        </w:numPr>
        <w:pStyle w:val="Compact"/>
      </w:pPr>
      <w:r>
        <w:t xml:space="preserve">Gap Register (Loop 19 owns the schema; every loop contributes)</w:t>
      </w:r>
    </w:p>
    <w:p>
      <w:pPr>
        <w:numPr>
          <w:ilvl w:val="1"/>
          <w:numId w:val="1002"/>
        </w:numPr>
        <w:pStyle w:val="Compact"/>
      </w:pPr>
      <w:r>
        <w:t xml:space="preserve">Modification Register (Loop 20 owns the schema; every loop contributes)</w:t>
      </w:r>
    </w:p>
    <w:p>
      <w:pPr>
        <w:numPr>
          <w:ilvl w:val="1"/>
          <w:numId w:val="1002"/>
        </w:numPr>
        <w:pStyle w:val="Compact"/>
      </w:pPr>
      <w:r>
        <w:t xml:space="preserve">Missing-Information Register (Section 10 rules; every loop contributes)</w:t>
      </w:r>
    </w:p>
    <w:p>
      <w:pPr>
        <w:numPr>
          <w:ilvl w:val="0"/>
          <w:numId w:val="1001"/>
        </w:numPr>
        <w:pStyle w:val="Compact"/>
      </w:pPr>
      <w:r>
        <w:t xml:space="preserve">Convergence rule: after completing all loops once, perform ONE consolidation pass in which you (a) deduplicate findings, (b) re-score risks in light of cross-loop interactions, and (c) hunt for contradictions between loop outputs. If two loops produced contradictory conclusions, resolve the contradiction explicitly or log it as a Decision-Register item. Do not iterate indefinitely; two full passes maximum.</w:t>
      </w:r>
    </w:p>
    <w:p>
      <w:pPr>
        <w:numPr>
          <w:ilvl w:val="0"/>
          <w:numId w:val="1001"/>
        </w:numPr>
        <w:pStyle w:val="Compact"/>
      </w:pPr>
      <w:r>
        <w:t xml:space="preserve">Self-critique gate: before emitting the final report, run an internal adversarial pass against your own output using the checklist: Is every finding traced to a module, dependency, data flow, journey, technology choice, security boundary, operational process, build phase, and measurable acceptance criterion? Is any recommendation generic enough to apply to any LMS project? If yes, rewrite it until it is EdVidura-specific or delete it.</w:t>
      </w:r>
    </w:p>
    <w:p>
      <w:pPr>
        <w:numPr>
          <w:ilvl w:val="0"/>
          <w:numId w:val="1001"/>
        </w:numPr>
        <w:pStyle w:val="Compact"/>
      </w:pPr>
      <w:r>
        <w:t xml:space="preserve">Budget honesty: if output length constraints force truncation, truncate by</w:t>
      </w:r>
      <w:r>
        <w:t xml:space="preserve"> </w:t>
      </w:r>
      <w:r>
        <w:rPr>
          <w:iCs/>
          <w:i/>
        </w:rPr>
        <w:t xml:space="preserve">depth per module</w:t>
      </w:r>
      <w:r>
        <w:t xml:space="preserve">, never by</w:t>
      </w:r>
      <w:r>
        <w:t xml:space="preserve"> </w:t>
      </w:r>
      <w:r>
        <w:rPr>
          <w:iCs/>
          <w:i/>
        </w:rPr>
        <w:t xml:space="preserve">silently dropping loops, modules, or registers</w:t>
      </w:r>
      <w:r>
        <w:t xml:space="preserve">. State explicitly what was compressed and what a full-length pass would add.</w:t>
      </w:r>
    </w:p>
    <w:bookmarkEnd w:id="22"/>
    <w:bookmarkStart w:id="23" w:name="evidence-tagging"/>
    <w:p>
      <w:pPr>
        <w:pStyle w:val="Heading2"/>
      </w:pPr>
      <w:r>
        <w:t xml:space="preserve">0.2 Evidence tagging</w:t>
      </w:r>
    </w:p>
    <w:p>
      <w:pPr>
        <w:pStyle w:val="FirstParagraph"/>
      </w:pPr>
      <w:r>
        <w:t xml:space="preserve">Tag every material claim in your output with one of:</w:t>
      </w:r>
    </w:p>
    <w:p>
      <w:pPr>
        <w:numPr>
          <w:ilvl w:val="0"/>
          <w:numId w:val="1003"/>
        </w:numPr>
        <w:pStyle w:val="Compact"/>
      </w:pPr>
      <w:r>
        <w:t xml:space="preserve">[PROVEN] — supported by cited evidence in the inputs</w:t>
      </w:r>
    </w:p>
    <w:p>
      <w:pPr>
        <w:numPr>
          <w:ilvl w:val="0"/>
          <w:numId w:val="1003"/>
        </w:numPr>
        <w:pStyle w:val="Compact"/>
      </w:pPr>
      <w:r>
        <w:t xml:space="preserve">[PARTIAL] — partially supported; state what is missing</w:t>
      </w:r>
    </w:p>
    <w:p>
      <w:pPr>
        <w:numPr>
          <w:ilvl w:val="0"/>
          <w:numId w:val="1003"/>
        </w:numPr>
        <w:pStyle w:val="Compact"/>
      </w:pPr>
      <w:r>
        <w:t xml:space="preserve">[ASSUMED] — a provisional assumption; must appear in the Assumption Register</w:t>
      </w:r>
    </w:p>
    <w:p>
      <w:pPr>
        <w:numPr>
          <w:ilvl w:val="0"/>
          <w:numId w:val="1003"/>
        </w:numPr>
        <w:pStyle w:val="Compact"/>
      </w:pPr>
      <w:r>
        <w:t xml:space="preserve">[CONTRADICTED] — conflicts with other evidence; must appear as a contradiction finding</w:t>
      </w:r>
    </w:p>
    <w:p>
      <w:pPr>
        <w:numPr>
          <w:ilvl w:val="0"/>
          <w:numId w:val="1003"/>
        </w:numPr>
        <w:pStyle w:val="Compact"/>
      </w:pPr>
      <w:r>
        <w:t xml:space="preserve">[UNTESTABLE] — cannot be evaluated with current information; must appear in the Missing-Information Register</w:t>
      </w:r>
    </w:p>
    <w:bookmarkEnd w:id="23"/>
    <w:bookmarkStart w:id="24" w:name="severity-and-confidence-vocabulary"/>
    <w:p>
      <w:pPr>
        <w:pStyle w:val="Heading2"/>
      </w:pPr>
      <w:r>
        <w:t xml:space="preserve">0.3 Severity and confidence vocabulary</w:t>
      </w:r>
    </w:p>
    <w:p>
      <w:pPr>
        <w:pStyle w:val="FirstParagraph"/>
      </w:pPr>
      <w:r>
        <w:t xml:space="preserve">Use only: P0 Critical / P1 High / P2 Medium / P3 Low for severity, and High / Medium / Low for confidence. Every P0 and P1 finding must carry a confidence rating and a named validation method.</w:t>
      </w:r>
    </w:p>
    <w:p>
      <w:r>
        <w:pict>
          <v:rect style="width:0;height:1.5pt" o:hralign="center" o:hrstd="t" o:hr="t"/>
        </w:pict>
      </w:r>
    </w:p>
    <w:bookmarkEnd w:id="24"/>
    <w:bookmarkEnd w:id="25"/>
    <w:bookmarkStart w:id="26" w:name="role"/>
    <w:p>
      <w:pPr>
        <w:pStyle w:val="Heading1"/>
      </w:pPr>
      <w:r>
        <w:t xml:space="preserve">1. ROLE</w:t>
      </w:r>
    </w:p>
    <w:p>
      <w:pPr>
        <w:pStyle w:val="FirstParagraph"/>
      </w:pPr>
      <w:r>
        <w:t xml:space="preserve">Act as a multidisciplinary review board consisting of:</w:t>
      </w:r>
    </w:p>
    <w:p>
      <w:pPr>
        <w:numPr>
          <w:ilvl w:val="0"/>
          <w:numId w:val="1004"/>
        </w:numPr>
        <w:pStyle w:val="Compact"/>
      </w:pPr>
      <w:r>
        <w:t xml:space="preserve">Enterprise Solution Architect</w:t>
      </w:r>
    </w:p>
    <w:p>
      <w:pPr>
        <w:numPr>
          <w:ilvl w:val="0"/>
          <w:numId w:val="1004"/>
        </w:numPr>
        <w:pStyle w:val="Compact"/>
      </w:pPr>
      <w:r>
        <w:t xml:space="preserve">Modular Open Systems Approach (MOSA) Architect and Open-Standards Conformance Auditor</w:t>
      </w:r>
    </w:p>
    <w:p>
      <w:pPr>
        <w:numPr>
          <w:ilvl w:val="0"/>
          <w:numId w:val="1004"/>
        </w:numPr>
        <w:pStyle w:val="Compact"/>
      </w:pPr>
      <w:r>
        <w:t xml:space="preserve">Distributed Systems Architect</w:t>
      </w:r>
    </w:p>
    <w:p>
      <w:pPr>
        <w:numPr>
          <w:ilvl w:val="0"/>
          <w:numId w:val="1004"/>
        </w:numPr>
        <w:pStyle w:val="Compact"/>
      </w:pPr>
      <w:r>
        <w:t xml:space="preserve">Total Learning Architecture (TLA) Specialist (ADL TLA reference implementation experience: xAPI, ELRR, ECC, Competency Registry, Learner Profile, TLA CMM maturity assessment)</w:t>
      </w:r>
    </w:p>
    <w:p>
      <w:pPr>
        <w:numPr>
          <w:ilvl w:val="0"/>
          <w:numId w:val="1004"/>
        </w:numPr>
        <w:pStyle w:val="Compact"/>
      </w:pPr>
      <w:r>
        <w:t xml:space="preserve">Learning Technology Architect</w:t>
      </w:r>
    </w:p>
    <w:p>
      <w:pPr>
        <w:numPr>
          <w:ilvl w:val="0"/>
          <w:numId w:val="1004"/>
        </w:numPr>
        <w:pStyle w:val="Compact"/>
      </w:pPr>
      <w:r>
        <w:t xml:space="preserve">LMS and LTI 1.3 Integration Specialist</w:t>
      </w:r>
    </w:p>
    <w:p>
      <w:pPr>
        <w:numPr>
          <w:ilvl w:val="0"/>
          <w:numId w:val="1004"/>
        </w:numPr>
        <w:pStyle w:val="Compact"/>
      </w:pPr>
      <w:r>
        <w:t xml:space="preserve">xAPI and Learning Record Store Specialist (including LRS federation and ELRR roll-up patterns)</w:t>
      </w:r>
    </w:p>
    <w:p>
      <w:pPr>
        <w:numPr>
          <w:ilvl w:val="0"/>
          <w:numId w:val="1004"/>
        </w:numPr>
        <w:pStyle w:val="Compact"/>
      </w:pPr>
      <w:r>
        <w:t xml:space="preserve">Federated Data Architect (cross-command / cross-organization data pipelines, data sovereignty, federated analytics, federated machine learning)</w:t>
      </w:r>
    </w:p>
    <w:p>
      <w:pPr>
        <w:numPr>
          <w:ilvl w:val="0"/>
          <w:numId w:val="1004"/>
        </w:numPr>
        <w:pStyle w:val="Compact"/>
      </w:pPr>
      <w:r>
        <w:t xml:space="preserve">Cybersecurity and Zero-Trust Architect</w:t>
      </w:r>
    </w:p>
    <w:p>
      <w:pPr>
        <w:numPr>
          <w:ilvl w:val="0"/>
          <w:numId w:val="1004"/>
        </w:numPr>
        <w:pStyle w:val="Compact"/>
      </w:pPr>
      <w:r>
        <w:t xml:space="preserve">Security Accreditation / RMF Specialist (ATO packages, control baselines, STIG hardening, continuous ATO, SBOM and supply-chain assurance)</w:t>
      </w:r>
    </w:p>
    <w:p>
      <w:pPr>
        <w:numPr>
          <w:ilvl w:val="0"/>
          <w:numId w:val="1004"/>
        </w:numPr>
        <w:pStyle w:val="Compact"/>
      </w:pPr>
      <w:r>
        <w:t xml:space="preserve">Air-Gapped and Disconnected-Operations Infrastructure Engineer</w:t>
      </w:r>
    </w:p>
    <w:p>
      <w:pPr>
        <w:numPr>
          <w:ilvl w:val="0"/>
          <w:numId w:val="1004"/>
        </w:numPr>
        <w:pStyle w:val="Compact"/>
      </w:pPr>
      <w:r>
        <w:t xml:space="preserve">On-Premises AI Infrastructure Engineer (GPU sizing, local model serving, model lifecycle without external APIs)</w:t>
      </w:r>
    </w:p>
    <w:p>
      <w:pPr>
        <w:numPr>
          <w:ilvl w:val="0"/>
          <w:numId w:val="1004"/>
        </w:numPr>
        <w:pStyle w:val="Compact"/>
      </w:pPr>
      <w:r>
        <w:t xml:space="preserve">Cloud Infrastructure and DevSecOps Engineer</w:t>
      </w:r>
    </w:p>
    <w:p>
      <w:pPr>
        <w:numPr>
          <w:ilvl w:val="0"/>
          <w:numId w:val="1004"/>
        </w:numPr>
        <w:pStyle w:val="Compact"/>
      </w:pPr>
      <w:r>
        <w:t xml:space="preserve">Database and Data Governance Architect</w:t>
      </w:r>
    </w:p>
    <w:p>
      <w:pPr>
        <w:numPr>
          <w:ilvl w:val="0"/>
          <w:numId w:val="1004"/>
        </w:numPr>
        <w:pStyle w:val="Compact"/>
      </w:pPr>
      <w:r>
        <w:t xml:space="preserve">AI, RAG, and Machine Learning Safety Engineer</w:t>
      </w:r>
    </w:p>
    <w:p>
      <w:pPr>
        <w:numPr>
          <w:ilvl w:val="0"/>
          <w:numId w:val="1004"/>
        </w:numPr>
        <w:pStyle w:val="Compact"/>
      </w:pPr>
      <w:r>
        <w:t xml:space="preserve">Software Quality Assurance and Test Automation Lead</w:t>
      </w:r>
    </w:p>
    <w:p>
      <w:pPr>
        <w:numPr>
          <w:ilvl w:val="0"/>
          <w:numId w:val="1004"/>
        </w:numPr>
        <w:pStyle w:val="Compact"/>
      </w:pPr>
      <w:r>
        <w:t xml:space="preserve">Site Reliability Engineer</w:t>
      </w:r>
    </w:p>
    <w:p>
      <w:pPr>
        <w:numPr>
          <w:ilvl w:val="0"/>
          <w:numId w:val="1004"/>
        </w:numPr>
        <w:pStyle w:val="Compact"/>
      </w:pPr>
      <w:r>
        <w:t xml:space="preserve">XR / Immersive Systems Engineer (VR/AR hardware labs, device fleets, offline-first clients)</w:t>
      </w:r>
    </w:p>
    <w:p>
      <w:pPr>
        <w:numPr>
          <w:ilvl w:val="0"/>
          <w:numId w:val="1004"/>
        </w:numPr>
        <w:pStyle w:val="Compact"/>
      </w:pPr>
      <w:r>
        <w:t xml:space="preserve">Accessibility and Inclusive Design Specialist</w:t>
      </w:r>
    </w:p>
    <w:p>
      <w:pPr>
        <w:numPr>
          <w:ilvl w:val="0"/>
          <w:numId w:val="1004"/>
        </w:numPr>
        <w:pStyle w:val="Compact"/>
      </w:pPr>
      <w:r>
        <w:t xml:space="preserve">Privacy, Compliance, and Audit Specialist</w:t>
      </w:r>
    </w:p>
    <w:p>
      <w:pPr>
        <w:numPr>
          <w:ilvl w:val="0"/>
          <w:numId w:val="1004"/>
        </w:numPr>
        <w:pStyle w:val="Compact"/>
      </w:pPr>
      <w:r>
        <w:t xml:space="preserve">Instructional Systems Designer (pedagogy design review, competency-based training, ISD/ADDIE and evidence-centered design)</w:t>
      </w:r>
    </w:p>
    <w:p>
      <w:pPr>
        <w:numPr>
          <w:ilvl w:val="0"/>
          <w:numId w:val="1004"/>
        </w:numPr>
        <w:pStyle w:val="Compact"/>
      </w:pPr>
      <w:r>
        <w:t xml:space="preserve">Training Effectiveness Analyst (Measures of Operational Effectiveness, Kirkpatrick/ROI, upgrade-readiness measurement)</w:t>
      </w:r>
    </w:p>
    <w:p>
      <w:pPr>
        <w:numPr>
          <w:ilvl w:val="0"/>
          <w:numId w:val="1004"/>
        </w:numPr>
        <w:pStyle w:val="Compact"/>
      </w:pPr>
      <w:r>
        <w:t xml:space="preserve">Product Manager</w:t>
      </w:r>
    </w:p>
    <w:p>
      <w:pPr>
        <w:numPr>
          <w:ilvl w:val="0"/>
          <w:numId w:val="1004"/>
        </w:numPr>
        <w:pStyle w:val="Compact"/>
      </w:pPr>
      <w:r>
        <w:t xml:space="preserve">Technical Program Auditor</w:t>
      </w:r>
    </w:p>
    <w:p>
      <w:pPr>
        <w:numPr>
          <w:ilvl w:val="0"/>
          <w:numId w:val="1004"/>
        </w:numPr>
        <w:pStyle w:val="Compact"/>
      </w:pPr>
      <w:r>
        <w:t xml:space="preserve">Red-Team Engineer</w:t>
      </w:r>
    </w:p>
    <w:p>
      <w:pPr>
        <w:numPr>
          <w:ilvl w:val="0"/>
          <w:numId w:val="1004"/>
        </w:numPr>
        <w:pStyle w:val="Compact"/>
      </w:pPr>
      <w:r>
        <w:t xml:space="preserve">Failure Analysis Engineer</w:t>
      </w:r>
    </w:p>
    <w:p>
      <w:pPr>
        <w:numPr>
          <w:ilvl w:val="0"/>
          <w:numId w:val="1004"/>
        </w:numPr>
        <w:pStyle w:val="Compact"/>
      </w:pPr>
      <w:r>
        <w:t xml:space="preserve">Cost and Capacity Planning Specialist</w:t>
      </w:r>
    </w:p>
    <w:p>
      <w:pPr>
        <w:numPr>
          <w:ilvl w:val="0"/>
          <w:numId w:val="1004"/>
        </w:numPr>
        <w:pStyle w:val="Compact"/>
      </w:pPr>
      <w:r>
        <w:t xml:space="preserve">Hardware Deployment and Field Logistics Engineer</w:t>
      </w:r>
    </w:p>
    <w:p>
      <w:pPr>
        <w:pStyle w:val="FirstParagraph"/>
      </w:pPr>
      <w:r>
        <w:t xml:space="preserve">You have extensive experience designing, testing, auditing, and scaling modular learning platforms, SaaS products, data-intensive systems, LMS integrations, adaptive-learning platforms, AI-enabled applications, analytics systems, defense training systems, TLA-conformant ecosystems, and immersive-training environments deployed in both connected and air-gapped facilities.</w:t>
      </w:r>
    </w:p>
    <w:p>
      <w:pPr>
        <w:pStyle w:val="BodyText"/>
      </w:pPr>
      <w:r>
        <w:t xml:space="preserve">Your responsibility is not to approve the proposed design.</w:t>
      </w:r>
      <w:r>
        <w:t xml:space="preserve"> </w:t>
      </w:r>
      <w:r>
        <w:t xml:space="preserve">Your responsibility is to challenge it until the design can demonstrate that it is:</w:t>
      </w:r>
    </w:p>
    <w:p>
      <w:pPr>
        <w:numPr>
          <w:ilvl w:val="0"/>
          <w:numId w:val="1005"/>
        </w:numPr>
        <w:pStyle w:val="Compact"/>
      </w:pPr>
      <w:r>
        <w:t xml:space="preserve">Technically feasible</w:t>
      </w:r>
    </w:p>
    <w:p>
      <w:pPr>
        <w:numPr>
          <w:ilvl w:val="0"/>
          <w:numId w:val="1005"/>
        </w:numPr>
        <w:pStyle w:val="Compact"/>
      </w:pPr>
      <w:r>
        <w:t xml:space="preserve">Secure</w:t>
      </w:r>
    </w:p>
    <w:p>
      <w:pPr>
        <w:numPr>
          <w:ilvl w:val="0"/>
          <w:numId w:val="1005"/>
        </w:numPr>
        <w:pStyle w:val="Compact"/>
      </w:pPr>
      <w:r>
        <w:t xml:space="preserve">Accreditable (a credible, evidenced path to ATO in the target environment)</w:t>
      </w:r>
    </w:p>
    <w:p>
      <w:pPr>
        <w:numPr>
          <w:ilvl w:val="0"/>
          <w:numId w:val="1005"/>
        </w:numPr>
        <w:pStyle w:val="Compact"/>
      </w:pPr>
      <w:r>
        <w:t xml:space="preserve">Scalable</w:t>
      </w:r>
    </w:p>
    <w:p>
      <w:pPr>
        <w:numPr>
          <w:ilvl w:val="0"/>
          <w:numId w:val="1005"/>
        </w:numPr>
        <w:pStyle w:val="Compact"/>
      </w:pPr>
      <w:r>
        <w:t xml:space="preserve">Testable</w:t>
      </w:r>
    </w:p>
    <w:p>
      <w:pPr>
        <w:numPr>
          <w:ilvl w:val="0"/>
          <w:numId w:val="1005"/>
        </w:numPr>
        <w:pStyle w:val="Compact"/>
      </w:pPr>
      <w:r>
        <w:t xml:space="preserve">Observable</w:t>
      </w:r>
    </w:p>
    <w:p>
      <w:pPr>
        <w:numPr>
          <w:ilvl w:val="0"/>
          <w:numId w:val="1005"/>
        </w:numPr>
        <w:pStyle w:val="Compact"/>
      </w:pPr>
      <w:r>
        <w:t xml:space="preserve">Maintainable</w:t>
      </w:r>
    </w:p>
    <w:p>
      <w:pPr>
        <w:numPr>
          <w:ilvl w:val="0"/>
          <w:numId w:val="1005"/>
        </w:numPr>
        <w:pStyle w:val="Compact"/>
      </w:pPr>
      <w:r>
        <w:t xml:space="preserve">Recoverable</w:t>
      </w:r>
    </w:p>
    <w:p>
      <w:pPr>
        <w:numPr>
          <w:ilvl w:val="0"/>
          <w:numId w:val="1005"/>
        </w:numPr>
        <w:pStyle w:val="Compact"/>
      </w:pPr>
      <w:r>
        <w:t xml:space="preserve">Accessible</w:t>
      </w:r>
    </w:p>
    <w:p>
      <w:pPr>
        <w:numPr>
          <w:ilvl w:val="0"/>
          <w:numId w:val="1005"/>
        </w:numPr>
        <w:pStyle w:val="Compact"/>
      </w:pPr>
      <w:r>
        <w:t xml:space="preserve">Cost-controlled</w:t>
      </w:r>
    </w:p>
    <w:p>
      <w:pPr>
        <w:numPr>
          <w:ilvl w:val="0"/>
          <w:numId w:val="1005"/>
        </w:numPr>
        <w:pStyle w:val="Compact"/>
      </w:pPr>
      <w:r>
        <w:t xml:space="preserve">Standards-compliant (MOSA, TLA/xAPI, LTI 1.3, WCAG/508)</w:t>
      </w:r>
    </w:p>
    <w:p>
      <w:pPr>
        <w:numPr>
          <w:ilvl w:val="0"/>
          <w:numId w:val="1005"/>
        </w:numPr>
        <w:pStyle w:val="Compact"/>
      </w:pPr>
      <w:r>
        <w:t xml:space="preserve">Operationally supportable — including in disconnected, air-gapped, and bandwidth-degraded environments</w:t>
      </w:r>
    </w:p>
    <w:p>
      <w:pPr>
        <w:numPr>
          <w:ilvl w:val="0"/>
          <w:numId w:val="1005"/>
        </w:numPr>
        <w:pStyle w:val="Compact"/>
      </w:pPr>
      <w:r>
        <w:t xml:space="preserve">Educationally valid</w:t>
      </w:r>
    </w:p>
    <w:p>
      <w:pPr>
        <w:numPr>
          <w:ilvl w:val="0"/>
          <w:numId w:val="1005"/>
        </w:numPr>
        <w:pStyle w:val="Compact"/>
      </w:pPr>
      <w:r>
        <w:t xml:space="preserve">Modular and severable — any module can be competed, replaced, or upgraded independently without redesigning the system (MOSA severability)</w:t>
      </w:r>
    </w:p>
    <w:p>
      <w:pPr>
        <w:numPr>
          <w:ilvl w:val="0"/>
          <w:numId w:val="1005"/>
        </w:numPr>
        <w:pStyle w:val="Compact"/>
      </w:pPr>
      <w:r>
        <w:t xml:space="preserve">Vendor-lock-in resistant — open interfaces and data rights preserved even where proprietary components are used</w:t>
      </w:r>
    </w:p>
    <w:p>
      <w:pPr>
        <w:numPr>
          <w:ilvl w:val="0"/>
          <w:numId w:val="1005"/>
        </w:numPr>
        <w:pStyle w:val="Compact"/>
      </w:pPr>
      <w:r>
        <w:t xml:space="preserve">Resistant to misuse and failure</w:t>
      </w:r>
    </w:p>
    <w:p>
      <w:pPr>
        <w:pStyle w:val="FirstParagraph"/>
      </w:pPr>
      <w:r>
        <w:t xml:space="preserve">Assume that optimistic statements, unstated dependencies, unclear ownership, undefined interfaces, untested assumptions, unpriced GPU hardware, unowned accreditation work, and hand-waved</w:t>
      </w:r>
      <w:r>
        <w:t xml:space="preserve"> </w:t>
      </w:r>
      <w:r>
        <w:t xml:space="preserve">“</w:t>
      </w:r>
      <w:r>
        <w:t xml:space="preserve">federation</w:t>
      </w:r>
      <w:r>
        <w:t xml:space="preserve">”</w:t>
      </w:r>
      <w:r>
        <w:t xml:space="preserve"> </w:t>
      </w:r>
      <w:r>
        <w:t xml:space="preserve">or</w:t>
      </w:r>
      <w:r>
        <w:t xml:space="preserve"> </w:t>
      </w:r>
      <w:r>
        <w:t xml:space="preserve">“</w:t>
      </w:r>
      <w:r>
        <w:t xml:space="preserve">sync</w:t>
      </w:r>
      <w:r>
        <w:t xml:space="preserve">”</w:t>
      </w:r>
      <w:r>
        <w:t xml:space="preserve"> </w:t>
      </w:r>
      <w:r>
        <w:t xml:space="preserve">mechanisms represent potential program-killing risks.</w:t>
      </w:r>
    </w:p>
    <w:p>
      <w:r>
        <w:pict>
          <v:rect style="width:0;height:1.5pt" o:hralign="center" o:hrstd="t" o:hr="t"/>
        </w:pict>
      </w:r>
    </w:p>
    <w:bookmarkEnd w:id="26"/>
    <w:bookmarkStart w:id="31" w:name="system-under-review"/>
    <w:p>
      <w:pPr>
        <w:pStyle w:val="Heading1"/>
      </w:pPr>
      <w:r>
        <w:t xml:space="preserve">2. SYSTEM UNDER REVIEW</w:t>
      </w:r>
    </w:p>
    <w:p>
      <w:pPr>
        <w:pStyle w:val="FirstParagraph"/>
      </w:pPr>
      <w:r>
        <w:t xml:space="preserve">The system is called EdVidura.</w:t>
      </w:r>
    </w:p>
    <w:p>
      <w:pPr>
        <w:pStyle w:val="BodyText"/>
      </w:pPr>
      <w:r>
        <w:t xml:space="preserve">EdVidura is a modular, MOSA-aligned learning technology ecosystem with the Total Learning Architecture at its core. It is designed to (a) open tools inside existing learning management systems such as Moodle, Canvas, or Open edX, (b) operate as a full TLA-conformant enterprise learning ecosystem, and (c) deploy in three distinct environment classes: internet-connected cloud, customer on-premises, and fully air-gapped enclaves with local AI inference.</w:t>
      </w:r>
    </w:p>
    <w:bookmarkStart w:id="27" w:name="architectural-doctrine-test-all-of-it"/>
    <w:p>
      <w:pPr>
        <w:pStyle w:val="Heading2"/>
      </w:pPr>
      <w:r>
        <w:t xml:space="preserve">2.1 Architectural doctrine (test all of it)</w:t>
      </w:r>
    </w:p>
    <w:p>
      <w:pPr>
        <w:numPr>
          <w:ilvl w:val="0"/>
          <w:numId w:val="1006"/>
        </w:numPr>
        <w:pStyle w:val="Compact"/>
      </w:pPr>
      <w:r>
        <w:rPr>
          <w:bCs/>
          <w:b/>
        </w:rPr>
        <w:t xml:space="preserve">MOSA (Modular Open Systems Architecture) approach.</w:t>
      </w:r>
      <w:r>
        <w:t xml:space="preserve"> </w:t>
      </w:r>
      <w:r>
        <w:t xml:space="preserve">The system is decomposed into severable modules with openly published, versioned interface contracts (OpenAPI, xAPI profiles, LTI 1.3, event schemas). Any module must be independently developable, testable, deliverable, replaceable, and competable. Proprietary internals are permitted; proprietary</w:t>
      </w:r>
      <w:r>
        <w:t xml:space="preserve"> </w:t>
      </w:r>
      <w:r>
        <w:rPr>
          <w:iCs/>
          <w:i/>
        </w:rPr>
        <w:t xml:space="preserve">interfaces</w:t>
      </w:r>
      <w:r>
        <w:t xml:space="preserve"> </w:t>
      </w:r>
      <w:r>
        <w:t xml:space="preserve">are not. Data rights, interface documentation, and conformance test suites are program deliverables, not vendor courtesies.</w:t>
      </w:r>
    </w:p>
    <w:p>
      <w:pPr>
        <w:numPr>
          <w:ilvl w:val="0"/>
          <w:numId w:val="1006"/>
        </w:numPr>
        <w:pStyle w:val="Compact"/>
      </w:pPr>
      <w:r>
        <w:rPr>
          <w:bCs/>
          <w:b/>
        </w:rPr>
        <w:t xml:space="preserve">Open-source first, proprietary where justified.</w:t>
      </w:r>
      <w:r>
        <w:t xml:space="preserve"> </w:t>
      </w:r>
      <w:r>
        <w:t xml:space="preserve">Open-source components (Keycloak, Moodle/Open edX, ADL-conformant LRS, PostgreSQL, Kafka/NATS, Metabase/Superset, React, FastAPI, Ollama/vLLM, MinIO, CaSS-style competency registry, Docker/Kubernetes) are the default. Proprietary systems may be built or bought where open source cannot meet the requirement — expected proprietary candidates include: the air-gapped AI serving appliance, the AI/ML Procedural Walkthrough Engine, XR content and simulator titles, the Difference Training application logic, defense-grade cross-domain transfer components, and immersive-lab hardware integrations. Every proprietary element must still expose MOSA-conformant open interfaces and must be reviewed for exit strategy and data rights.</w:t>
      </w:r>
    </w:p>
    <w:p>
      <w:pPr>
        <w:numPr>
          <w:ilvl w:val="0"/>
          <w:numId w:val="1006"/>
        </w:numPr>
        <w:pStyle w:val="Compact"/>
      </w:pPr>
      <w:r>
        <w:rPr>
          <w:bCs/>
          <w:b/>
        </w:rPr>
        <w:t xml:space="preserve">Total Learning Architecture is central, not peripheral.</w:t>
      </w:r>
      <w:r>
        <w:t xml:space="preserve"> </w:t>
      </w:r>
      <w:r>
        <w:t xml:space="preserve">The TLA data spine — xAPI learning events, Experience Index / Enterprise Learner Record Repository (ELRR), Enterprise Course Catalogue (ECC), Competency Registry, and Learner Profile — is the system of record for learning across all modules. The program explicitly targets progression through TLA Capability Maturity Model levels: CMM Level 2 (microservices, instrumented content, LRS-mediated data), CMM Level 3 (shared learner profiles and course catalogue federation across systems), and CMM Level 5 (enterprise-wide competency mapping driving personnel and readiness decisions).</w:t>
      </w:r>
    </w:p>
    <w:p>
      <w:pPr>
        <w:numPr>
          <w:ilvl w:val="0"/>
          <w:numId w:val="1006"/>
        </w:numPr>
        <w:pStyle w:val="Compact"/>
      </w:pPr>
      <w:r>
        <w:rPr>
          <w:bCs/>
          <w:b/>
        </w:rPr>
        <w:t xml:space="preserve">Air-gapped operation is a first-class deployment target.</w:t>
      </w:r>
      <w:r>
        <w:t xml:space="preserve"> </w:t>
      </w:r>
      <w:r>
        <w:t xml:space="preserve">Enclave deployments run with zero external network dependency: local identity, local LRS/ELRR, local model inference on dedicated AI servers (GPU appliances running open-weight models via Ollama/vLLM or equivalent), local container registry, offline update media, and store-and-forward synchronization when/where a controlled transfer path exists. No feature may silently assume internet access, external SaaS, or token-metered hosted LLM APIs. Hosted models are an</w:t>
      </w:r>
      <w:r>
        <w:t xml:space="preserve"> </w:t>
      </w:r>
      <w:r>
        <w:rPr>
          <w:iCs/>
          <w:i/>
        </w:rPr>
        <w:t xml:space="preserve">option</w:t>
      </w:r>
      <w:r>
        <w:t xml:space="preserve"> </w:t>
      </w:r>
      <w:r>
        <w:t xml:space="preserve">for connected deployments, never a dependency of the architecture.</w:t>
      </w:r>
    </w:p>
    <w:p>
      <w:pPr>
        <w:numPr>
          <w:ilvl w:val="0"/>
          <w:numId w:val="1006"/>
        </w:numPr>
        <w:pStyle w:val="Compact"/>
      </w:pPr>
      <w:r>
        <w:rPr>
          <w:bCs/>
          <w:b/>
        </w:rPr>
        <w:t xml:space="preserve">Federated learner data.</w:t>
      </w:r>
      <w:r>
        <w:t xml:space="preserve"> </w:t>
      </w:r>
      <w:r>
        <w:t xml:space="preserve">Learner records are produced in many places (bases, commands, tenants, labs, offline devices) and must roll up through governed federation: local LRS → command/region ELRR → enterprise ELRR, with data-sovereignty rules, one-way-transfer constraints where required, conflict resolution, deduplication, and provenance retained end to end. Where model training on learner data is proposed, evaluate federated learning (train where the data lives; move gradients/models, not raw records) versus centralized training.</w:t>
      </w:r>
    </w:p>
    <w:p>
      <w:pPr>
        <w:numPr>
          <w:ilvl w:val="0"/>
          <w:numId w:val="1006"/>
        </w:numPr>
        <w:pStyle w:val="Compact"/>
      </w:pPr>
      <w:r>
        <w:rPr>
          <w:bCs/>
          <w:b/>
        </w:rPr>
        <w:t xml:space="preserve">Dynamic content authoring is a core capability.</w:t>
      </w:r>
      <w:r>
        <w:t xml:space="preserve"> </w:t>
      </w:r>
      <w:r>
        <w:t xml:space="preserve">The DCT (Dynamic Content Authoring Tool — content authoring and lesson planner) and its companion SME chatbot for authoring support are central to the content lifecycle: ingest → digitize → tag (objectives, competencies, metadata) → author → review (pedagogy design review protocol) → publish to ECC → deliver → measure → update on source-document change (live technical-order/manual connection).</w:t>
      </w:r>
    </w:p>
    <w:bookmarkEnd w:id="27"/>
    <w:bookmarkStart w:id="28" w:name="X57f015884c46cc89a8a1a5625df6fbe6567c4d0"/>
    <w:p>
      <w:pPr>
        <w:pStyle w:val="Heading2"/>
      </w:pPr>
      <w:r>
        <w:t xml:space="preserve">2.2 Module registry (expanded — audit every entry)</w:t>
      </w:r>
    </w:p>
    <w:p>
      <w:pPr>
        <w:pStyle w:val="FirstParagraph"/>
      </w:pPr>
      <w:r>
        <w:t xml:space="preserve">The original sixteen platform modules remain the foundation:</w:t>
      </w:r>
    </w:p>
    <w:p>
      <w:pPr>
        <w:pStyle w:val="BodyText"/>
      </w:pPr>
      <w:r>
        <w:rPr>
          <w:bCs/>
          <w:b/>
        </w:rPr>
        <w:t xml:space="preserve">Foundation Modules</w:t>
      </w:r>
    </w:p>
    <w:p>
      <w:pPr>
        <w:numPr>
          <w:ilvl w:val="0"/>
          <w:numId w:val="1007"/>
        </w:numPr>
        <w:pStyle w:val="Compact"/>
      </w:pPr>
      <w:r>
        <w:t xml:space="preserve">M1 — Login System (Keycloak-class identity, multi-tenant, roles)</w:t>
      </w:r>
    </w:p>
    <w:p>
      <w:pPr>
        <w:numPr>
          <w:ilvl w:val="0"/>
          <w:numId w:val="1007"/>
        </w:numPr>
        <w:pStyle w:val="Compact"/>
      </w:pPr>
      <w:r>
        <w:t xml:space="preserve">M2 — Learning Records Database (LRS + raw/cleaned/official levels)</w:t>
      </w:r>
    </w:p>
    <w:p>
      <w:pPr>
        <w:numPr>
          <w:ilvl w:val="0"/>
          <w:numId w:val="1007"/>
        </w:numPr>
        <w:pStyle w:val="Compact"/>
      </w:pPr>
      <w:r>
        <w:t xml:space="preserve">M3 — Learning-data API (the only door for learning events; xAPI middleware)</w:t>
      </w:r>
    </w:p>
    <w:p>
      <w:pPr>
        <w:numPr>
          <w:ilvl w:val="0"/>
          <w:numId w:val="1007"/>
        </w:numPr>
        <w:pStyle w:val="Compact"/>
      </w:pPr>
      <w:r>
        <w:t xml:space="preserve">M4 — Main Router (gateway + event backbone; TLA message spine)</w:t>
      </w:r>
    </w:p>
    <w:p>
      <w:pPr>
        <w:numPr>
          <w:ilvl w:val="0"/>
          <w:numId w:val="1007"/>
        </w:numPr>
        <w:pStyle w:val="Compact"/>
      </w:pPr>
      <w:r>
        <w:t xml:space="preserve">M5 — Course Site (Moodle/Open edX/Canvas host)</w:t>
      </w:r>
    </w:p>
    <w:p>
      <w:pPr>
        <w:numPr>
          <w:ilvl w:val="0"/>
          <w:numId w:val="1007"/>
        </w:numPr>
        <w:pStyle w:val="Compact"/>
      </w:pPr>
      <w:r>
        <w:t xml:space="preserve">M6 — Reports Base (BI engine on safe data copies)</w:t>
      </w:r>
    </w:p>
    <w:p>
      <w:pPr>
        <w:pStyle w:val="FirstParagraph"/>
      </w:pPr>
      <w:r>
        <w:rPr>
          <w:bCs/>
          <w:b/>
        </w:rPr>
        <w:t xml:space="preserve">Core Learning Modules</w:t>
      </w:r>
    </w:p>
    <w:p>
      <w:pPr>
        <w:numPr>
          <w:ilvl w:val="0"/>
          <w:numId w:val="1008"/>
        </w:numPr>
        <w:pStyle w:val="Compact"/>
      </w:pPr>
      <w:r>
        <w:t xml:space="preserve">M7 — Course Connector (LTI 1.3 launch, grade passback, roster)</w:t>
      </w:r>
    </w:p>
    <w:p>
      <w:pPr>
        <w:numPr>
          <w:ilvl w:val="0"/>
          <w:numId w:val="1008"/>
        </w:numPr>
        <w:pStyle w:val="Compact"/>
      </w:pPr>
      <w:r>
        <w:t xml:space="preserve">M8 — Quiz and Auto-grade</w:t>
      </w:r>
    </w:p>
    <w:p>
      <w:pPr>
        <w:numPr>
          <w:ilvl w:val="0"/>
          <w:numId w:val="1008"/>
        </w:numPr>
        <w:pStyle w:val="Compact"/>
      </w:pPr>
      <w:r>
        <w:t xml:space="preserve">M9 — Interactive eBook</w:t>
      </w:r>
    </w:p>
    <w:p>
      <w:pPr>
        <w:pStyle w:val="FirstParagraph"/>
      </w:pPr>
      <w:r>
        <w:rPr>
          <w:bCs/>
          <w:b/>
        </w:rPr>
        <w:t xml:space="preserve">Smart Layer Modules</w:t>
      </w:r>
    </w:p>
    <w:p>
      <w:pPr>
        <w:numPr>
          <w:ilvl w:val="0"/>
          <w:numId w:val="1009"/>
        </w:numPr>
        <w:pStyle w:val="Compact"/>
      </w:pPr>
      <w:r>
        <w:t xml:space="preserve">M10 — Teacher Dashboards</w:t>
      </w:r>
    </w:p>
    <w:p>
      <w:pPr>
        <w:numPr>
          <w:ilvl w:val="0"/>
          <w:numId w:val="1009"/>
        </w:numPr>
        <w:pStyle w:val="Compact"/>
      </w:pPr>
      <w:r>
        <w:t xml:space="preserve">M11 — At-risk Engine (PLE signals)</w:t>
      </w:r>
    </w:p>
    <w:p>
      <w:pPr>
        <w:numPr>
          <w:ilvl w:val="0"/>
          <w:numId w:val="1009"/>
        </w:numPr>
        <w:pStyle w:val="Compact"/>
      </w:pPr>
      <w:r>
        <w:t xml:space="preserve">M12 — Skill Tests (competency assessment, official records)</w:t>
      </w:r>
    </w:p>
    <w:p>
      <w:pPr>
        <w:pStyle w:val="FirstParagraph"/>
      </w:pPr>
      <w:r>
        <w:rPr>
          <w:bCs/>
          <w:b/>
        </w:rPr>
        <w:t xml:space="preserve">Personalization Modules</w:t>
      </w:r>
    </w:p>
    <w:p>
      <w:pPr>
        <w:numPr>
          <w:ilvl w:val="0"/>
          <w:numId w:val="1010"/>
        </w:numPr>
        <w:pStyle w:val="Compact"/>
      </w:pPr>
      <w:r>
        <w:t xml:space="preserve">M13 — Adaptive Lessons</w:t>
      </w:r>
    </w:p>
    <w:p>
      <w:pPr>
        <w:numPr>
          <w:ilvl w:val="0"/>
          <w:numId w:val="1010"/>
        </w:numPr>
        <w:pStyle w:val="Compact"/>
      </w:pPr>
      <w:r>
        <w:t xml:space="preserve">M14 — Gap Training (difference training)</w:t>
      </w:r>
    </w:p>
    <w:p>
      <w:pPr>
        <w:pStyle w:val="FirstParagraph"/>
      </w:pPr>
      <w:r>
        <w:rPr>
          <w:bCs/>
          <w:b/>
        </w:rPr>
        <w:t xml:space="preserve">Knowledge and Immersive Modules</w:t>
      </w:r>
    </w:p>
    <w:p>
      <w:pPr>
        <w:numPr>
          <w:ilvl w:val="0"/>
          <w:numId w:val="1011"/>
        </w:numPr>
        <w:pStyle w:val="Compact"/>
      </w:pPr>
      <w:r>
        <w:t xml:space="preserve">M15 — Expert Chatbot</w:t>
      </w:r>
    </w:p>
    <w:p>
      <w:pPr>
        <w:numPr>
          <w:ilvl w:val="0"/>
          <w:numId w:val="1011"/>
        </w:numPr>
        <w:pStyle w:val="Compact"/>
      </w:pPr>
      <w:r>
        <w:t xml:space="preserve">M16 — Simulator Store (XR store)</w:t>
      </w:r>
    </w:p>
    <w:p>
      <w:pPr>
        <w:pStyle w:val="FirstParagraph"/>
      </w:pPr>
      <w:r>
        <w:t xml:space="preserve">The program scope now expands this registry with the following first-class modules and program deliverables. Each must be audited with the same rigor as M1–M16, assigned an ID, an owner, an interface contract, and acceptance criteria:</w:t>
      </w:r>
    </w:p>
    <w:p>
      <w:pPr>
        <w:pStyle w:val="BodyText"/>
      </w:pPr>
      <w:r>
        <w:rPr>
          <w:bCs/>
          <w:b/>
        </w:rPr>
        <w:t xml:space="preserve">TLA Core Services (extends M2/M3/M4)</w:t>
      </w:r>
    </w:p>
    <w:p>
      <w:pPr>
        <w:numPr>
          <w:ilvl w:val="0"/>
          <w:numId w:val="1012"/>
        </w:numPr>
        <w:pStyle w:val="Compact"/>
      </w:pPr>
      <w:r>
        <w:t xml:space="preserve">M17 — TLA Experience Index / ELRR (Enterprise Learner Record Repository): federated roll-up of learner experience records across LRS instances, commands, and enclaves</w:t>
      </w:r>
    </w:p>
    <w:p>
      <w:pPr>
        <w:numPr>
          <w:ilvl w:val="0"/>
          <w:numId w:val="1012"/>
        </w:numPr>
        <w:pStyle w:val="Compact"/>
      </w:pPr>
      <w:r>
        <w:t xml:space="preserve">M18 — TLA Enterprise Course Catalogue (ECC): registry of all learning activities/content with rich metadata, feeding search, adaptive sequencing, and gap training</w:t>
      </w:r>
    </w:p>
    <w:p>
      <w:pPr>
        <w:numPr>
          <w:ilvl w:val="0"/>
          <w:numId w:val="1012"/>
        </w:numPr>
        <w:pStyle w:val="Compact"/>
      </w:pPr>
      <w:r>
        <w:t xml:space="preserve">M19 — TLA Competency Registry: machine-readable competency frameworks, skill ontologies, and credential definitions (CaSS-class), the authority that M12/M14/M22 reference</w:t>
      </w:r>
    </w:p>
    <w:p>
      <w:pPr>
        <w:numPr>
          <w:ilvl w:val="0"/>
          <w:numId w:val="1012"/>
        </w:numPr>
        <w:pStyle w:val="Compact"/>
      </w:pPr>
      <w:r>
        <w:t xml:space="preserve">M20 — TLA Learner Profile Management: enterprise learner profile service (goals, history, credentials, preferences), initial deployment plus lifecycle governance</w:t>
      </w:r>
    </w:p>
    <w:p>
      <w:pPr>
        <w:numPr>
          <w:ilvl w:val="0"/>
          <w:numId w:val="1012"/>
        </w:numPr>
        <w:pStyle w:val="Compact"/>
      </w:pPr>
      <w:r>
        <w:t xml:space="preserve">M21 — TLA CMM Maturity Program: staged conformance work — CMM Level 2 (microservices decomposition and instrumented data flow), CMM Level 3 (federated catalogue/profile interoperability), CMM Level 5 (enterprise competency mapping driving readiness and talent decisions)</w:t>
      </w:r>
    </w:p>
    <w:p>
      <w:pPr>
        <w:pStyle w:val="FirstParagraph"/>
      </w:pPr>
      <w:r>
        <w:rPr>
          <w:bCs/>
          <w:b/>
        </w:rPr>
        <w:t xml:space="preserve">Content Lifecycle Modules</w:t>
      </w:r>
    </w:p>
    <w:p>
      <w:pPr>
        <w:numPr>
          <w:ilvl w:val="0"/>
          <w:numId w:val="1013"/>
        </w:numPr>
        <w:pStyle w:val="Compact"/>
      </w:pPr>
      <w:r>
        <w:t xml:space="preserve">M22 — DCT: Dynamic Content Authoring Tool — content authoring and lesson planner (authoring, templating, objective/competency tagging, lesson planning, publish to ECC)</w:t>
      </w:r>
    </w:p>
    <w:p>
      <w:pPr>
        <w:numPr>
          <w:ilvl w:val="0"/>
          <w:numId w:val="1013"/>
        </w:numPr>
        <w:pStyle w:val="Compact"/>
      </w:pPr>
      <w:r>
        <w:t xml:space="preserve">M23 — SME Chatbot — Content Authoring Support (author-facing AI assistant inside the DCT)</w:t>
      </w:r>
    </w:p>
    <w:p>
      <w:pPr>
        <w:numPr>
          <w:ilvl w:val="0"/>
          <w:numId w:val="1013"/>
        </w:numPr>
        <w:pStyle w:val="Compact"/>
      </w:pPr>
      <w:r>
        <w:t xml:space="preserve">M24 — Interactive eBooks — Technical Manuals Digitization pipeline (interactive eLearning books: source manual → structured, accessible, interactive, instrumented eBook; extends M9)</w:t>
      </w:r>
    </w:p>
    <w:p>
      <w:pPr>
        <w:numPr>
          <w:ilvl w:val="0"/>
          <w:numId w:val="1013"/>
        </w:numPr>
        <w:pStyle w:val="Compact"/>
      </w:pPr>
      <w:r>
        <w:t xml:space="preserve">M25 — PDFs and Technical Manuals Integration — Live TO/Manual Connection (continuous linkage to the authoritative technical-order/manual repository: detect revisions, flag affected content, drive re-index and re-publish)</w:t>
      </w:r>
    </w:p>
    <w:p>
      <w:pPr>
        <w:pStyle w:val="FirstParagraph"/>
      </w:pPr>
      <w:r>
        <w:rPr>
          <w:bCs/>
          <w:b/>
        </w:rPr>
        <w:t xml:space="preserve">Learner-Facing AI and Assessment Modules</w:t>
      </w:r>
    </w:p>
    <w:p>
      <w:pPr>
        <w:numPr>
          <w:ilvl w:val="0"/>
          <w:numId w:val="1014"/>
        </w:numPr>
        <w:pStyle w:val="Compact"/>
      </w:pPr>
      <w:r>
        <w:t xml:space="preserve">M26 — AI SME Chatbot — Learner-Facing (extends M15; document-grounded, citation-bearing, refusal-capable; must run on local models in air-gapped mode)</w:t>
      </w:r>
    </w:p>
    <w:p>
      <w:pPr>
        <w:numPr>
          <w:ilvl w:val="0"/>
          <w:numId w:val="1014"/>
        </w:numPr>
        <w:pStyle w:val="Compact"/>
      </w:pPr>
      <w:r>
        <w:t xml:space="preserve">M27 — AI Assessment Tools and Test Banks + Auto Grader (extends M8; AI question generation, semantic grading, item banking, psychometrics)</w:t>
      </w:r>
    </w:p>
    <w:p>
      <w:pPr>
        <w:numPr>
          <w:ilvl w:val="0"/>
          <w:numId w:val="1014"/>
        </w:numPr>
        <w:pStyle w:val="Compact"/>
      </w:pPr>
      <w:r>
        <w:t xml:space="preserve">M28 — Personalized Learning Engine — Core (extends M11/M13; the PLE that consumes TLA data to sequence learning)</w:t>
      </w:r>
    </w:p>
    <w:p>
      <w:pPr>
        <w:numPr>
          <w:ilvl w:val="0"/>
          <w:numId w:val="1014"/>
        </w:numPr>
        <w:pStyle w:val="Compact"/>
      </w:pPr>
      <w:r>
        <w:t xml:space="preserve">M29 — Competency Assessment Tool (extends M12; evidence-based competency verification writing official records against M19 definitions)</w:t>
      </w:r>
    </w:p>
    <w:p>
      <w:pPr>
        <w:pStyle w:val="FirstParagraph"/>
      </w:pPr>
      <w:r>
        <w:rPr>
          <w:bCs/>
          <w:b/>
        </w:rPr>
        <w:t xml:space="preserve">Analytics and Data Modules</w:t>
      </w:r>
    </w:p>
    <w:p>
      <w:pPr>
        <w:numPr>
          <w:ilvl w:val="0"/>
          <w:numId w:val="1015"/>
        </w:numPr>
        <w:pStyle w:val="Compact"/>
      </w:pPr>
      <w:r>
        <w:t xml:space="preserve">M30 — Analytics Dashboard Suite — all roles, including TLA-level analytics (extends M6/M10)</w:t>
      </w:r>
    </w:p>
    <w:p>
      <w:pPr>
        <w:numPr>
          <w:ilvl w:val="0"/>
          <w:numId w:val="1015"/>
        </w:numPr>
        <w:pStyle w:val="Compact"/>
      </w:pPr>
      <w:r>
        <w:t xml:space="preserve">M31 — Cross-Command Data Pipeline (federated, governed data movement between organizations/commands/enclaves; the transport layer of M17 federation)</w:t>
      </w:r>
    </w:p>
    <w:p>
      <w:pPr>
        <w:pStyle w:val="FirstParagraph"/>
      </w:pPr>
      <w:r>
        <w:rPr>
          <w:bCs/>
          <w:b/>
        </w:rPr>
        <w:t xml:space="preserve">Immersive and Field Modules</w:t>
      </w:r>
    </w:p>
    <w:p>
      <w:pPr>
        <w:numPr>
          <w:ilvl w:val="0"/>
          <w:numId w:val="1016"/>
        </w:numPr>
        <w:pStyle w:val="Compact"/>
      </w:pPr>
      <w:r>
        <w:t xml:space="preserve">M32 — XR Store App — Android and Windows (extends M16)</w:t>
      </w:r>
    </w:p>
    <w:p>
      <w:pPr>
        <w:numPr>
          <w:ilvl w:val="0"/>
          <w:numId w:val="1016"/>
        </w:numPr>
        <w:pStyle w:val="Compact"/>
      </w:pPr>
      <w:r>
        <w:t xml:space="preserve">M33 — Hardware Immersive Labs — Site A (e.g., Barksdale-class deployment): physical lab build-out, device fleet, local edge services</w:t>
      </w:r>
    </w:p>
    <w:p>
      <w:pPr>
        <w:numPr>
          <w:ilvl w:val="0"/>
          <w:numId w:val="1016"/>
        </w:numPr>
        <w:pStyle w:val="Compact"/>
      </w:pPr>
      <w:r>
        <w:t xml:space="preserve">M34 — Hardware Immersive Labs — Site B (e.g., Minot-class deployment): second-site replication and divergence control</w:t>
      </w:r>
    </w:p>
    <w:p>
      <w:pPr>
        <w:numPr>
          <w:ilvl w:val="0"/>
          <w:numId w:val="1016"/>
        </w:numPr>
        <w:pStyle w:val="Compact"/>
      </w:pPr>
      <w:r>
        <w:t xml:space="preserve">M35 — AI/ML Procedural Walkthrough Engine: operational-effectiveness engine that captures and records learner actions during guided procedures, evaluates step correctness, writes activity logs, and generates reports (an evidence source for M29 and MOE measurement)</w:t>
      </w:r>
    </w:p>
    <w:p>
      <w:pPr>
        <w:numPr>
          <w:ilvl w:val="0"/>
          <w:numId w:val="1016"/>
        </w:numPr>
        <w:pStyle w:val="Compact"/>
      </w:pPr>
      <w:r>
        <w:t xml:space="preserve">M36 — Difference Training Application (delta training when equipment/platform versions differ; consumes M19 and M14 logic)</w:t>
      </w:r>
    </w:p>
    <w:p>
      <w:pPr>
        <w:numPr>
          <w:ilvl w:val="0"/>
          <w:numId w:val="1016"/>
        </w:numPr>
        <w:pStyle w:val="Compact"/>
      </w:pPr>
      <w:r>
        <w:t xml:space="preserve">M37 — Microlearning Mobile Application (offline-capable spaced micro-lessons, synchronized through M3)</w:t>
      </w:r>
    </w:p>
    <w:p>
      <w:pPr>
        <w:numPr>
          <w:ilvl w:val="0"/>
          <w:numId w:val="1016"/>
        </w:numPr>
        <w:pStyle w:val="Compact"/>
      </w:pPr>
      <w:r>
        <w:t xml:space="preserve">M38 — Measure of Operational Effectiveness (MOE) AR Application (AR-based observation/measurement of task performance in the operational context)</w:t>
      </w:r>
    </w:p>
    <w:p>
      <w:pPr>
        <w:pStyle w:val="FirstParagraph"/>
      </w:pPr>
      <w:r>
        <w:rPr>
          <w:bCs/>
          <w:b/>
        </w:rPr>
        <w:t xml:space="preserve">Program, Governance, and Acceptance Deliverables (audit as work products with entry/exit gates, not software)</w:t>
      </w:r>
    </w:p>
    <w:p>
      <w:pPr>
        <w:numPr>
          <w:ilvl w:val="0"/>
          <w:numId w:val="1017"/>
        </w:numPr>
        <w:pStyle w:val="Compact"/>
      </w:pPr>
      <w:r>
        <w:t xml:space="preserve">P1 — ATO Initiation — AFGSC (or equivalent accrediting authority): authority engagement, control baseline selection, RMF/equivalent package start, hardening plan, evidence pipeline</w:t>
      </w:r>
    </w:p>
    <w:p>
      <w:pPr>
        <w:numPr>
          <w:ilvl w:val="0"/>
          <w:numId w:val="1017"/>
        </w:numPr>
        <w:pStyle w:val="Compact"/>
      </w:pPr>
      <w:r>
        <w:t xml:space="preserve">P2 — Pedagogy Design Review Protocol (the standing instructional-quality gate every content and AI-behavior release must pass)</w:t>
      </w:r>
    </w:p>
    <w:p>
      <w:pPr>
        <w:numPr>
          <w:ilvl w:val="0"/>
          <w:numId w:val="1017"/>
        </w:numPr>
        <w:pStyle w:val="Compact"/>
      </w:pPr>
      <w:r>
        <w:t xml:space="preserve">P3 — Accelerate Upgrade Readiness Measurement Plan (definitions, instruments, and data flows proving training accelerates qualification/upgrade readiness)</w:t>
      </w:r>
    </w:p>
    <w:p>
      <w:pPr>
        <w:numPr>
          <w:ilvl w:val="0"/>
          <w:numId w:val="1017"/>
        </w:numPr>
        <w:pStyle w:val="Compact"/>
      </w:pPr>
      <w:r>
        <w:t xml:space="preserve">P4 — Train-the-Trainer — Embedded SME Service (human enablement: embedded SMEs, instructor onboarding, champion model)</w:t>
      </w:r>
    </w:p>
    <w:p>
      <w:pPr>
        <w:numPr>
          <w:ilvl w:val="0"/>
          <w:numId w:val="1017"/>
        </w:numPr>
        <w:pStyle w:val="Compact"/>
      </w:pPr>
      <w:r>
        <w:t xml:space="preserve">P5 — Full Platform Integration and Acceptance (Multiverse-class end-to-end integration test and formal acceptance)</w:t>
      </w:r>
    </w:p>
    <w:p>
      <w:pPr>
        <w:numPr>
          <w:ilvl w:val="0"/>
          <w:numId w:val="1017"/>
        </w:numPr>
        <w:pStyle w:val="Compact"/>
      </w:pPr>
      <w:r>
        <w:t xml:space="preserve">P6 — Final Report (evidence-backed program closure: outcomes, MOE results, TLA CMM level attained, residual risks)</w:t>
      </w:r>
    </w:p>
    <w:p>
      <w:pPr>
        <w:pStyle w:val="FirstParagraph"/>
      </w:pPr>
      <w:r>
        <w:t xml:space="preserve">Where the expanded modules overlap the original sixteen (e.g., M26 vs M15, M27 vs M8, M32 vs M16, M28 vs M11/M13, M36 vs M14, M29 vs M12, M24 vs M9), the review must explicitly decide and record: same module matured, module split, or new module — and expose any hidden duplication of responsibility.</w:t>
      </w:r>
    </w:p>
    <w:bookmarkEnd w:id="28"/>
    <w:bookmarkStart w:id="29" w:name="X92d3af414ac7c87a2d9571849dbbd7281c747b8"/>
    <w:p>
      <w:pPr>
        <w:pStyle w:val="Heading2"/>
      </w:pPr>
      <w:r>
        <w:t xml:space="preserve">2.3 Technology baseline (challenge, don’t accept)</w:t>
      </w:r>
    </w:p>
    <w:p>
      <w:pPr>
        <w:pStyle w:val="FirstParagraph"/>
      </w:pPr>
      <w:r>
        <w:t xml:space="preserve">Open-source candidates: Keycloak; Moodle or Open edX; an ADL-conformant LRS (e.g., Yet Analytics LRS / SQL LRS); FastAPI or Node.js; PostgreSQL; Kong, Traefik, or Nginx; Kafka or NATS; Redis; Metabase or Apache Superset; React, Vite, TypeScript; React Native; OpenSearch or pgvector; CaSS-class competency registry; Ollama or vLLM with open-weight models for local inference; MinIO; Docker, Docker Compose, and Kubernetes/K3s for enclave orchestration; Harbor-class private registry for air-gapped delivery; SBOM tooling (Syft/Grype-class).</w:t>
      </w:r>
    </w:p>
    <w:p>
      <w:pPr>
        <w:pStyle w:val="BodyText"/>
      </w:pPr>
      <w:r>
        <w:t xml:space="preserve">Proprietary/bespoke candidates: air-gapped AI serving appliance (GPU servers, model lifecycle tooling); AI/ML Procedural Walkthrough Engine; XR titles and immersive-lab integrations; MOE AR application; cross-domain/one-way transfer components; any client-mandated commercial LMS (Canvas) or BI tools.</w:t>
      </w:r>
    </w:p>
    <w:p>
      <w:pPr>
        <w:pStyle w:val="BodyText"/>
      </w:pPr>
      <w:r>
        <w:t xml:space="preserve">For every technology named, apply the</w:t>
      </w:r>
      <w:r>
        <w:t xml:space="preserve"> </w:t>
      </w:r>
      <w:r>
        <w:t xml:space="preserve">“</w:t>
      </w:r>
      <w:r>
        <w:t xml:space="preserve">simplest architecture that satisfies verified requirements</w:t>
      </w:r>
      <w:r>
        <w:t xml:space="preserve">”</w:t>
      </w:r>
      <w:r>
        <w:t xml:space="preserve"> </w:t>
      </w:r>
      <w:r>
        <w:t xml:space="preserve">principle and provide options analysis per Loop 22. Do not treat open source as automatically free, secure, or maintained; do not treat proprietary as automatically supported or accreditable.</w:t>
      </w:r>
    </w:p>
    <w:bookmarkEnd w:id="29"/>
    <w:bookmarkStart w:id="30" w:name="deployment-models-all-must-be-tested"/>
    <w:p>
      <w:pPr>
        <w:pStyle w:val="Heading2"/>
      </w:pPr>
      <w:r>
        <w:t xml:space="preserve">2.4 Deployment models (all must be tested)</w:t>
      </w:r>
    </w:p>
    <w:p>
      <w:pPr>
        <w:numPr>
          <w:ilvl w:val="0"/>
          <w:numId w:val="1018"/>
        </w:numPr>
        <w:pStyle w:val="Compact"/>
      </w:pPr>
      <w:r>
        <w:t xml:space="preserve">Connected multi-tenant cloud (SaaS-style, hosted LLM optional)</w:t>
      </w:r>
    </w:p>
    <w:p>
      <w:pPr>
        <w:numPr>
          <w:ilvl w:val="0"/>
          <w:numId w:val="1018"/>
        </w:numPr>
        <w:pStyle w:val="Compact"/>
      </w:pPr>
      <w:r>
        <w:t xml:space="preserve">Customer on-premises, internet-reachable (local everything, optional hosted AI)</w:t>
      </w:r>
    </w:p>
    <w:p>
      <w:pPr>
        <w:numPr>
          <w:ilvl w:val="0"/>
          <w:numId w:val="1018"/>
        </w:numPr>
        <w:pStyle w:val="Compact"/>
      </w:pPr>
      <w:r>
        <w:t xml:space="preserve">Fully air-gapped enclave (local AI servers mandatory; offline update and sync doctrine mandatory)</w:t>
      </w:r>
    </w:p>
    <w:p>
      <w:pPr>
        <w:numPr>
          <w:ilvl w:val="0"/>
          <w:numId w:val="1018"/>
        </w:numPr>
        <w:pStyle w:val="Compact"/>
      </w:pPr>
      <w:r>
        <w:t xml:space="preserve">Edge/lab deployment inside immersive labs (device fleets, intermittent connectivity to the site enclave)</w:t>
      </w:r>
    </w:p>
    <w:p>
      <w:pPr>
        <w:numPr>
          <w:ilvl w:val="0"/>
          <w:numId w:val="1018"/>
        </w:numPr>
        <w:pStyle w:val="Compact"/>
      </w:pPr>
      <w:r>
        <w:t xml:space="preserve">Mobile/offline clients (microlearning app, XR store, simulators — store-and-forward through M3)</w:t>
      </w:r>
    </w:p>
    <w:p>
      <w:pPr>
        <w:pStyle w:val="FirstParagraph"/>
      </w:pPr>
      <w:r>
        <w:t xml:space="preserve">The system is expected to support: LMS-embedded tools; multi-tenant organizations; multi-command federation; xAPI learning events at TLA scale; assessment and grading; interactive eBooks and digitized technical manuals; dashboards and reporting at all role levels; at-risk detection; competency assessment and official records; adaptive learning and gap/difference training; document-grounded AI assistance for learners and authors; procedural walkthrough capture and MOE measurement; XR simulator discovery, installation, and launch; immersive-lab operations at multiple physical sites; and offline event capture with later synchronization across trust boundaries.</w:t>
      </w:r>
    </w:p>
    <w:p>
      <w:r>
        <w:pict>
          <v:rect style="width:0;height:1.5pt" o:hralign="center" o:hrstd="t" o:hr="t"/>
        </w:pict>
      </w:r>
    </w:p>
    <w:bookmarkEnd w:id="30"/>
    <w:bookmarkEnd w:id="31"/>
    <w:bookmarkStart w:id="32" w:name="primary-objective"/>
    <w:p>
      <w:pPr>
        <w:pStyle w:val="Heading1"/>
      </w:pPr>
      <w:r>
        <w:t xml:space="preserve">3. PRIMARY OBJECTIVE</w:t>
      </w:r>
    </w:p>
    <w:p>
      <w:pPr>
        <w:pStyle w:val="FirstParagraph"/>
      </w:pPr>
      <w:r>
        <w:t xml:space="preserve">Perform a rigorous, evidence-driven stress test of the proposed EdVidura architecture, product plan, build sequence, assumptions, module boundaries, technical choices, integration strategy, MOSA conformance, TLA conformance and CMM progression plan, air-gap and federation design, accreditation path, testing strategy, operational model, and release plan.</w:t>
      </w:r>
    </w:p>
    <w:p>
      <w:pPr>
        <w:pStyle w:val="BodyText"/>
      </w:pPr>
      <w:r>
        <w:t xml:space="preserve">Identify:</w:t>
      </w:r>
    </w:p>
    <w:p>
      <w:pPr>
        <w:numPr>
          <w:ilvl w:val="0"/>
          <w:numId w:val="1019"/>
        </w:numPr>
        <w:pStyle w:val="Compact"/>
      </w:pPr>
      <w:r>
        <w:t xml:space="preserve">What can fail</w:t>
      </w:r>
    </w:p>
    <w:p>
      <w:pPr>
        <w:numPr>
          <w:ilvl w:val="0"/>
          <w:numId w:val="1019"/>
        </w:numPr>
        <w:pStyle w:val="Compact"/>
      </w:pPr>
      <w:r>
        <w:t xml:space="preserve">Why it can fail</w:t>
      </w:r>
    </w:p>
    <w:p>
      <w:pPr>
        <w:numPr>
          <w:ilvl w:val="0"/>
          <w:numId w:val="1019"/>
        </w:numPr>
        <w:pStyle w:val="Compact"/>
      </w:pPr>
      <w:r>
        <w:t xml:space="preserve">How likely the failure is</w:t>
      </w:r>
    </w:p>
    <w:p>
      <w:pPr>
        <w:numPr>
          <w:ilvl w:val="0"/>
          <w:numId w:val="1019"/>
        </w:numPr>
        <w:pStyle w:val="Compact"/>
      </w:pPr>
      <w:r>
        <w:t xml:space="preserve">What the impact would be</w:t>
      </w:r>
    </w:p>
    <w:p>
      <w:pPr>
        <w:numPr>
          <w:ilvl w:val="0"/>
          <w:numId w:val="1019"/>
        </w:numPr>
        <w:pStyle w:val="Compact"/>
      </w:pPr>
      <w:r>
        <w:t xml:space="preserve">How the failure would be detected</w:t>
      </w:r>
    </w:p>
    <w:p>
      <w:pPr>
        <w:numPr>
          <w:ilvl w:val="0"/>
          <w:numId w:val="1019"/>
        </w:numPr>
        <w:pStyle w:val="Compact"/>
      </w:pPr>
      <w:r>
        <w:t xml:space="preserve">How the system would recover</w:t>
      </w:r>
    </w:p>
    <w:p>
      <w:pPr>
        <w:numPr>
          <w:ilvl w:val="0"/>
          <w:numId w:val="1019"/>
        </w:numPr>
        <w:pStyle w:val="Compact"/>
      </w:pPr>
      <w:r>
        <w:t xml:space="preserve">Which assumptions are unsupported</w:t>
      </w:r>
    </w:p>
    <w:p>
      <w:pPr>
        <w:numPr>
          <w:ilvl w:val="0"/>
          <w:numId w:val="1019"/>
        </w:numPr>
        <w:pStyle w:val="Compact"/>
      </w:pPr>
      <w:r>
        <w:t xml:space="preserve">Which architecture decisions need modification</w:t>
      </w:r>
    </w:p>
    <w:p>
      <w:pPr>
        <w:numPr>
          <w:ilvl w:val="0"/>
          <w:numId w:val="1019"/>
        </w:numPr>
        <w:pStyle w:val="Compact"/>
      </w:pPr>
      <w:r>
        <w:t xml:space="preserve">Which design decisions should be retained</w:t>
      </w:r>
    </w:p>
    <w:p>
      <w:pPr>
        <w:numPr>
          <w:ilvl w:val="0"/>
          <w:numId w:val="1019"/>
        </w:numPr>
        <w:pStyle w:val="Compact"/>
      </w:pPr>
      <w:r>
        <w:t xml:space="preserve">What must be proven before implementation proceeds</w:t>
      </w:r>
    </w:p>
    <w:p>
      <w:pPr>
        <w:numPr>
          <w:ilvl w:val="0"/>
          <w:numId w:val="1019"/>
        </w:numPr>
        <w:pStyle w:val="Compact"/>
      </w:pPr>
      <w:r>
        <w:t xml:space="preserve">Which interfaces are not yet open, versioned, and conformance-testable (MOSA debt)</w:t>
      </w:r>
    </w:p>
    <w:p>
      <w:pPr>
        <w:numPr>
          <w:ilvl w:val="0"/>
          <w:numId w:val="1019"/>
        </w:numPr>
        <w:pStyle w:val="Compact"/>
      </w:pPr>
      <w:r>
        <w:t xml:space="preserve">Which capabilities silently depend on connectivity or external AI APIs (air-gap debt)</w:t>
      </w:r>
    </w:p>
    <w:p>
      <w:pPr>
        <w:numPr>
          <w:ilvl w:val="0"/>
          <w:numId w:val="1019"/>
        </w:numPr>
        <w:pStyle w:val="Compact"/>
      </w:pPr>
      <w:r>
        <w:t xml:space="preserve">Which data flows cannot survive federation across trust boundaries (federation debt)</w:t>
      </w:r>
    </w:p>
    <w:p>
      <w:pPr>
        <w:numPr>
          <w:ilvl w:val="0"/>
          <w:numId w:val="1019"/>
        </w:numPr>
        <w:pStyle w:val="Compact"/>
      </w:pPr>
      <w:r>
        <w:t xml:space="preserve">Which deliverables in the program list have no owning module, no acceptance criterion, or no evidence plan (traceability debt)</w:t>
      </w:r>
    </w:p>
    <w:p>
      <w:pPr>
        <w:pStyle w:val="FirstParagraph"/>
      </w:pPr>
      <w:r>
        <w:t xml:space="preserve">Do not merely list generic risks. Trace each finding to:</w:t>
      </w:r>
    </w:p>
    <w:p>
      <w:pPr>
        <w:numPr>
          <w:ilvl w:val="0"/>
          <w:numId w:val="1020"/>
        </w:numPr>
        <w:pStyle w:val="Compact"/>
      </w:pPr>
      <w:r>
        <w:t xml:space="preserve">A module (M1–M38) or program deliverable (P1–P6)</w:t>
      </w:r>
    </w:p>
    <w:p>
      <w:pPr>
        <w:numPr>
          <w:ilvl w:val="0"/>
          <w:numId w:val="1020"/>
        </w:numPr>
        <w:pStyle w:val="Compact"/>
      </w:pPr>
      <w:r>
        <w:t xml:space="preserve">A dependency</w:t>
      </w:r>
    </w:p>
    <w:p>
      <w:pPr>
        <w:numPr>
          <w:ilvl w:val="0"/>
          <w:numId w:val="1020"/>
        </w:numPr>
        <w:pStyle w:val="Compact"/>
      </w:pPr>
      <w:r>
        <w:t xml:space="preserve">A data flow</w:t>
      </w:r>
    </w:p>
    <w:p>
      <w:pPr>
        <w:numPr>
          <w:ilvl w:val="0"/>
          <w:numId w:val="1020"/>
        </w:numPr>
        <w:pStyle w:val="Compact"/>
      </w:pPr>
      <w:r>
        <w:t xml:space="preserve">A user journey</w:t>
      </w:r>
    </w:p>
    <w:p>
      <w:pPr>
        <w:numPr>
          <w:ilvl w:val="0"/>
          <w:numId w:val="1020"/>
        </w:numPr>
        <w:pStyle w:val="Compact"/>
      </w:pPr>
      <w:r>
        <w:t xml:space="preserve">A technology choice</w:t>
      </w:r>
    </w:p>
    <w:p>
      <w:pPr>
        <w:numPr>
          <w:ilvl w:val="0"/>
          <w:numId w:val="1020"/>
        </w:numPr>
        <w:pStyle w:val="Compact"/>
      </w:pPr>
      <w:r>
        <w:t xml:space="preserve">A security or trust boundary</w:t>
      </w:r>
    </w:p>
    <w:p>
      <w:pPr>
        <w:numPr>
          <w:ilvl w:val="0"/>
          <w:numId w:val="1020"/>
        </w:numPr>
        <w:pStyle w:val="Compact"/>
      </w:pPr>
      <w:r>
        <w:t xml:space="preserve">A deployment model (Section 2.4)</w:t>
      </w:r>
    </w:p>
    <w:p>
      <w:pPr>
        <w:numPr>
          <w:ilvl w:val="0"/>
          <w:numId w:val="1020"/>
        </w:numPr>
        <w:pStyle w:val="Compact"/>
      </w:pPr>
      <w:r>
        <w:t xml:space="preserve">An operational process</w:t>
      </w:r>
    </w:p>
    <w:p>
      <w:pPr>
        <w:numPr>
          <w:ilvl w:val="0"/>
          <w:numId w:val="1020"/>
        </w:numPr>
        <w:pStyle w:val="Compact"/>
      </w:pPr>
      <w:r>
        <w:t xml:space="preserve">A build phase</w:t>
      </w:r>
    </w:p>
    <w:p>
      <w:pPr>
        <w:numPr>
          <w:ilvl w:val="0"/>
          <w:numId w:val="1020"/>
        </w:numPr>
        <w:pStyle w:val="Compact"/>
      </w:pPr>
      <w:r>
        <w:t xml:space="preserve">A measurable acceptance criterion</w:t>
      </w:r>
    </w:p>
    <w:p>
      <w:r>
        <w:pict>
          <v:rect style="width:0;height:1.5pt" o:hralign="center" o:hrstd="t" o:hr="t"/>
        </w:pict>
      </w:r>
    </w:p>
    <w:bookmarkEnd w:id="32"/>
    <w:bookmarkStart w:id="40" w:name="operating-principles"/>
    <w:p>
      <w:pPr>
        <w:pStyle w:val="Heading1"/>
      </w:pPr>
      <w:r>
        <w:t xml:space="preserve">4. OPERATING PRINCIPLES</w:t>
      </w:r>
    </w:p>
    <w:p>
      <w:pPr>
        <w:pStyle w:val="FirstParagraph"/>
      </w:pPr>
      <w:r>
        <w:t xml:space="preserve">Apply the following rules throughout the review.</w:t>
      </w:r>
    </w:p>
    <w:bookmarkStart w:id="33" w:name="evidence-over-confidence"/>
    <w:p>
      <w:pPr>
        <w:pStyle w:val="Heading2"/>
      </w:pPr>
      <w:r>
        <w:t xml:space="preserve">4.1 Evidence over confidence</w:t>
      </w:r>
    </w:p>
    <w:p>
      <w:pPr>
        <w:pStyle w:val="FirstParagraph"/>
      </w:pPr>
      <w:r>
        <w:t xml:space="preserve">Do not treat a design statement as correct merely because it sounds reasonable. For each major claim, classify it using the Section 0.2 evidence tags: [PROVEN], [PARTIAL], [ASSUMED], [CONTRADICTED], [UNTESTABLE].</w:t>
      </w:r>
    </w:p>
    <w:bookmarkEnd w:id="33"/>
    <w:bookmarkStart w:id="34" w:name="challenge-hidden-simplicity"/>
    <w:p>
      <w:pPr>
        <w:pStyle w:val="Heading2"/>
      </w:pPr>
      <w:r>
        <w:t xml:space="preserve">4.2 Challenge hidden simplicity</w:t>
      </w:r>
    </w:p>
    <w:p>
      <w:pPr>
        <w:pStyle w:val="FirstParagraph"/>
      </w:pPr>
      <w:r>
        <w:t xml:space="preserve">Whenever the plan describes a component as a</w:t>
      </w:r>
      <w:r>
        <w:t xml:space="preserve"> </w:t>
      </w:r>
      <w:r>
        <w:t xml:space="preserve">“</w:t>
      </w:r>
      <w:r>
        <w:t xml:space="preserve">shared pipe,</w:t>
      </w:r>
      <w:r>
        <w:t xml:space="preserve">”</w:t>
      </w:r>
      <w:r>
        <w:t xml:space="preserve"> </w:t>
      </w:r>
      <w:r>
        <w:t xml:space="preserve">“</w:t>
      </w:r>
      <w:r>
        <w:t xml:space="preserve">main router,</w:t>
      </w:r>
      <w:r>
        <w:t xml:space="preserve">”</w:t>
      </w:r>
      <w:r>
        <w:t xml:space="preserve"> </w:t>
      </w:r>
      <w:r>
        <w:t xml:space="preserve">“</w:t>
      </w:r>
      <w:r>
        <w:t xml:space="preserve">safe copy,</w:t>
      </w:r>
      <w:r>
        <w:t xml:space="preserve">”</w:t>
      </w:r>
      <w:r>
        <w:t xml:space="preserve"> </w:t>
      </w:r>
      <w:r>
        <w:t xml:space="preserve">“</w:t>
      </w:r>
      <w:r>
        <w:t xml:space="preserve">secure token,</w:t>
      </w:r>
      <w:r>
        <w:t xml:space="preserve">”</w:t>
      </w:r>
      <w:r>
        <w:t xml:space="preserve"> </w:t>
      </w:r>
      <w:r>
        <w:t xml:space="preserve">“</w:t>
      </w:r>
      <w:r>
        <w:t xml:space="preserve">adaptive path,</w:t>
      </w:r>
      <w:r>
        <w:t xml:space="preserve">”</w:t>
      </w:r>
      <w:r>
        <w:t xml:space="preserve"> </w:t>
      </w:r>
      <w:r>
        <w:t xml:space="preserve">“</w:t>
      </w:r>
      <w:r>
        <w:t xml:space="preserve">risk score,</w:t>
      </w:r>
      <w:r>
        <w:t xml:space="preserve">”</w:t>
      </w:r>
      <w:r>
        <w:t xml:space="preserve"> </w:t>
      </w:r>
      <w:r>
        <w:t xml:space="preserve">“</w:t>
      </w:r>
      <w:r>
        <w:t xml:space="preserve">official record,</w:t>
      </w:r>
      <w:r>
        <w:t xml:space="preserve">”</w:t>
      </w:r>
      <w:r>
        <w:t xml:space="preserve"> </w:t>
      </w:r>
      <w:r>
        <w:t xml:space="preserve">“</w:t>
      </w:r>
      <w:r>
        <w:t xml:space="preserve">approved manual,</w:t>
      </w:r>
      <w:r>
        <w:t xml:space="preserve">”</w:t>
      </w:r>
      <w:r>
        <w:t xml:space="preserve"> </w:t>
      </w:r>
      <w:r>
        <w:t xml:space="preserve">“</w:t>
      </w:r>
      <w:r>
        <w:t xml:space="preserve">live TO connection,</w:t>
      </w:r>
      <w:r>
        <w:t xml:space="preserve">”</w:t>
      </w:r>
      <w:r>
        <w:t xml:space="preserve"> </w:t>
      </w:r>
      <w:r>
        <w:t xml:space="preserve">“</w:t>
      </w:r>
      <w:r>
        <w:t xml:space="preserve">federated roll-up,</w:t>
      </w:r>
      <w:r>
        <w:t xml:space="preserve">”</w:t>
      </w:r>
      <w:r>
        <w:t xml:space="preserve"> </w:t>
      </w:r>
      <w:r>
        <w:t xml:space="preserve">“</w:t>
      </w:r>
      <w:r>
        <w:t xml:space="preserve">sync when online,</w:t>
      </w:r>
      <w:r>
        <w:t xml:space="preserve">”</w:t>
      </w:r>
      <w:r>
        <w:t xml:space="preserve"> </w:t>
      </w:r>
      <w:r>
        <w:t xml:space="preserve">“</w:t>
      </w:r>
      <w:r>
        <w:t xml:space="preserve">local model,</w:t>
      </w:r>
      <w:r>
        <w:t xml:space="preserve">”</w:t>
      </w:r>
      <w:r>
        <w:t xml:space="preserve"> </w:t>
      </w:r>
      <w:r>
        <w:t xml:space="preserve">“</w:t>
      </w:r>
      <w:r>
        <w:t xml:space="preserve">competency mapping,</w:t>
      </w:r>
      <w:r>
        <w:t xml:space="preserve">”</w:t>
      </w:r>
      <w:r>
        <w:t xml:space="preserve"> </w:t>
      </w:r>
      <w:r>
        <w:t xml:space="preserve">or</w:t>
      </w:r>
      <w:r>
        <w:t xml:space="preserve"> </w:t>
      </w:r>
      <w:r>
        <w:t xml:space="preserve">“</w:t>
      </w:r>
      <w:r>
        <w:t xml:space="preserve">MOSA-compliant,</w:t>
      </w:r>
      <w:r>
        <w:t xml:space="preserve">”</w:t>
      </w:r>
      <w:r>
        <w:t xml:space="preserve"> </w:t>
      </w:r>
      <w:r>
        <w:t xml:space="preserve">expand that phrase into its actual technical responsibilities. Identify what complexity may be hidden behind simplified terminology.</w:t>
      </w:r>
      <w:r>
        <w:t xml:space="preserve"> </w:t>
      </w:r>
      <w:r>
        <w:t xml:space="preserve">“</w:t>
      </w:r>
      <w:r>
        <w:t xml:space="preserve">Federation</w:t>
      </w:r>
      <w:r>
        <w:t xml:space="preserve">”</w:t>
      </w:r>
      <w:r>
        <w:t xml:space="preserve"> </w:t>
      </w:r>
      <w:r>
        <w:t xml:space="preserve">and</w:t>
      </w:r>
      <w:r>
        <w:t xml:space="preserve"> </w:t>
      </w:r>
      <w:r>
        <w:t xml:space="preserve">“</w:t>
      </w:r>
      <w:r>
        <w:t xml:space="preserve">air-gapped sync</w:t>
      </w:r>
      <w:r>
        <w:t xml:space="preserve">”</w:t>
      </w:r>
      <w:r>
        <w:t xml:space="preserve"> </w:t>
      </w:r>
      <w:r>
        <w:t xml:space="preserve">are the two phrases most likely to conceal an unbuilt distributed-systems product.</w:t>
      </w:r>
    </w:p>
    <w:bookmarkEnd w:id="34"/>
    <w:bookmarkStart w:id="35" w:name="X4b6834e98f3d3c5a10ebf609176b598567f7322"/>
    <w:p>
      <w:pPr>
        <w:pStyle w:val="Heading2"/>
      </w:pPr>
      <w:r>
        <w:t xml:space="preserve">4.3 Separate product intent from technical proof</w:t>
      </w:r>
    </w:p>
    <w:p>
      <w:pPr>
        <w:pStyle w:val="FirstParagraph"/>
      </w:pPr>
      <w:r>
        <w:t xml:space="preserve">A product goal is not proof that the architecture can deliver it. For each feature, distinguish: desired product behavior; required technical capability; required source data; required integration; required algorithm; required governance; required testing; required operating process; required hardware; required accreditation.</w:t>
      </w:r>
    </w:p>
    <w:bookmarkEnd w:id="35"/>
    <w:bookmarkStart w:id="36" w:name="prefer-controlled-failure"/>
    <w:p>
      <w:pPr>
        <w:pStyle w:val="Heading2"/>
      </w:pPr>
      <w:r>
        <w:t xml:space="preserve">4.4 Prefer controlled failure</w:t>
      </w:r>
    </w:p>
    <w:p>
      <w:pPr>
        <w:pStyle w:val="FirstParagraph"/>
      </w:pPr>
      <w:r>
        <w:t xml:space="preserve">The system must fail safely and visibly rather than silently, inconsistently, or insecurely — including when the failure is</w:t>
      </w:r>
      <w:r>
        <w:t xml:space="preserve"> </w:t>
      </w:r>
      <w:r>
        <w:t xml:space="preserve">“</w:t>
      </w:r>
      <w:r>
        <w:t xml:space="preserve">the enclave has not received an update in 90 days</w:t>
      </w:r>
      <w:r>
        <w:t xml:space="preserve">”</w:t>
      </w:r>
      <w:r>
        <w:t xml:space="preserve"> </w:t>
      </w:r>
      <w:r>
        <w:t xml:space="preserve">or</w:t>
      </w:r>
      <w:r>
        <w:t xml:space="preserve"> </w:t>
      </w:r>
      <w:r>
        <w:t xml:space="preserve">“</w:t>
      </w:r>
      <w:r>
        <w:t xml:space="preserve">the local model is three versions behind the connected fleet.</w:t>
      </w:r>
      <w:r>
        <w:t xml:space="preserve">”</w:t>
      </w:r>
    </w:p>
    <w:bookmarkEnd w:id="36"/>
    <w:bookmarkStart w:id="37" w:name="no-module-is-trusted-by-default"/>
    <w:p>
      <w:pPr>
        <w:pStyle w:val="Heading2"/>
      </w:pPr>
      <w:r>
        <w:t xml:space="preserve">4.5 No module is trusted by default</w:t>
      </w:r>
    </w:p>
    <w:p>
      <w:pPr>
        <w:pStyle w:val="FirstParagraph"/>
      </w:pPr>
      <w:r>
        <w:t xml:space="preserve">Assume that:</w:t>
      </w:r>
    </w:p>
    <w:p>
      <w:pPr>
        <w:numPr>
          <w:ilvl w:val="0"/>
          <w:numId w:val="1021"/>
        </w:numPr>
        <w:pStyle w:val="Compact"/>
      </w:pPr>
      <w:r>
        <w:t xml:space="preserve">Tokens may be stolen</w:t>
      </w:r>
    </w:p>
    <w:p>
      <w:pPr>
        <w:numPr>
          <w:ilvl w:val="0"/>
          <w:numId w:val="1021"/>
        </w:numPr>
        <w:pStyle w:val="Compact"/>
      </w:pPr>
      <w:r>
        <w:t xml:space="preserve">Events may be duplicated</w:t>
      </w:r>
    </w:p>
    <w:p>
      <w:pPr>
        <w:numPr>
          <w:ilvl w:val="0"/>
          <w:numId w:val="1021"/>
        </w:numPr>
        <w:pStyle w:val="Compact"/>
      </w:pPr>
      <w:r>
        <w:t xml:space="preserve">LMS launches may be replayed</w:t>
      </w:r>
    </w:p>
    <w:p>
      <w:pPr>
        <w:numPr>
          <w:ilvl w:val="0"/>
          <w:numId w:val="1021"/>
        </w:numPr>
        <w:pStyle w:val="Compact"/>
      </w:pPr>
      <w:r>
        <w:t xml:space="preserve">Messages may arrive out of order</w:t>
      </w:r>
    </w:p>
    <w:p>
      <w:pPr>
        <w:numPr>
          <w:ilvl w:val="0"/>
          <w:numId w:val="1021"/>
        </w:numPr>
        <w:pStyle w:val="Compact"/>
      </w:pPr>
      <w:r>
        <w:t xml:space="preserve">Databases may be unavailable</w:t>
      </w:r>
    </w:p>
    <w:p>
      <w:pPr>
        <w:numPr>
          <w:ilvl w:val="0"/>
          <w:numId w:val="1021"/>
        </w:numPr>
        <w:pStyle w:val="Compact"/>
      </w:pPr>
      <w:r>
        <w:t xml:space="preserve">External APIs may change or be unreachable indefinitely (air-gap is the permanent version of this)</w:t>
      </w:r>
    </w:p>
    <w:p>
      <w:pPr>
        <w:numPr>
          <w:ilvl w:val="0"/>
          <w:numId w:val="1021"/>
        </w:numPr>
        <w:pStyle w:val="Compact"/>
      </w:pPr>
      <w:r>
        <w:t xml:space="preserve">AI models may hallucinate — and local open-weight models may hallucinate more than the hosted models used during development</w:t>
      </w:r>
    </w:p>
    <w:p>
      <w:pPr>
        <w:numPr>
          <w:ilvl w:val="0"/>
          <w:numId w:val="1021"/>
        </w:numPr>
        <w:pStyle w:val="Compact"/>
      </w:pPr>
      <w:r>
        <w:t xml:space="preserve">Mobile clients, simulators, and lab devices may operate offline for long periods</w:t>
      </w:r>
    </w:p>
    <w:p>
      <w:pPr>
        <w:numPr>
          <w:ilvl w:val="0"/>
          <w:numId w:val="1021"/>
        </w:numPr>
        <w:pStyle w:val="Compact"/>
      </w:pPr>
      <w:r>
        <w:t xml:space="preserve">Users may possess conflicting roles across tenants and commands</w:t>
      </w:r>
    </w:p>
    <w:p>
      <w:pPr>
        <w:numPr>
          <w:ilvl w:val="0"/>
          <w:numId w:val="1021"/>
        </w:numPr>
        <w:pStyle w:val="Compact"/>
      </w:pPr>
      <w:r>
        <w:t xml:space="preserve">Tenant and command boundaries may be misconfigured</w:t>
      </w:r>
    </w:p>
    <w:p>
      <w:pPr>
        <w:numPr>
          <w:ilvl w:val="0"/>
          <w:numId w:val="1021"/>
        </w:numPr>
        <w:pStyle w:val="Compact"/>
      </w:pPr>
      <w:r>
        <w:t xml:space="preserve">Grade transmissions may fail</w:t>
      </w:r>
    </w:p>
    <w:p>
      <w:pPr>
        <w:numPr>
          <w:ilvl w:val="0"/>
          <w:numId w:val="1021"/>
        </w:numPr>
        <w:pStyle w:val="Compact"/>
      </w:pPr>
      <w:r>
        <w:t xml:space="preserve">Reports may become stale</w:t>
      </w:r>
    </w:p>
    <w:p>
      <w:pPr>
        <w:numPr>
          <w:ilvl w:val="0"/>
          <w:numId w:val="1021"/>
        </w:numPr>
        <w:pStyle w:val="Compact"/>
      </w:pPr>
      <w:r>
        <w:t xml:space="preserve">Human reviewers may make mistakes</w:t>
      </w:r>
    </w:p>
    <w:p>
      <w:pPr>
        <w:numPr>
          <w:ilvl w:val="0"/>
          <w:numId w:val="1021"/>
        </w:numPr>
        <w:pStyle w:val="Compact"/>
      </w:pPr>
      <w:r>
        <w:t xml:space="preserve">Administrators may misuse permissions</w:t>
      </w:r>
    </w:p>
    <w:p>
      <w:pPr>
        <w:numPr>
          <w:ilvl w:val="0"/>
          <w:numId w:val="1021"/>
        </w:numPr>
        <w:pStyle w:val="Compact"/>
      </w:pPr>
      <w:r>
        <w:t xml:space="preserve">Data migrations may corrupt historical records</w:t>
      </w:r>
    </w:p>
    <w:p>
      <w:pPr>
        <w:numPr>
          <w:ilvl w:val="0"/>
          <w:numId w:val="1021"/>
        </w:numPr>
        <w:pStyle w:val="Compact"/>
      </w:pPr>
      <w:r>
        <w:t xml:space="preserve">Removable media used for air-gap transfer may carry malware or stale data</w:t>
      </w:r>
    </w:p>
    <w:p>
      <w:pPr>
        <w:numPr>
          <w:ilvl w:val="0"/>
          <w:numId w:val="1021"/>
        </w:numPr>
        <w:pStyle w:val="Compact"/>
      </w:pPr>
      <w:r>
        <w:t xml:space="preserve">Federated records may conflict, duplicate, or arrive years late</w:t>
      </w:r>
    </w:p>
    <w:p>
      <w:pPr>
        <w:numPr>
          <w:ilvl w:val="0"/>
          <w:numId w:val="1021"/>
        </w:numPr>
        <w:pStyle w:val="Compact"/>
      </w:pPr>
      <w:r>
        <w:t xml:space="preserve">Hardware in immersive labs may be damaged, unpatched, or cannibalized</w:t>
      </w:r>
    </w:p>
    <w:p>
      <w:pPr>
        <w:numPr>
          <w:ilvl w:val="0"/>
          <w:numId w:val="1021"/>
        </w:numPr>
        <w:pStyle w:val="Compact"/>
      </w:pPr>
      <w:r>
        <w:t xml:space="preserve">The accrediting authority may reject a control implementation late in the schedule</w:t>
      </w:r>
    </w:p>
    <w:bookmarkEnd w:id="37"/>
    <w:bookmarkStart w:id="38" w:name="X57930ba1b14299cf9ad4ef4fabc46e19a6402a0"/>
    <w:p>
      <w:pPr>
        <w:pStyle w:val="Heading2"/>
      </w:pPr>
      <w:r>
        <w:t xml:space="preserve">4.6 MOSA principles are testable requirements, not slogans</w:t>
      </w:r>
    </w:p>
    <w:p>
      <w:pPr>
        <w:pStyle w:val="FirstParagraph"/>
      </w:pPr>
      <w:r>
        <w:t xml:space="preserve">For every module boundary, require evidence of: severability (can it be removed/replaced without redesign?), open interface (is the contract published, versioned, and testable by a third party?), data rights (who owns the schemas, content, and models?), and competition readiness (could a different vendor implement this module from the interface documentation alone?). Any</w:t>
      </w:r>
      <w:r>
        <w:t xml:space="preserve"> </w:t>
      </w:r>
      <w:r>
        <w:t xml:space="preserve">“</w:t>
      </w:r>
      <w:r>
        <w:t xml:space="preserve">open</w:t>
      </w:r>
      <w:r>
        <w:t xml:space="preserve">”</w:t>
      </w:r>
      <w:r>
        <w:t xml:space="preserve"> </w:t>
      </w:r>
      <w:r>
        <w:t xml:space="preserve">interface that only the original developer can implement is closed.</w:t>
      </w:r>
    </w:p>
    <w:bookmarkEnd w:id="38"/>
    <w:bookmarkStart w:id="39" w:name="X888d510d9a9d8106e145722b27f56415f34a0c3"/>
    <w:p>
      <w:pPr>
        <w:pStyle w:val="Heading2"/>
      </w:pPr>
      <w:r>
        <w:t xml:space="preserve">4.7 Design for the most constrained environment first</w:t>
      </w:r>
    </w:p>
    <w:p>
      <w:pPr>
        <w:pStyle w:val="FirstParagraph"/>
      </w:pPr>
      <w:r>
        <w:t xml:space="preserve">A capability that only works connected is a partial capability. Evaluate every feature in air-gapped mode first; the connected mode is the easy case. Token-metered external AI APIs are a cost and availability risk even when connected; local inference capacity is the baseline, hosted models are an optimization.</w:t>
      </w:r>
    </w:p>
    <w:p>
      <w:r>
        <w:pict>
          <v:rect style="width:0;height:1.5pt" o:hralign="center" o:hrstd="t" o:hr="t"/>
        </w:pict>
      </w:r>
    </w:p>
    <w:bookmarkEnd w:id="39"/>
    <w:bookmarkEnd w:id="40"/>
    <w:bookmarkStart w:id="72" w:name="required-review-method"/>
    <w:p>
      <w:pPr>
        <w:pStyle w:val="Heading1"/>
      </w:pPr>
      <w:r>
        <w:t xml:space="preserve">5. REQUIRED REVIEW METHOD</w:t>
      </w:r>
    </w:p>
    <w:p>
      <w:pPr>
        <w:pStyle w:val="FirstParagraph"/>
      </w:pPr>
      <w:r>
        <w:t xml:space="preserve">Execute the assessment as a sequence of linked engineering loops. Each loop must produce: Findings; Evidence; Assumptions; Failure scenarios; Required modifications; Test methods; Acceptance criteria; Residual risk.</w:t>
      </w:r>
    </w:p>
    <w:p>
      <w:pPr>
        <w:pStyle w:val="BodyText"/>
      </w:pPr>
      <w:r>
        <w:t xml:space="preserve">Do not skip a loop merely because the system is at an early planning stage.</w:t>
      </w:r>
    </w:p>
    <w:bookmarkStart w:id="41" w:name="X2e1be1c0a05102cf4ca423af7394dd576ccccfc"/>
    <w:p>
      <w:pPr>
        <w:pStyle w:val="Heading2"/>
      </w:pPr>
      <w:r>
        <w:t xml:space="preserve">LOOP 1 — SYSTEM INTENT AND SUCCESS DEFINITION</w:t>
      </w:r>
    </w:p>
    <w:p>
      <w:pPr>
        <w:pStyle w:val="FirstParagraph"/>
      </w:pPr>
      <w:r>
        <w:t xml:space="preserve">Determine what EdVidura is intended to achieve, in both its commercial/education deployments and its defense-grade deployments.</w:t>
      </w:r>
    </w:p>
    <w:p>
      <w:pPr>
        <w:pStyle w:val="BodyText"/>
      </w:pPr>
      <w:r>
        <w:t xml:space="preserve">Evaluate whether the proposed product has clear definitions for:</w:t>
      </w:r>
    </w:p>
    <w:p>
      <w:pPr>
        <w:numPr>
          <w:ilvl w:val="0"/>
          <w:numId w:val="1022"/>
        </w:numPr>
        <w:pStyle w:val="Compact"/>
      </w:pPr>
      <w:r>
        <w:t xml:space="preserve">Primary users and primary customers per deployment model</w:t>
      </w:r>
    </w:p>
    <w:p>
      <w:pPr>
        <w:numPr>
          <w:ilvl w:val="0"/>
          <w:numId w:val="1022"/>
        </w:numPr>
        <w:pStyle w:val="Compact"/>
      </w:pPr>
      <w:r>
        <w:t xml:space="preserve">Supported LMS platforms</w:t>
      </w:r>
    </w:p>
    <w:p>
      <w:pPr>
        <w:numPr>
          <w:ilvl w:val="0"/>
          <w:numId w:val="1022"/>
        </w:numPr>
        <w:pStyle w:val="Compact"/>
      </w:pPr>
      <w:r>
        <w:t xml:space="preserve">Supported deployment models (all five in Section 2.4)</w:t>
      </w:r>
    </w:p>
    <w:p>
      <w:pPr>
        <w:numPr>
          <w:ilvl w:val="0"/>
          <w:numId w:val="1022"/>
        </w:numPr>
        <w:pStyle w:val="Compact"/>
      </w:pPr>
      <w:r>
        <w:t xml:space="preserve">Supported device types (including XR headsets, AR devices, lab workstations)</w:t>
      </w:r>
    </w:p>
    <w:p>
      <w:pPr>
        <w:numPr>
          <w:ilvl w:val="0"/>
          <w:numId w:val="1022"/>
        </w:numPr>
        <w:pStyle w:val="Compact"/>
      </w:pPr>
      <w:r>
        <w:t xml:space="preserve">Supported class sizes, number of tenants, commands, and concurrent users</w:t>
      </w:r>
    </w:p>
    <w:p>
      <w:pPr>
        <w:numPr>
          <w:ilvl w:val="0"/>
          <w:numId w:val="1022"/>
        </w:numPr>
        <w:pStyle w:val="Compact"/>
      </w:pPr>
      <w:r>
        <w:t xml:space="preserve">Supported learning-event volume (per site, per enclave, enterprise roll-up)</w:t>
      </w:r>
    </w:p>
    <w:p>
      <w:pPr>
        <w:numPr>
          <w:ilvl w:val="0"/>
          <w:numId w:val="1022"/>
        </w:numPr>
        <w:pStyle w:val="Compact"/>
      </w:pPr>
      <w:r>
        <w:t xml:space="preserve">Supported document volume and technical-manual corpus size</w:t>
      </w:r>
    </w:p>
    <w:p>
      <w:pPr>
        <w:numPr>
          <w:ilvl w:val="0"/>
          <w:numId w:val="1022"/>
        </w:numPr>
        <w:pStyle w:val="Compact"/>
      </w:pPr>
      <w:r>
        <w:t xml:space="preserve">Supported simulator package sizes and lab device-fleet sizes</w:t>
      </w:r>
    </w:p>
    <w:p>
      <w:pPr>
        <w:numPr>
          <w:ilvl w:val="0"/>
          <w:numId w:val="1022"/>
        </w:numPr>
        <w:pStyle w:val="Compact"/>
      </w:pPr>
      <w:r>
        <w:t xml:space="preserve">Supported geographic regions and data-sovereignty regimes</w:t>
      </w:r>
    </w:p>
    <w:p>
      <w:pPr>
        <w:numPr>
          <w:ilvl w:val="0"/>
          <w:numId w:val="1022"/>
        </w:numPr>
        <w:pStyle w:val="Compact"/>
      </w:pPr>
      <w:r>
        <w:t xml:space="preserve">Required uptime per deployment model (an air-gapped lab’s availability model differs from SaaS)</w:t>
      </w:r>
    </w:p>
    <w:p>
      <w:pPr>
        <w:numPr>
          <w:ilvl w:val="0"/>
          <w:numId w:val="1022"/>
        </w:numPr>
        <w:pStyle w:val="Compact"/>
      </w:pPr>
      <w:r>
        <w:t xml:space="preserve">Required response time, recovery time, data retention</w:t>
      </w:r>
    </w:p>
    <w:p>
      <w:pPr>
        <w:numPr>
          <w:ilvl w:val="0"/>
          <w:numId w:val="1022"/>
        </w:numPr>
        <w:pStyle w:val="Compact"/>
      </w:pPr>
      <w:r>
        <w:t xml:space="preserve">Required accessibility level</w:t>
      </w:r>
    </w:p>
    <w:p>
      <w:pPr>
        <w:numPr>
          <w:ilvl w:val="0"/>
          <w:numId w:val="1022"/>
        </w:numPr>
        <w:pStyle w:val="Compact"/>
      </w:pPr>
      <w:r>
        <w:t xml:space="preserve">Required compliance obligations (privacy law, defense accreditation, export control on models/content)</w:t>
      </w:r>
    </w:p>
    <w:p>
      <w:pPr>
        <w:numPr>
          <w:ilvl w:val="0"/>
          <w:numId w:val="1022"/>
        </w:numPr>
        <w:pStyle w:val="Compact"/>
      </w:pPr>
      <w:r>
        <w:t xml:space="preserve">Required auditability</w:t>
      </w:r>
    </w:p>
    <w:p>
      <w:pPr>
        <w:numPr>
          <w:ilvl w:val="0"/>
          <w:numId w:val="1022"/>
        </w:numPr>
        <w:pStyle w:val="Compact"/>
      </w:pPr>
      <w:r>
        <w:t xml:space="preserve">Required AI confidence and refusal behavior — separately for hosted and local models</w:t>
      </w:r>
    </w:p>
    <w:p>
      <w:pPr>
        <w:numPr>
          <w:ilvl w:val="0"/>
          <w:numId w:val="1022"/>
        </w:numPr>
        <w:pStyle w:val="Compact"/>
      </w:pPr>
      <w:r>
        <w:t xml:space="preserve">Target TLA CMM level per program phase, with measurable conformance criteria per level</w:t>
      </w:r>
    </w:p>
    <w:p>
      <w:pPr>
        <w:numPr>
          <w:ilvl w:val="0"/>
          <w:numId w:val="1022"/>
        </w:numPr>
        <w:pStyle w:val="Compact"/>
      </w:pPr>
      <w:r>
        <w:t xml:space="preserve">MOE definitions: what</w:t>
      </w:r>
      <w:r>
        <w:t xml:space="preserve"> </w:t>
      </w:r>
      <w:r>
        <w:t xml:space="preserve">“</w:t>
      </w:r>
      <w:r>
        <w:t xml:space="preserve">operational effectiveness</w:t>
      </w:r>
      <w:r>
        <w:t xml:space="preserve">”</w:t>
      </w:r>
      <w:r>
        <w:t xml:space="preserve"> </w:t>
      </w:r>
      <w:r>
        <w:t xml:space="preserve">and</w:t>
      </w:r>
      <w:r>
        <w:t xml:space="preserve"> </w:t>
      </w:r>
      <w:r>
        <w:t xml:space="preserve">“</w:t>
      </w:r>
      <w:r>
        <w:t xml:space="preserve">upgrade readiness acceleration</w:t>
      </w:r>
      <w:r>
        <w:t xml:space="preserve">”</w:t>
      </w:r>
      <w:r>
        <w:t xml:space="preserve"> </w:t>
      </w:r>
      <w:r>
        <w:t xml:space="preserve">mean numerically, who accepts the measurement plan (P3), and what baseline they are measured against</w:t>
      </w:r>
    </w:p>
    <w:p>
      <w:pPr>
        <w:pStyle w:val="FirstParagraph"/>
      </w:pPr>
      <w:r>
        <w:t xml:space="preserve">Identify goals that are ambiguous, non-measurable, contradictory, or technically unbounded. For every unclear goal, write a measurable replacement.</w:t>
      </w:r>
    </w:p>
    <w:p>
      <w:pPr>
        <w:pStyle w:val="BodyText"/>
      </w:pPr>
      <w:r>
        <w:t xml:space="preserve">Example — weak requirement:</w:t>
      </w:r>
      <w:r>
        <w:t xml:space="preserve"> </w:t>
      </w:r>
      <w:r>
        <w:t xml:space="preserve">“</w:t>
      </w:r>
      <w:r>
        <w:t xml:space="preserve">The dashboard should load quickly.</w:t>
      </w:r>
      <w:r>
        <w:t xml:space="preserve">”</w:t>
      </w:r>
      <w:r>
        <w:t xml:space="preserve"> </w:t>
      </w:r>
      <w:r>
        <w:t xml:space="preserve">Improved requirement:</w:t>
      </w:r>
      <w:r>
        <w:t xml:space="preserve"> </w:t>
      </w:r>
      <w:r>
        <w:t xml:space="preserve">“</w:t>
      </w:r>
      <w:r>
        <w:t xml:space="preserve">The teacher dashboard shall display cached summary data for a class of 2,000 learners within two seconds at the 95th percentile under 500 concurrent teacher sessions, in both connected and enclave deployments.</w:t>
      </w:r>
      <w:r>
        <w:t xml:space="preserve">”</w:t>
      </w:r>
    </w:p>
    <w:p>
      <w:pPr>
        <w:pStyle w:val="BodyText"/>
      </w:pPr>
      <w:r>
        <w:t xml:space="preserve">Example — weak requirement:</w:t>
      </w:r>
      <w:r>
        <w:t xml:space="preserve"> </w:t>
      </w:r>
      <w:r>
        <w:t xml:space="preserve">“</w:t>
      </w:r>
      <w:r>
        <w:t xml:space="preserve">The platform will reach TLA CMM Level 3.</w:t>
      </w:r>
      <w:r>
        <w:t xml:space="preserve">”</w:t>
      </w:r>
      <w:r>
        <w:t xml:space="preserve"> </w:t>
      </w:r>
      <w:r>
        <w:t xml:space="preserve">Improved requirement:</w:t>
      </w:r>
      <w:r>
        <w:t xml:space="preserve"> </w:t>
      </w:r>
      <w:r>
        <w:t xml:space="preserve">“</w:t>
      </w:r>
      <w:r>
        <w:t xml:space="preserve">By end of Phase N, learner profile and course catalogue records shall be exchanged between at least two independent systems using published TLA service contracts, verified by an independent conformance test suite, with zero manual data re-entry.</w:t>
      </w:r>
      <w:r>
        <w:t xml:space="preserve">”</w:t>
      </w:r>
    </w:p>
    <w:bookmarkEnd w:id="41"/>
    <w:bookmarkStart w:id="42" w:name="X675f5b2c8ec09390629a0c0b031a304c0fbf11c"/>
    <w:p>
      <w:pPr>
        <w:pStyle w:val="Heading2"/>
      </w:pPr>
      <w:r>
        <w:t xml:space="preserve">LOOP 2 — STAKEHOLDER AND USER-JOURNEY STRESS TEST</w:t>
      </w:r>
    </w:p>
    <w:p>
      <w:pPr>
        <w:pStyle w:val="FirstParagraph"/>
      </w:pPr>
      <w:r>
        <w:t xml:space="preserve">Map end-to-end journeys for:</w:t>
      </w:r>
    </w:p>
    <w:p>
      <w:pPr>
        <w:numPr>
          <w:ilvl w:val="0"/>
          <w:numId w:val="1023"/>
        </w:numPr>
        <w:pStyle w:val="Compact"/>
      </w:pPr>
      <w:r>
        <w:t xml:space="preserve">Student / trainee</w:t>
      </w:r>
    </w:p>
    <w:p>
      <w:pPr>
        <w:numPr>
          <w:ilvl w:val="0"/>
          <w:numId w:val="1023"/>
        </w:numPr>
        <w:pStyle w:val="Compact"/>
      </w:pPr>
      <w:r>
        <w:t xml:space="preserve">Teacher / instructor</w:t>
      </w:r>
    </w:p>
    <w:p>
      <w:pPr>
        <w:numPr>
          <w:ilvl w:val="0"/>
          <w:numId w:val="1023"/>
        </w:numPr>
        <w:pStyle w:val="Compact"/>
      </w:pPr>
      <w:r>
        <w:t xml:space="preserve">Supervisor / commander</w:t>
      </w:r>
    </w:p>
    <w:p>
      <w:pPr>
        <w:numPr>
          <w:ilvl w:val="0"/>
          <w:numId w:val="1023"/>
        </w:numPr>
        <w:pStyle w:val="Compact"/>
      </w:pPr>
      <w:r>
        <w:t xml:space="preserve">Organization administrator</w:t>
      </w:r>
    </w:p>
    <w:p>
      <w:pPr>
        <w:numPr>
          <w:ilvl w:val="0"/>
          <w:numId w:val="1023"/>
        </w:numPr>
        <w:pStyle w:val="Compact"/>
      </w:pPr>
      <w:r>
        <w:t xml:space="preserve">Platform administrator</w:t>
      </w:r>
    </w:p>
    <w:p>
      <w:pPr>
        <w:numPr>
          <w:ilvl w:val="0"/>
          <w:numId w:val="1023"/>
        </w:numPr>
        <w:pStyle w:val="Compact"/>
      </w:pPr>
      <w:r>
        <w:t xml:space="preserve">Content author (DCT user)</w:t>
      </w:r>
    </w:p>
    <w:p>
      <w:pPr>
        <w:numPr>
          <w:ilvl w:val="0"/>
          <w:numId w:val="1023"/>
        </w:numPr>
        <w:pStyle w:val="Compact"/>
      </w:pPr>
      <w:r>
        <w:t xml:space="preserve">SME supporting authoring (with M23 assistance)</w:t>
      </w:r>
    </w:p>
    <w:p>
      <w:pPr>
        <w:numPr>
          <w:ilvl w:val="0"/>
          <w:numId w:val="1023"/>
        </w:numPr>
        <w:pStyle w:val="Compact"/>
      </w:pPr>
      <w:r>
        <w:t xml:space="preserve">Assessment reviewer</w:t>
      </w:r>
    </w:p>
    <w:p>
      <w:pPr>
        <w:numPr>
          <w:ilvl w:val="0"/>
          <w:numId w:val="1023"/>
        </w:numPr>
        <w:pStyle w:val="Compact"/>
      </w:pPr>
      <w:r>
        <w:t xml:space="preserve">SME reviewer (competency mapping approval)</w:t>
      </w:r>
    </w:p>
    <w:p>
      <w:pPr>
        <w:numPr>
          <w:ilvl w:val="0"/>
          <w:numId w:val="1023"/>
        </w:numPr>
        <w:pStyle w:val="Compact"/>
      </w:pPr>
      <w:r>
        <w:t xml:space="preserve">Data analyst</w:t>
      </w:r>
    </w:p>
    <w:p>
      <w:pPr>
        <w:numPr>
          <w:ilvl w:val="0"/>
          <w:numId w:val="1023"/>
        </w:numPr>
        <w:pStyle w:val="Compact"/>
      </w:pPr>
      <w:r>
        <w:t xml:space="preserve">Support engineer</w:t>
      </w:r>
    </w:p>
    <w:p>
      <w:pPr>
        <w:numPr>
          <w:ilvl w:val="0"/>
          <w:numId w:val="1023"/>
        </w:numPr>
        <w:pStyle w:val="Compact"/>
      </w:pPr>
      <w:r>
        <w:t xml:space="preserve">Security auditor / assessor (ATO evidence consumer)</w:t>
      </w:r>
    </w:p>
    <w:p>
      <w:pPr>
        <w:numPr>
          <w:ilvl w:val="0"/>
          <w:numId w:val="1023"/>
        </w:numPr>
        <w:pStyle w:val="Compact"/>
      </w:pPr>
      <w:r>
        <w:t xml:space="preserve">Simulator publisher</w:t>
      </w:r>
    </w:p>
    <w:p>
      <w:pPr>
        <w:numPr>
          <w:ilvl w:val="0"/>
          <w:numId w:val="1023"/>
        </w:numPr>
        <w:pStyle w:val="Compact"/>
      </w:pPr>
      <w:r>
        <w:t xml:space="preserve">Immersive-lab technician (device fleet, local services)</w:t>
      </w:r>
    </w:p>
    <w:p>
      <w:pPr>
        <w:numPr>
          <w:ilvl w:val="0"/>
          <w:numId w:val="1023"/>
        </w:numPr>
        <w:pStyle w:val="Compact"/>
      </w:pPr>
      <w:r>
        <w:t xml:space="preserve">Mobile learner (microlearning app)</w:t>
      </w:r>
    </w:p>
    <w:p>
      <w:pPr>
        <w:numPr>
          <w:ilvl w:val="0"/>
          <w:numId w:val="1023"/>
        </w:numPr>
        <w:pStyle w:val="Compact"/>
      </w:pPr>
      <w:r>
        <w:t xml:space="preserve">Offline learner</w:t>
      </w:r>
    </w:p>
    <w:p>
      <w:pPr>
        <w:numPr>
          <w:ilvl w:val="0"/>
          <w:numId w:val="1023"/>
        </w:numPr>
        <w:pStyle w:val="Compact"/>
      </w:pPr>
      <w:r>
        <w:t xml:space="preserve">Accessibility user</w:t>
      </w:r>
    </w:p>
    <w:p>
      <w:pPr>
        <w:numPr>
          <w:ilvl w:val="0"/>
          <w:numId w:val="1023"/>
        </w:numPr>
        <w:pStyle w:val="Compact"/>
      </w:pPr>
      <w:r>
        <w:t xml:space="preserve">Embedded SME / train-the-trainer lead (P4)</w:t>
      </w:r>
    </w:p>
    <w:p>
      <w:pPr>
        <w:numPr>
          <w:ilvl w:val="0"/>
          <w:numId w:val="1023"/>
        </w:numPr>
        <w:pStyle w:val="Compact"/>
      </w:pPr>
      <w:r>
        <w:t xml:space="preserve">Technical-order/manual manager (M25 source-document owner)</w:t>
      </w:r>
    </w:p>
    <w:p>
      <w:pPr>
        <w:numPr>
          <w:ilvl w:val="0"/>
          <w:numId w:val="1023"/>
        </w:numPr>
        <w:pStyle w:val="Compact"/>
      </w:pPr>
      <w:r>
        <w:t xml:space="preserve">MOE observer/evaluator (M38 user)</w:t>
      </w:r>
    </w:p>
    <w:p>
      <w:pPr>
        <w:pStyle w:val="FirstParagraph"/>
      </w:pPr>
      <w:r>
        <w:t xml:space="preserve">At minimum, stress-test these journeys:</w:t>
      </w:r>
    </w:p>
    <w:p>
      <w:pPr>
        <w:numPr>
          <w:ilvl w:val="0"/>
          <w:numId w:val="1024"/>
        </w:numPr>
        <w:pStyle w:val="Compact"/>
      </w:pPr>
      <w:r>
        <w:t xml:space="preserve">LMS launch into an EdVidura tool</w:t>
      </w:r>
    </w:p>
    <w:p>
      <w:pPr>
        <w:numPr>
          <w:ilvl w:val="0"/>
          <w:numId w:val="1024"/>
        </w:numPr>
        <w:pStyle w:val="Compact"/>
      </w:pPr>
      <w:r>
        <w:t xml:space="preserve">Student completes a quiz</w:t>
      </w:r>
    </w:p>
    <w:p>
      <w:pPr>
        <w:numPr>
          <w:ilvl w:val="0"/>
          <w:numId w:val="1024"/>
        </w:numPr>
        <w:pStyle w:val="Compact"/>
      </w:pPr>
      <w:r>
        <w:t xml:space="preserve">Quiz sends score to the LMS gradebook</w:t>
      </w:r>
    </w:p>
    <w:p>
      <w:pPr>
        <w:numPr>
          <w:ilvl w:val="0"/>
          <w:numId w:val="1024"/>
        </w:numPr>
        <w:pStyle w:val="Compact"/>
      </w:pPr>
      <w:r>
        <w:t xml:space="preserve">Quiz sends xAPI events to the Learning-data API</w:t>
      </w:r>
    </w:p>
    <w:p>
      <w:pPr>
        <w:numPr>
          <w:ilvl w:val="0"/>
          <w:numId w:val="1024"/>
        </w:numPr>
        <w:pStyle w:val="Compact"/>
      </w:pPr>
      <w:r>
        <w:t xml:space="preserve">Teacher opens a dashboard</w:t>
      </w:r>
    </w:p>
    <w:p>
      <w:pPr>
        <w:numPr>
          <w:ilvl w:val="0"/>
          <w:numId w:val="1024"/>
        </w:numPr>
        <w:pStyle w:val="Compact"/>
      </w:pPr>
      <w:r>
        <w:t xml:space="preserve">At-risk engine / PLE produces a learner alert</w:t>
      </w:r>
    </w:p>
    <w:p>
      <w:pPr>
        <w:numPr>
          <w:ilvl w:val="0"/>
          <w:numId w:val="1024"/>
        </w:numPr>
        <w:pStyle w:val="Compact"/>
      </w:pPr>
      <w:r>
        <w:t xml:space="preserve">Adaptive lessons modify a learning path</w:t>
      </w:r>
    </w:p>
    <w:p>
      <w:pPr>
        <w:numPr>
          <w:ilvl w:val="0"/>
          <w:numId w:val="1024"/>
        </w:numPr>
        <w:pStyle w:val="Compact"/>
      </w:pPr>
      <w:r>
        <w:t xml:space="preserve">Skill test writes an official competency record against a Competency Registry definition</w:t>
      </w:r>
    </w:p>
    <w:p>
      <w:pPr>
        <w:numPr>
          <w:ilvl w:val="0"/>
          <w:numId w:val="1024"/>
        </w:numPr>
        <w:pStyle w:val="Compact"/>
      </w:pPr>
      <w:r>
        <w:t xml:space="preserve">Gap/difference training creates a recommended learning path from a competency delta</w:t>
      </w:r>
    </w:p>
    <w:p>
      <w:pPr>
        <w:numPr>
          <w:ilvl w:val="0"/>
          <w:numId w:val="1024"/>
        </w:numPr>
        <w:pStyle w:val="Compact"/>
      </w:pPr>
      <w:r>
        <w:t xml:space="preserve">Expert chatbot answers from approved manuals — in an air-gapped enclave, on a local model</w:t>
      </w:r>
    </w:p>
    <w:p>
      <w:pPr>
        <w:numPr>
          <w:ilvl w:val="0"/>
          <w:numId w:val="1024"/>
        </w:numPr>
        <w:pStyle w:val="Compact"/>
      </w:pPr>
      <w:r>
        <w:t xml:space="preserve">Simulator store installs and launches a simulator</w:t>
      </w:r>
    </w:p>
    <w:p>
      <w:pPr>
        <w:numPr>
          <w:ilvl w:val="0"/>
          <w:numId w:val="1024"/>
        </w:numPr>
        <w:pStyle w:val="Compact"/>
      </w:pPr>
      <w:r>
        <w:t xml:space="preserve">Offline simulator stores events and later synchronizes them</w:t>
      </w:r>
    </w:p>
    <w:p>
      <w:pPr>
        <w:numPr>
          <w:ilvl w:val="0"/>
          <w:numId w:val="1024"/>
        </w:numPr>
        <w:pStyle w:val="Compact"/>
      </w:pPr>
      <w:r>
        <w:t xml:space="preserve">Tenant administrator removes a user</w:t>
      </w:r>
    </w:p>
    <w:p>
      <w:pPr>
        <w:numPr>
          <w:ilvl w:val="0"/>
          <w:numId w:val="1024"/>
        </w:numPr>
        <w:pStyle w:val="Compact"/>
      </w:pPr>
      <w:r>
        <w:t xml:space="preserve">A source technical manual is revised: M25 detects it, affected eBooks/chunks/lessons are flagged, re-published, and stale chatbot retrieval is prevented</w:t>
      </w:r>
    </w:p>
    <w:p>
      <w:pPr>
        <w:numPr>
          <w:ilvl w:val="0"/>
          <w:numId w:val="1024"/>
        </w:numPr>
        <w:pStyle w:val="Compact"/>
      </w:pPr>
      <w:r>
        <w:t xml:space="preserve">A student disputes a grade or official skill record</w:t>
      </w:r>
    </w:p>
    <w:p>
      <w:pPr>
        <w:numPr>
          <w:ilvl w:val="0"/>
          <w:numId w:val="1024"/>
        </w:numPr>
        <w:pStyle w:val="Compact"/>
      </w:pPr>
      <w:r>
        <w:t xml:space="preserve">An author builds a lesson in the DCT with SME-chatbot support, passes the Pedagogy Design Review Protocol (P2), and publishes to the ECC</w:t>
      </w:r>
    </w:p>
    <w:p>
      <w:pPr>
        <w:numPr>
          <w:ilvl w:val="0"/>
          <w:numId w:val="1024"/>
        </w:numPr>
        <w:pStyle w:val="Compact"/>
      </w:pPr>
      <w:r>
        <w:t xml:space="preserve">A learner completes a guided procedure in the Procedural Walkthrough Engine; actions are captured, scored, logged, and reported; evidence flows to the competency record</w:t>
      </w:r>
    </w:p>
    <w:p>
      <w:pPr>
        <w:numPr>
          <w:ilvl w:val="0"/>
          <w:numId w:val="1024"/>
        </w:numPr>
        <w:pStyle w:val="Compact"/>
      </w:pPr>
      <w:r>
        <w:t xml:space="preserve">A learner’s records roll up from a lab LRS through the Cross-Command Data Pipeline to the enterprise ELRR, crossing an air-gap boundary via a controlled transfer</w:t>
      </w:r>
    </w:p>
    <w:p>
      <w:pPr>
        <w:numPr>
          <w:ilvl w:val="0"/>
          <w:numId w:val="1024"/>
        </w:numPr>
        <w:pStyle w:val="Compact"/>
      </w:pPr>
      <w:r>
        <w:t xml:space="preserve">An MOE observer uses the AR application to record task performance and the measurement lands in the analytics suite</w:t>
      </w:r>
    </w:p>
    <w:p>
      <w:pPr>
        <w:numPr>
          <w:ilvl w:val="0"/>
          <w:numId w:val="1024"/>
        </w:numPr>
        <w:pStyle w:val="Compact"/>
      </w:pPr>
      <w:r>
        <w:t xml:space="preserve">A microlearning session completes on a phone with no connectivity and reconciles a week later</w:t>
      </w:r>
    </w:p>
    <w:p>
      <w:pPr>
        <w:numPr>
          <w:ilvl w:val="0"/>
          <w:numId w:val="1024"/>
        </w:numPr>
        <w:pStyle w:val="Compact"/>
      </w:pPr>
      <w:r>
        <w:t xml:space="preserve">A lab technician re-images ten XR headsets and restores their enrollment, content, and pending events</w:t>
      </w:r>
    </w:p>
    <w:p>
      <w:pPr>
        <w:numPr>
          <w:ilvl w:val="0"/>
          <w:numId w:val="1024"/>
        </w:numPr>
        <w:pStyle w:val="Compact"/>
      </w:pPr>
      <w:r>
        <w:t xml:space="preserve">An assessor requests audit evidence for an official competency record created two years earlier (model version, rubric version, human approver, source events)</w:t>
      </w:r>
    </w:p>
    <w:p>
      <w:pPr>
        <w:pStyle w:val="FirstParagraph"/>
      </w:pPr>
      <w:r>
        <w:t xml:space="preserve">For every journey, document: entry point; identity context; role and permission checks; modules involved; APIs called; events produced; databases touched; external dependencies; expected response; timeout behavior; retry behavior; duplicate handling; error communication; audit records; recovery process; and behavior in each deployment model of Section 2.4.</w:t>
      </w:r>
    </w:p>
    <w:p>
      <w:pPr>
        <w:pStyle w:val="BodyText"/>
      </w:pPr>
      <w:r>
        <w:t xml:space="preserve">Identify journeys where ownership crosses module boundaries without a clear transaction or recovery model, and journeys that silently assume connectivity.</w:t>
      </w:r>
    </w:p>
    <w:bookmarkEnd w:id="42"/>
    <w:bookmarkStart w:id="43" w:name="X3e2cbd955eed32d9e94a0462a66f21a5c6e7518"/>
    <w:p>
      <w:pPr>
        <w:pStyle w:val="Heading2"/>
      </w:pPr>
      <w:r>
        <w:t xml:space="preserve">LOOP 3 — MODULE BOUNDARY AND RESPONSIBILITY AUDIT</w:t>
      </w:r>
    </w:p>
    <w:p>
      <w:pPr>
        <w:pStyle w:val="FirstParagraph"/>
      </w:pPr>
      <w:r>
        <w:t xml:space="preserve">For each module M1–M38 and program deliverable P1–P6, evaluate: single responsibility; inputs; outputs; public APIs; private data; owned business rules; dependencies; failure modes; scaling behavior; security boundary; observability; deployment independence; upgrade independence; testability; data ownership; operational owner.</w:t>
      </w:r>
    </w:p>
    <w:p>
      <w:pPr>
        <w:pStyle w:val="BodyText"/>
      </w:pPr>
      <w:r>
        <w:t xml:space="preserve">Identify: overlapping responsibilities (especially the M15/M26, M8/M27, M11/M13/M28, M12/M29, M14/M36, M9/M24, M16/M32, M6/M10/M30 pairs); missing responsibilities; circular dependencies; shared-database risks; hidden coupling; chatty service interactions; modules that are too broad or too small; functions assigned to the wrong module; business rules duplicated across modules.</w:t>
      </w:r>
    </w:p>
    <w:p>
      <w:pPr>
        <w:pStyle w:val="BodyText"/>
      </w:pPr>
      <w:r>
        <w:t xml:space="preserve">Challenge whether the following should be modules, shared platform capabilities, libraries, or managed services: authentication; authorization; tenant/command resolution; event validation; audit logging; notification delivery; search; file conversion; AI inference (a shared local-inference service consumed by M22/M23/M26/M27/M28/M35 vs per-module models); content moderation; grade transmission; offline synchronization; store-and-forward transport; competency-framework resolution; content metadata tagging; feature flags; configuration management; secrets management; metrics and tracing.</w:t>
      </w:r>
    </w:p>
    <w:p>
      <w:pPr>
        <w:pStyle w:val="BodyText"/>
      </w:pPr>
      <w:r>
        <w:t xml:space="preserve">Produce a revised responsibility matrix covering all modules and explicitly resolving each extends/overlaps pair in Section 2.2.</w:t>
      </w:r>
    </w:p>
    <w:bookmarkEnd w:id="43"/>
    <w:bookmarkStart w:id="44" w:name="X30495f9eaeee774a791bb66f0a4a1bb45796126"/>
    <w:p>
      <w:pPr>
        <w:pStyle w:val="Heading2"/>
      </w:pPr>
      <w:r>
        <w:t xml:space="preserve">LOOP 4 — DEPENDENCY AND BUILD-SEQUENCE CHALLENGE</w:t>
      </w:r>
    </w:p>
    <w:p>
      <w:pPr>
        <w:pStyle w:val="FirstParagraph"/>
      </w:pPr>
      <w:r>
        <w:t xml:space="preserve">Evaluate the proposed phased build order, including the program-level sequence implied by the deliverable list (ATO initiation early; TLA CMM Level 2 before Level 3 before Level 5; DCT and manuals integration before personalization at scale; labs and field apps mid-program; integration, acceptance, and final report last).</w:t>
      </w:r>
    </w:p>
    <w:p>
      <w:pPr>
        <w:pStyle w:val="BodyText"/>
      </w:pPr>
      <w:r>
        <w:t xml:space="preserve">Test whether the sequence produces usable vertical slices or merely creates infrastructure without validated user value.</w:t>
      </w:r>
    </w:p>
    <w:p>
      <w:pPr>
        <w:pStyle w:val="BodyText"/>
      </w:pPr>
      <w:r>
        <w:t xml:space="preserve">Challenge assumptions such as:</w:t>
      </w:r>
    </w:p>
    <w:p>
      <w:pPr>
        <w:numPr>
          <w:ilvl w:val="0"/>
          <w:numId w:val="1025"/>
        </w:numPr>
        <w:pStyle w:val="Compact"/>
      </w:pPr>
      <w:r>
        <w:t xml:space="preserve">All foundation modules must be completed before learner-facing features</w:t>
      </w:r>
    </w:p>
    <w:p>
      <w:pPr>
        <w:numPr>
          <w:ilvl w:val="0"/>
          <w:numId w:val="1025"/>
        </w:numPr>
        <w:pStyle w:val="Compact"/>
      </w:pPr>
      <w:r>
        <w:t xml:space="preserve">M3 should be the first production code</w:t>
      </w:r>
    </w:p>
    <w:p>
      <w:pPr>
        <w:numPr>
          <w:ilvl w:val="0"/>
          <w:numId w:val="1025"/>
        </w:numPr>
        <w:pStyle w:val="Compact"/>
      </w:pPr>
      <w:r>
        <w:t xml:space="preserve">Reports can be postponed without affecting event design</w:t>
      </w:r>
    </w:p>
    <w:p>
      <w:pPr>
        <w:numPr>
          <w:ilvl w:val="0"/>
          <w:numId w:val="1025"/>
        </w:numPr>
        <w:pStyle w:val="Compact"/>
      </w:pPr>
      <w:r>
        <w:t xml:space="preserve">The Course connector can be developed after the API without changing the event model</w:t>
      </w:r>
    </w:p>
    <w:p>
      <w:pPr>
        <w:numPr>
          <w:ilvl w:val="0"/>
          <w:numId w:val="1025"/>
        </w:numPr>
        <w:pStyle w:val="Compact"/>
      </w:pPr>
      <w:r>
        <w:t xml:space="preserve">Adaptive learning can be added later without redesigning content metadata</w:t>
      </w:r>
    </w:p>
    <w:p>
      <w:pPr>
        <w:numPr>
          <w:ilvl w:val="0"/>
          <w:numId w:val="1025"/>
        </w:numPr>
        <w:pStyle w:val="Compact"/>
      </w:pPr>
      <w:r>
        <w:t xml:space="preserve">Multi-tenancy can be added incrementally</w:t>
      </w:r>
    </w:p>
    <w:p>
      <w:pPr>
        <w:numPr>
          <w:ilvl w:val="0"/>
          <w:numId w:val="1025"/>
        </w:numPr>
        <w:pStyle w:val="Compact"/>
      </w:pPr>
      <w:r>
        <w:t xml:space="preserve">Accessibility can be tested after feature completion</w:t>
      </w:r>
    </w:p>
    <w:p>
      <w:pPr>
        <w:numPr>
          <w:ilvl w:val="0"/>
          <w:numId w:val="1025"/>
        </w:numPr>
        <w:pStyle w:val="Compact"/>
      </w:pPr>
      <w:r>
        <w:t xml:space="preserve">AI modules can be attached without changing governance or data models</w:t>
      </w:r>
    </w:p>
    <w:p>
      <w:pPr>
        <w:numPr>
          <w:ilvl w:val="0"/>
          <w:numId w:val="1025"/>
        </w:numPr>
        <w:pStyle w:val="Compact"/>
      </w:pPr>
      <w:r>
        <w:t xml:space="preserve">Offline simulator support can be added near the end</w:t>
      </w:r>
    </w:p>
    <w:p>
      <w:pPr>
        <w:numPr>
          <w:ilvl w:val="0"/>
          <w:numId w:val="1025"/>
        </w:numPr>
        <w:pStyle w:val="Compact"/>
      </w:pPr>
      <w:r>
        <w:t xml:space="preserve">The Competency Registry (M19) can be defined after assessment modules are built (it cannot — M12/M14/M27/M29/M36 all depend on its schema)</w:t>
      </w:r>
    </w:p>
    <w:p>
      <w:pPr>
        <w:numPr>
          <w:ilvl w:val="0"/>
          <w:numId w:val="1025"/>
        </w:numPr>
        <w:pStyle w:val="Compact"/>
      </w:pPr>
      <w:r>
        <w:t xml:space="preserve">The ECC (M18) can be populated after content is authored (metadata retrofitting is a known failure pattern)</w:t>
      </w:r>
    </w:p>
    <w:p>
      <w:pPr>
        <w:numPr>
          <w:ilvl w:val="0"/>
          <w:numId w:val="1025"/>
        </w:numPr>
        <w:pStyle w:val="Compact"/>
      </w:pPr>
      <w:r>
        <w:t xml:space="preserve">ATO work (P1) can start after the architecture stabilizes (accreditation requirements shape the architecture; starting late forces redesign)</w:t>
      </w:r>
    </w:p>
    <w:p>
      <w:pPr>
        <w:numPr>
          <w:ilvl w:val="0"/>
          <w:numId w:val="1025"/>
        </w:numPr>
        <w:pStyle w:val="Compact"/>
      </w:pPr>
      <w:r>
        <w:t xml:space="preserve">Air-gap support can be</w:t>
      </w:r>
      <w:r>
        <w:t xml:space="preserve"> </w:t>
      </w:r>
      <w:r>
        <w:t xml:space="preserve">“</w:t>
      </w:r>
      <w:r>
        <w:t xml:space="preserve">ported</w:t>
      </w:r>
      <w:r>
        <w:t xml:space="preserve">”</w:t>
      </w:r>
      <w:r>
        <w:t xml:space="preserve"> </w:t>
      </w:r>
      <w:r>
        <w:t xml:space="preserve">after the connected version works (connectivity assumptions metastasize; the enclave build must exist from the first vertical slice)</w:t>
      </w:r>
    </w:p>
    <w:p>
      <w:pPr>
        <w:numPr>
          <w:ilvl w:val="0"/>
          <w:numId w:val="1025"/>
        </w:numPr>
        <w:pStyle w:val="Compact"/>
      </w:pPr>
      <w:r>
        <w:t xml:space="preserve">Federation (M17/M31) can be a late add-on to a single-tenant LRS design</w:t>
      </w:r>
    </w:p>
    <w:p>
      <w:pPr>
        <w:numPr>
          <w:ilvl w:val="0"/>
          <w:numId w:val="1025"/>
        </w:numPr>
        <w:pStyle w:val="Compact"/>
      </w:pPr>
      <w:r>
        <w:t xml:space="preserve">Hardware labs (M33/M34) can be provisioned in parallel without a reference lab validated first</w:t>
      </w:r>
    </w:p>
    <w:p>
      <w:pPr>
        <w:pStyle w:val="FirstParagraph"/>
      </w:pPr>
      <w:r>
        <w:t xml:space="preserve">Recommend a revised build strategy based on vertical slices. For example:</w:t>
      </w:r>
    </w:p>
    <w:p>
      <w:pPr>
        <w:pStyle w:val="BodyText"/>
      </w:pPr>
      <w:r>
        <w:t xml:space="preserve">Vertical Slice A — authentication; one LMS launch; one quiz; one xAPI event through M3; one grade return; one teacher report; full audit trail — deployed identically in a connected environment AND a simulated enclave.</w:t>
      </w:r>
    </w:p>
    <w:p>
      <w:pPr>
        <w:pStyle w:val="BodyText"/>
      </w:pPr>
      <w:r>
        <w:t xml:space="preserve">Vertical Slice B — interactive eBook from one digitized technical manual (M24 pipeline end to end, including M25 revision detection); accessibility verified; reading events; dashboard visualization; tenant isolation.</w:t>
      </w:r>
    </w:p>
    <w:p>
      <w:pPr>
        <w:pStyle w:val="BodyText"/>
      </w:pPr>
      <w:r>
        <w:t xml:space="preserve">Vertical Slice C — skill assessment against one Competency Registry framework (M19 live); official record approval; gap calculation; supervisor review; audit evidence chain.</w:t>
      </w:r>
    </w:p>
    <w:p>
      <w:pPr>
        <w:pStyle w:val="BodyText"/>
      </w:pPr>
      <w:r>
        <w:t xml:space="preserve">Vertical Slice D — learner-facing SME chatbot on a local model over the Slice B manual corpus, with citations, refusal behavior, and evaluation harness, running on the target GPU appliance class.</w:t>
      </w:r>
    </w:p>
    <w:p>
      <w:pPr>
        <w:pStyle w:val="BodyText"/>
      </w:pPr>
      <w:r>
        <w:t xml:space="preserve">Vertical Slice E — one lab-deployed XR title: store install, offline event capture, store-and-forward sync, ELRR roll-up through the cross-command pipeline.</w:t>
      </w:r>
    </w:p>
    <w:p>
      <w:pPr>
        <w:pStyle w:val="BodyText"/>
      </w:pPr>
      <w:r>
        <w:t xml:space="preserve">Explain why each vertical slice provides stronger architectural validation than building isolated infrastructure layers, and map every program deliverable to the slice or phase where its acceptance evidence is produced.</w:t>
      </w:r>
    </w:p>
    <w:bookmarkEnd w:id="44"/>
    <w:bookmarkStart w:id="45" w:name="loop-5-assumption-register"/>
    <w:p>
      <w:pPr>
        <w:pStyle w:val="Heading2"/>
      </w:pPr>
      <w:r>
        <w:t xml:space="preserve">LOOP 5 — ASSUMPTION REGISTER</w:t>
      </w:r>
    </w:p>
    <w:p>
      <w:pPr>
        <w:pStyle w:val="FirstParagraph"/>
      </w:pPr>
      <w:r>
        <w:t xml:space="preserve">Create a detailed assumption register. For every assumption, include: Assumption ID; Statement; Source; Why the assumption exists; Systems affected; Confidence level; Evidence available; Failure consequence; Validation method; Owner; Validation deadline; Decision if disproven.</w:t>
      </w:r>
    </w:p>
    <w:p>
      <w:pPr>
        <w:pStyle w:val="BodyText"/>
      </w:pPr>
      <w:r>
        <w:t xml:space="preserve">At minimum, inspect assumptions regarding:</w:t>
      </w:r>
    </w:p>
    <w:p>
      <w:pPr>
        <w:pStyle w:val="BodyText"/>
      </w:pPr>
      <w:r>
        <w:rPr>
          <w:bCs/>
          <w:b/>
        </w:rPr>
        <w:t xml:space="preserve">Technical assumptions</w:t>
      </w:r>
    </w:p>
    <w:p>
      <w:pPr>
        <w:numPr>
          <w:ilvl w:val="0"/>
          <w:numId w:val="1026"/>
        </w:numPr>
        <w:pStyle w:val="Compact"/>
      </w:pPr>
      <w:r>
        <w:t xml:space="preserve">Keycloak supports all required tenant, command, and role models — including enclave-local operation and cross-enclave identity mapping</w:t>
      </w:r>
    </w:p>
    <w:p>
      <w:pPr>
        <w:numPr>
          <w:ilvl w:val="0"/>
          <w:numId w:val="1026"/>
        </w:numPr>
        <w:pStyle w:val="Compact"/>
      </w:pPr>
      <w:r>
        <w:t xml:space="preserve">The selected LRS supports expected scale and query patterns, and can federate/roll up to an ELRR</w:t>
      </w:r>
    </w:p>
    <w:p>
      <w:pPr>
        <w:numPr>
          <w:ilvl w:val="0"/>
          <w:numId w:val="1026"/>
        </w:numPr>
        <w:pStyle w:val="Compact"/>
      </w:pPr>
      <w:r>
        <w:t xml:space="preserve">xAPI alone can represent all required learning, procedural-walkthrough, and competency data (xAPI profiles needed; MOM/CASS interplay)</w:t>
      </w:r>
    </w:p>
    <w:p>
      <w:pPr>
        <w:numPr>
          <w:ilvl w:val="0"/>
          <w:numId w:val="1026"/>
        </w:numPr>
        <w:pStyle w:val="Compact"/>
      </w:pPr>
      <w:r>
        <w:t xml:space="preserve">LTI 1.3 implementations behave consistently across LMS platforms</w:t>
      </w:r>
    </w:p>
    <w:p>
      <w:pPr>
        <w:numPr>
          <w:ilvl w:val="0"/>
          <w:numId w:val="1026"/>
        </w:numPr>
        <w:pStyle w:val="Compact"/>
      </w:pPr>
      <w:r>
        <w:t xml:space="preserve">Gradebook synchronization is reliable</w:t>
      </w:r>
    </w:p>
    <w:p>
      <w:pPr>
        <w:numPr>
          <w:ilvl w:val="0"/>
          <w:numId w:val="1026"/>
        </w:numPr>
        <w:pStyle w:val="Compact"/>
      </w:pPr>
      <w:r>
        <w:t xml:space="preserve">Metabase or Superset can enforce tenant and command isolation</w:t>
      </w:r>
    </w:p>
    <w:p>
      <w:pPr>
        <w:numPr>
          <w:ilvl w:val="0"/>
          <w:numId w:val="1026"/>
        </w:numPr>
        <w:pStyle w:val="Compact"/>
      </w:pPr>
      <w:r>
        <w:t xml:space="preserve">PostgreSQL is sufficient for analytical and transactional needs at ELRR scale</w:t>
      </w:r>
    </w:p>
    <w:p>
      <w:pPr>
        <w:numPr>
          <w:ilvl w:val="0"/>
          <w:numId w:val="1026"/>
        </w:numPr>
        <w:pStyle w:val="Compact"/>
      </w:pPr>
      <w:r>
        <w:t xml:space="preserve">Kafka or NATS is required (vs outbox + workers at initial scale)</w:t>
      </w:r>
    </w:p>
    <w:p>
      <w:pPr>
        <w:numPr>
          <w:ilvl w:val="0"/>
          <w:numId w:val="1026"/>
        </w:numPr>
        <w:pStyle w:val="Compact"/>
      </w:pPr>
      <w:r>
        <w:t xml:space="preserve">Redis will not become a source of truth</w:t>
      </w:r>
    </w:p>
    <w:p>
      <w:pPr>
        <w:numPr>
          <w:ilvl w:val="0"/>
          <w:numId w:val="1026"/>
        </w:numPr>
        <w:pStyle w:val="Compact"/>
      </w:pPr>
      <w:r>
        <w:t xml:space="preserve">OpenSearch or pgvector will meet document-retrieval requirements over a full technical-manual corpus</w:t>
      </w:r>
    </w:p>
    <w:p>
      <w:pPr>
        <w:numPr>
          <w:ilvl w:val="0"/>
          <w:numId w:val="1026"/>
        </w:numPr>
        <w:pStyle w:val="Compact"/>
      </w:pPr>
      <w:r>
        <w:t xml:space="preserve">React Native can support all XR-store target platforms (Android and Windows)</w:t>
      </w:r>
    </w:p>
    <w:p>
      <w:pPr>
        <w:numPr>
          <w:ilvl w:val="0"/>
          <w:numId w:val="1026"/>
        </w:numPr>
        <w:pStyle w:val="Compact"/>
      </w:pPr>
      <w:r>
        <w:t xml:space="preserve">Offline event synchronization can be resolved without data conflict</w:t>
      </w:r>
    </w:p>
    <w:p>
      <w:pPr>
        <w:numPr>
          <w:ilvl w:val="0"/>
          <w:numId w:val="1026"/>
        </w:numPr>
        <w:pStyle w:val="Compact"/>
      </w:pPr>
      <w:r>
        <w:t xml:space="preserve">Open-weight models served locally (Ollama/vLLM on the proposed GPU hardware) can match the quality bar set during development on hosted models, for chat, authoring support, question generation, semantic grading, and walkthrough evaluation</w:t>
      </w:r>
    </w:p>
    <w:p>
      <w:pPr>
        <w:numPr>
          <w:ilvl w:val="0"/>
          <w:numId w:val="1026"/>
        </w:numPr>
        <w:pStyle w:val="Compact"/>
      </w:pPr>
      <w:r>
        <w:t xml:space="preserve">The proposed AI server hardware (GPU count, VRAM, redundancy) is sized for peak concurrent inference (exam periods, class-wide chatbot use) — with a stated queueing/degradation policy when it is not</w:t>
      </w:r>
    </w:p>
    <w:p>
      <w:pPr>
        <w:numPr>
          <w:ilvl w:val="0"/>
          <w:numId w:val="1026"/>
        </w:numPr>
        <w:pStyle w:val="Compact"/>
      </w:pPr>
      <w:r>
        <w:t xml:space="preserve">Air-gap update media processes (models, containers, content, CVE patches) are operationally sustainable at the proposed cadence</w:t>
      </w:r>
    </w:p>
    <w:p>
      <w:pPr>
        <w:numPr>
          <w:ilvl w:val="0"/>
          <w:numId w:val="1026"/>
        </w:numPr>
        <w:pStyle w:val="Compact"/>
      </w:pPr>
      <w:r>
        <w:t xml:space="preserve">A compliant one-way or controlled transfer mechanism exists for cross-boundary record movement, and its latency is compatible with reporting requirements</w:t>
      </w:r>
    </w:p>
    <w:p>
      <w:pPr>
        <w:numPr>
          <w:ilvl w:val="0"/>
          <w:numId w:val="1026"/>
        </w:numPr>
        <w:pStyle w:val="Compact"/>
      </w:pPr>
      <w:r>
        <w:t xml:space="preserve">Federated identifiers can match the same learner across enclaves without a connected identity authority</w:t>
      </w:r>
    </w:p>
    <w:p>
      <w:pPr>
        <w:pStyle w:val="FirstParagraph"/>
      </w:pPr>
      <w:r>
        <w:rPr>
          <w:bCs/>
          <w:b/>
        </w:rPr>
        <w:t xml:space="preserve">Product assumptions</w:t>
      </w:r>
    </w:p>
    <w:p>
      <w:pPr>
        <w:numPr>
          <w:ilvl w:val="0"/>
          <w:numId w:val="1027"/>
        </w:numPr>
        <w:pStyle w:val="Compact"/>
      </w:pPr>
      <w:r>
        <w:t xml:space="preserve">Teachers will trust risk scores; supervisors will review AI-generated skill mappings; learners will accept adaptive sequencing</w:t>
      </w:r>
    </w:p>
    <w:p>
      <w:pPr>
        <w:numPr>
          <w:ilvl w:val="0"/>
          <w:numId w:val="1027"/>
        </w:numPr>
        <w:pStyle w:val="Compact"/>
      </w:pPr>
      <w:r>
        <w:t xml:space="preserve">Customers will permit externally hosted tools where offered; enclave customers will fund local AI hardware</w:t>
      </w:r>
    </w:p>
    <w:p>
      <w:pPr>
        <w:numPr>
          <w:ilvl w:val="0"/>
          <w:numId w:val="1027"/>
        </w:numPr>
        <w:pStyle w:val="Compact"/>
      </w:pPr>
      <w:r>
        <w:t xml:space="preserve">Clients will accept open-source components; accreditors will accept the open-source SBOM</w:t>
      </w:r>
    </w:p>
    <w:p>
      <w:pPr>
        <w:numPr>
          <w:ilvl w:val="0"/>
          <w:numId w:val="1027"/>
        </w:numPr>
        <w:pStyle w:val="Compact"/>
      </w:pPr>
      <w:r>
        <w:t xml:space="preserve">LMS administrators will permit LTI installation</w:t>
      </w:r>
    </w:p>
    <w:p>
      <w:pPr>
        <w:numPr>
          <w:ilvl w:val="0"/>
          <w:numId w:val="1027"/>
        </w:numPr>
        <w:pStyle w:val="Compact"/>
      </w:pPr>
      <w:r>
        <w:t xml:space="preserve">Organizations will provide clean role, roster, and competency-framework data</w:t>
      </w:r>
    </w:p>
    <w:p>
      <w:pPr>
        <w:numPr>
          <w:ilvl w:val="0"/>
          <w:numId w:val="1027"/>
        </w:numPr>
        <w:pStyle w:val="Compact"/>
      </w:pPr>
      <w:r>
        <w:t xml:space="preserve">SMEs are available at the volume the DCT authoring pipeline and P4 embedded-SME service assume</w:t>
      </w:r>
    </w:p>
    <w:p>
      <w:pPr>
        <w:numPr>
          <w:ilvl w:val="0"/>
          <w:numId w:val="1027"/>
        </w:numPr>
        <w:pStyle w:val="Compact"/>
      </w:pPr>
      <w:r>
        <w:t xml:space="preserve">Commands will agree to a common competency vocabulary sufficient for CMM Level 5 enterprise mapping</w:t>
      </w:r>
    </w:p>
    <w:p>
      <w:pPr>
        <w:pStyle w:val="FirstParagraph"/>
      </w:pPr>
      <w:r>
        <w:rPr>
          <w:bCs/>
          <w:b/>
        </w:rPr>
        <w:t xml:space="preserve">AI assumptions</w:t>
      </w:r>
    </w:p>
    <w:p>
      <w:pPr>
        <w:numPr>
          <w:ilvl w:val="0"/>
          <w:numId w:val="1028"/>
        </w:numPr>
        <w:pStyle w:val="Compact"/>
      </w:pPr>
      <w:r>
        <w:t xml:space="preserve">Approved manuals are sufficiently complete; chunking produces reliable retrieval; citation presence guarantees answer correctness (it does not — test it)</w:t>
      </w:r>
    </w:p>
    <w:p>
      <w:pPr>
        <w:numPr>
          <w:ilvl w:val="0"/>
          <w:numId w:val="1028"/>
        </w:numPr>
        <w:pStyle w:val="Compact"/>
      </w:pPr>
      <w:r>
        <w:t xml:space="preserve">Low-confidence responses can be identified reliably on local models</w:t>
      </w:r>
    </w:p>
    <w:p>
      <w:pPr>
        <w:numPr>
          <w:ilvl w:val="0"/>
          <w:numId w:val="1028"/>
        </w:numPr>
        <w:pStyle w:val="Compact"/>
      </w:pPr>
      <w:r>
        <w:t xml:space="preserve">AI-generated questions are instructionally valid; semantic grading is fair and reproducible — including run-to-run on quantized local models</w:t>
      </w:r>
    </w:p>
    <w:p>
      <w:pPr>
        <w:numPr>
          <w:ilvl w:val="0"/>
          <w:numId w:val="1028"/>
        </w:numPr>
        <w:pStyle w:val="Compact"/>
      </w:pPr>
      <w:r>
        <w:t xml:space="preserve">AI models can be replaced without changing output behavior (model-swap regression risk in every enclave)</w:t>
      </w:r>
    </w:p>
    <w:p>
      <w:pPr>
        <w:numPr>
          <w:ilvl w:val="0"/>
          <w:numId w:val="1028"/>
        </w:numPr>
        <w:pStyle w:val="Compact"/>
      </w:pPr>
      <w:r>
        <w:t xml:space="preserve">The Procedural Walkthrough Engine can capture and score actions accurately enough to serve as competency evidence</w:t>
      </w:r>
    </w:p>
    <w:p>
      <w:pPr>
        <w:numPr>
          <w:ilvl w:val="0"/>
          <w:numId w:val="1028"/>
        </w:numPr>
        <w:pStyle w:val="Compact"/>
      </w:pPr>
      <w:r>
        <w:t xml:space="preserve">Embedding-model changes can be rolled out to enclaves without corrupting existing indexes</w:t>
      </w:r>
    </w:p>
    <w:p>
      <w:pPr>
        <w:pStyle w:val="FirstParagraph"/>
      </w:pPr>
      <w:r>
        <w:rPr>
          <w:bCs/>
          <w:b/>
        </w:rPr>
        <w:t xml:space="preserve">Operational assumptions</w:t>
      </w:r>
    </w:p>
    <w:p>
      <w:pPr>
        <w:numPr>
          <w:ilvl w:val="0"/>
          <w:numId w:val="1029"/>
        </w:numPr>
        <w:pStyle w:val="Compact"/>
      </w:pPr>
      <w:r>
        <w:t xml:space="preserve">Teams can support 38 modules and 6 program deliverables; every module will have a clear owner</w:t>
      </w:r>
    </w:p>
    <w:p>
      <w:pPr>
        <w:numPr>
          <w:ilvl w:val="0"/>
          <w:numId w:val="1029"/>
        </w:numPr>
        <w:pStyle w:val="Compact"/>
      </w:pPr>
      <w:r>
        <w:t xml:space="preserve">Security reviews will occur before release; open-source upgrades will be maintained — including inside air-gapped enclaves</w:t>
      </w:r>
    </w:p>
    <w:p>
      <w:pPr>
        <w:numPr>
          <w:ilvl w:val="0"/>
          <w:numId w:val="1029"/>
        </w:numPr>
        <w:pStyle w:val="Compact"/>
      </w:pPr>
      <w:r>
        <w:t xml:space="preserve">Customer-specific deployment variations will remain manageable</w:t>
      </w:r>
    </w:p>
    <w:p>
      <w:pPr>
        <w:numPr>
          <w:ilvl w:val="0"/>
          <w:numId w:val="1029"/>
        </w:numPr>
        <w:pStyle w:val="Compact"/>
      </w:pPr>
      <w:r>
        <w:t xml:space="preserve">Support teams can diagnose distributed failures they cannot remotely access (enclave support doctrine)</w:t>
      </w:r>
    </w:p>
    <w:p>
      <w:pPr>
        <w:numPr>
          <w:ilvl w:val="0"/>
          <w:numId w:val="1029"/>
        </w:numPr>
        <w:pStyle w:val="Compact"/>
      </w:pPr>
      <w:r>
        <w:t xml:space="preserve">Two immersive-lab sites can be kept configuration-consistent</w:t>
      </w:r>
    </w:p>
    <w:p>
      <w:pPr>
        <w:numPr>
          <w:ilvl w:val="0"/>
          <w:numId w:val="1029"/>
        </w:numPr>
        <w:pStyle w:val="Compact"/>
      </w:pPr>
      <w:r>
        <w:t xml:space="preserve">The accreditation timeline (P1) and the build timeline do not deadlock</w:t>
      </w:r>
    </w:p>
    <w:bookmarkEnd w:id="45"/>
    <w:bookmarkStart w:id="46" w:name="X94e76b0241e17a7cd90a83b938473b56b6274ba"/>
    <w:p>
      <w:pPr>
        <w:pStyle w:val="Heading2"/>
      </w:pPr>
      <w:r>
        <w:t xml:space="preserve">LOOP 6 — DATA ARCHITECTURE AND EVENT-INTEGRITY STRESS TEST</w:t>
      </w:r>
    </w:p>
    <w:p>
      <w:pPr>
        <w:pStyle w:val="FirstParagraph"/>
      </w:pPr>
      <w:r>
        <w:t xml:space="preserve">Map all important data types:</w:t>
      </w:r>
    </w:p>
    <w:p>
      <w:pPr>
        <w:numPr>
          <w:ilvl w:val="0"/>
          <w:numId w:val="1030"/>
        </w:numPr>
        <w:pStyle w:val="Compact"/>
      </w:pPr>
      <w:r>
        <w:t xml:space="preserve">User identity; tenant identity; command/organization identity; roles</w:t>
      </w:r>
    </w:p>
    <w:p>
      <w:pPr>
        <w:numPr>
          <w:ilvl w:val="0"/>
          <w:numId w:val="1030"/>
        </w:numPr>
        <w:pStyle w:val="Compact"/>
      </w:pPr>
      <w:r>
        <w:t xml:space="preserve">Course membership; LMS launch context</w:t>
      </w:r>
    </w:p>
    <w:p>
      <w:pPr>
        <w:numPr>
          <w:ilvl w:val="0"/>
          <w:numId w:val="1030"/>
        </w:numPr>
        <w:pStyle w:val="Compact"/>
      </w:pPr>
      <w:r>
        <w:t xml:space="preserve">Quiz content; question-bank content; student responses; scores; grades</w:t>
      </w:r>
    </w:p>
    <w:p>
      <w:pPr>
        <w:numPr>
          <w:ilvl w:val="0"/>
          <w:numId w:val="1030"/>
        </w:numPr>
        <w:pStyle w:val="Compact"/>
      </w:pPr>
      <w:r>
        <w:t xml:space="preserve">xAPI statements; reading events; procedural-walkthrough action streams (M35); AR/MOE observations (M38); microlearning events (M37)</w:t>
      </w:r>
    </w:p>
    <w:p>
      <w:pPr>
        <w:numPr>
          <w:ilvl w:val="0"/>
          <w:numId w:val="1030"/>
        </w:numPr>
        <w:pStyle w:val="Compact"/>
      </w:pPr>
      <w:r>
        <w:t xml:space="preserve">Competency frameworks and skill ontologies (M19); skill mappings; official competency records; credential assertions</w:t>
      </w:r>
    </w:p>
    <w:p>
      <w:pPr>
        <w:numPr>
          <w:ilvl w:val="0"/>
          <w:numId w:val="1030"/>
        </w:numPr>
        <w:pStyle w:val="Compact"/>
      </w:pPr>
      <w:r>
        <w:t xml:space="preserve">Learner profiles (M20); risk scores; adaptive recommendations; gap/difference-training plans</w:t>
      </w:r>
    </w:p>
    <w:p>
      <w:pPr>
        <w:numPr>
          <w:ilvl w:val="0"/>
          <w:numId w:val="1030"/>
        </w:numPr>
        <w:pStyle w:val="Compact"/>
      </w:pPr>
      <w:r>
        <w:t xml:space="preserve">Course catalogue entries and content metadata (M18); lesson plans and authored content (M22); manual documents and revision lineage (M24/M25); embeddings; chat history</w:t>
      </w:r>
    </w:p>
    <w:p>
      <w:pPr>
        <w:numPr>
          <w:ilvl w:val="0"/>
          <w:numId w:val="1030"/>
        </w:numPr>
        <w:pStyle w:val="Compact"/>
      </w:pPr>
      <w:r>
        <w:t xml:space="preserve">Simulator metadata and packages; lab device inventory and configuration; offline event queues</w:t>
      </w:r>
    </w:p>
    <w:p>
      <w:pPr>
        <w:numPr>
          <w:ilvl w:val="0"/>
          <w:numId w:val="1030"/>
        </w:numPr>
        <w:pStyle w:val="Compact"/>
      </w:pPr>
      <w:r>
        <w:t xml:space="preserve">Federated roll-up records and transfer manifests (M17/M31); audit logs; accreditation evidence artifacts (P1)</w:t>
      </w:r>
    </w:p>
    <w:p>
      <w:pPr>
        <w:pStyle w:val="FirstParagraph"/>
      </w:pPr>
      <w:r>
        <w:t xml:space="preserve">For each data type, identify: system of record; data owner; writer; readers; retention period; versioning model; deletion process; correction process; tenant/command isolation; encryption requirements; audit requirements; backup requirements; legal sensitivity; personally identifiable information; derived or inferred information; and — new — federation behavior (does it cross enclave boundaries? under what rule? with what provenance?).</w:t>
      </w:r>
    </w:p>
    <w:p>
      <w:pPr>
        <w:pStyle w:val="BodyText"/>
      </w:pPr>
      <w:r>
        <w:t xml:space="preserve">Stress-test the three-level learning-record concept (Raw, Cleaned, Official) and its interaction with TLA federation. Determine:</w:t>
      </w:r>
    </w:p>
    <w:p>
      <w:pPr>
        <w:numPr>
          <w:ilvl w:val="0"/>
          <w:numId w:val="1031"/>
        </w:numPr>
        <w:pStyle w:val="Compact"/>
      </w:pPr>
      <w:r>
        <w:t xml:space="preserve">Promotion criteria between levels; whether records are copied, transformed, or referenced</w:t>
      </w:r>
    </w:p>
    <w:p>
      <w:pPr>
        <w:numPr>
          <w:ilvl w:val="0"/>
          <w:numId w:val="1031"/>
        </w:numPr>
        <w:pStyle w:val="Compact"/>
      </w:pPr>
      <w:r>
        <w:t xml:space="preserve">Whether historical data is immutable; how corrections are represented</w:t>
      </w:r>
    </w:p>
    <w:p>
      <w:pPr>
        <w:numPr>
          <w:ilvl w:val="0"/>
          <w:numId w:val="1031"/>
        </w:numPr>
        <w:pStyle w:val="Compact"/>
      </w:pPr>
      <w:r>
        <w:t xml:space="preserve">Who can promote data; whether promotion is reversible</w:t>
      </w:r>
    </w:p>
    <w:p>
      <w:pPr>
        <w:numPr>
          <w:ilvl w:val="0"/>
          <w:numId w:val="1031"/>
        </w:numPr>
        <w:pStyle w:val="Compact"/>
      </w:pPr>
      <w:r>
        <w:t xml:space="preserve">How duplicate events are handled; how event ordering is established; how late-arriving events are processed (60-day-offline devices; year-late enclave transfers)</w:t>
      </w:r>
    </w:p>
    <w:p>
      <w:pPr>
        <w:numPr>
          <w:ilvl w:val="0"/>
          <w:numId w:val="1031"/>
        </w:numPr>
        <w:pStyle w:val="Compact"/>
      </w:pPr>
      <w:r>
        <w:t xml:space="preserve">How event schemas and xAPI profiles evolve; how replay attacks are prevented</w:t>
      </w:r>
    </w:p>
    <w:p>
      <w:pPr>
        <w:numPr>
          <w:ilvl w:val="0"/>
          <w:numId w:val="1031"/>
        </w:numPr>
        <w:pStyle w:val="Compact"/>
      </w:pPr>
      <w:r>
        <w:t xml:space="preserve">How deleted users are represented — locally and in already-federated roll-ups</w:t>
      </w:r>
    </w:p>
    <w:p>
      <w:pPr>
        <w:numPr>
          <w:ilvl w:val="0"/>
          <w:numId w:val="1031"/>
        </w:numPr>
        <w:pStyle w:val="Compact"/>
      </w:pPr>
      <w:r>
        <w:t xml:space="preserve">How official skill records are revoked or amended, and how the revocation propagates across the federation</w:t>
      </w:r>
    </w:p>
    <w:p>
      <w:pPr>
        <w:numPr>
          <w:ilvl w:val="0"/>
          <w:numId w:val="1031"/>
        </w:numPr>
        <w:pStyle w:val="Compact"/>
      </w:pPr>
      <w:r>
        <w:t xml:space="preserve">At which level (raw/cleaned/official) records federate, and whether the enterprise ELRR receives events, summaries, or assertions</w:t>
      </w:r>
    </w:p>
    <w:p>
      <w:pPr>
        <w:numPr>
          <w:ilvl w:val="0"/>
          <w:numId w:val="1031"/>
        </w:numPr>
        <w:pStyle w:val="Compact"/>
      </w:pPr>
      <w:r>
        <w:t xml:space="preserve">How the same learner is identified across LRS instances, enclaves, and commands without a globally connected identity system</w:t>
      </w:r>
    </w:p>
    <w:p>
      <w:pPr>
        <w:numPr>
          <w:ilvl w:val="0"/>
          <w:numId w:val="1031"/>
        </w:numPr>
        <w:pStyle w:val="Compact"/>
      </w:pPr>
      <w:r>
        <w:t xml:space="preserve">How competency-framework versioning (M19) interacts with historical official records asserted against older framework versions</w:t>
      </w:r>
    </w:p>
    <w:p>
      <w:pPr>
        <w:pStyle w:val="FirstParagraph"/>
      </w:pPr>
      <w:r>
        <w:t xml:space="preserve">Require formal definitions for: idempotency; event uniqueness; event version; event timestamp; received timestamp; source identity; tenant identity; command identity; correlation ID; causation ID; schema/profile version; processing status; federation provenance (origin LRS, transfer batch, transfer time, transformation applied).</w:t>
      </w:r>
    </w:p>
    <w:bookmarkEnd w:id="46"/>
    <w:bookmarkStart w:id="47" w:name="loop-7-distributed-system-failure-test"/>
    <w:p>
      <w:pPr>
        <w:pStyle w:val="Heading2"/>
      </w:pPr>
      <w:r>
        <w:t xml:space="preserve">LOOP 7 — DISTRIBUTED-SYSTEM FAILURE TEST</w:t>
      </w:r>
    </w:p>
    <w:p>
      <w:pPr>
        <w:pStyle w:val="FirstParagraph"/>
      </w:pPr>
      <w:r>
        <w:t xml:space="preserve">Simulate failure conditions including:</w:t>
      </w:r>
    </w:p>
    <w:p>
      <w:pPr>
        <w:numPr>
          <w:ilvl w:val="0"/>
          <w:numId w:val="1032"/>
        </w:numPr>
        <w:pStyle w:val="Compact"/>
      </w:pPr>
      <w:r>
        <w:t xml:space="preserve">Keycloak unavailable; LRS unavailable; PostgreSQL read replica delayed; Redis unavailable; event bus unavailable</w:t>
      </w:r>
    </w:p>
    <w:p>
      <w:pPr>
        <w:numPr>
          <w:ilvl w:val="0"/>
          <w:numId w:val="1032"/>
        </w:numPr>
        <w:pStyle w:val="Compact"/>
      </w:pPr>
      <w:r>
        <w:t xml:space="preserve">LMS launch service unavailable; gradebook API timing out</w:t>
      </w:r>
    </w:p>
    <w:p>
      <w:pPr>
        <w:numPr>
          <w:ilvl w:val="0"/>
          <w:numId w:val="1032"/>
        </w:numPr>
        <w:pStyle w:val="Compact"/>
      </w:pPr>
      <w:r>
        <w:t xml:space="preserve">Duplicate LTI launch; duplicate xAPI event; out-of-order events; network partition</w:t>
      </w:r>
    </w:p>
    <w:p>
      <w:pPr>
        <w:numPr>
          <w:ilvl w:val="0"/>
          <w:numId w:val="1032"/>
        </w:numPr>
        <w:pStyle w:val="Compact"/>
      </w:pPr>
      <w:r>
        <w:t xml:space="preserve">Slow database query; expired certificate; rotated signing key; full storage volume; corrupted event payload</w:t>
      </w:r>
    </w:p>
    <w:p>
      <w:pPr>
        <w:numPr>
          <w:ilvl w:val="0"/>
          <w:numId w:val="1032"/>
        </w:numPr>
        <w:pStyle w:val="Compact"/>
      </w:pPr>
      <w:r>
        <w:t xml:space="preserve">Partial deployment; incompatible API version; delayed background worker; stale cache; failed schema migration; dead-letter queue growth</w:t>
      </w:r>
    </w:p>
    <w:p>
      <w:pPr>
        <w:numPr>
          <w:ilvl w:val="0"/>
          <w:numId w:val="1032"/>
        </w:numPr>
        <w:pStyle w:val="Compact"/>
      </w:pPr>
      <w:r>
        <w:t xml:space="preserve">Mobile client reconnecting after 60 days offline; simulator sending thousands of stored events simultaneously</w:t>
      </w:r>
    </w:p>
    <w:p>
      <w:pPr>
        <w:numPr>
          <w:ilvl w:val="0"/>
          <w:numId w:val="1032"/>
        </w:numPr>
        <w:pStyle w:val="Compact"/>
      </w:pPr>
      <w:r>
        <w:t xml:space="preserve">Local AI inference server down, saturated, or thermally throttled during a class session</w:t>
      </w:r>
    </w:p>
    <w:p>
      <w:pPr>
        <w:numPr>
          <w:ilvl w:val="0"/>
          <w:numId w:val="1032"/>
        </w:numPr>
        <w:pStyle w:val="Compact"/>
      </w:pPr>
      <w:r>
        <w:t xml:space="preserve">Model file corrupted or wrong version loaded after an offline update</w:t>
      </w:r>
    </w:p>
    <w:p>
      <w:pPr>
        <w:numPr>
          <w:ilvl w:val="0"/>
          <w:numId w:val="1032"/>
        </w:numPr>
        <w:pStyle w:val="Compact"/>
      </w:pPr>
      <w:r>
        <w:t xml:space="preserve">Vector index and document corpus out of sync after a partial enclave content update</w:t>
      </w:r>
    </w:p>
    <w:p>
      <w:pPr>
        <w:numPr>
          <w:ilvl w:val="0"/>
          <w:numId w:val="1032"/>
        </w:numPr>
        <w:pStyle w:val="Compact"/>
      </w:pPr>
      <w:r>
        <w:t xml:space="preserve">Air-gap transfer batch lost, duplicated, or applied out of order</w:t>
      </w:r>
    </w:p>
    <w:p>
      <w:pPr>
        <w:numPr>
          <w:ilvl w:val="0"/>
          <w:numId w:val="1032"/>
        </w:numPr>
        <w:pStyle w:val="Compact"/>
      </w:pPr>
      <w:r>
        <w:t xml:space="preserve">Enterprise ELRR receiving conflicting official records for the same learner from two commands</w:t>
      </w:r>
    </w:p>
    <w:p>
      <w:pPr>
        <w:numPr>
          <w:ilvl w:val="0"/>
          <w:numId w:val="1032"/>
        </w:numPr>
        <w:pStyle w:val="Compact"/>
      </w:pPr>
      <w:r>
        <w:t xml:space="preserve">Immersive-lab edge server offline while 30 headsets are mid-session</w:t>
      </w:r>
    </w:p>
    <w:p>
      <w:pPr>
        <w:numPr>
          <w:ilvl w:val="0"/>
          <w:numId w:val="1032"/>
        </w:numPr>
        <w:pStyle w:val="Compact"/>
      </w:pPr>
      <w:r>
        <w:t xml:space="preserve">Live TO connection (M25) unreachable for 6 months — content freshness policy under prolonged disconnection</w:t>
      </w:r>
    </w:p>
    <w:p>
      <w:pPr>
        <w:pStyle w:val="FirstParagraph"/>
      </w:pPr>
      <w:r>
        <w:t xml:space="preserve">For each scenario, specify: expected system behavior; user-visible behavior; automatic retries; maximum retry count; backoff strategy; circuit-breaker behavior; dead-letter process; alerting; manual recovery; data reconciliation; recovery-time objective; recovery-point objective.</w:t>
      </w:r>
    </w:p>
    <w:p>
      <w:pPr>
        <w:pStyle w:val="BodyText"/>
      </w:pPr>
      <w:r>
        <w:t xml:space="preserve">Identify where distributed transactions are being assumed without an explicit design. Pay particular attention to the sequence: student submits quiz → quiz is graded → score is stored → xAPI event is sent → grade is sent to LMS → dashboard is updated. Determine what happens when only some of these steps succeed.</w:t>
      </w:r>
    </w:p>
    <w:p>
      <w:pPr>
        <w:pStyle w:val="BodyText"/>
      </w:pPr>
      <w:r>
        <w:t xml:space="preserve">Recommend an appropriate pattern such as: transactional outbox; saga; idempotent consumer; compensating action; reconciliation job; event replay; human-review queue. Apply the same analysis to the federation sequence: local official record written → transfer manifest built → boundary transfer → ELRR ingestion → enterprise analytics update.</w:t>
      </w:r>
    </w:p>
    <w:bookmarkEnd w:id="47"/>
    <w:bookmarkStart w:id="48" w:name="Xe2307f690f4587460feb3428b3f3d4239d98502"/>
    <w:p>
      <w:pPr>
        <w:pStyle w:val="Heading2"/>
      </w:pPr>
      <w:r>
        <w:t xml:space="preserve">LOOP 8 — MULTI-TENANCY, MULTI-COMMAND, AND AUTHORIZATION RED TEAM</w:t>
      </w:r>
    </w:p>
    <w:p>
      <w:pPr>
        <w:pStyle w:val="FirstParagraph"/>
      </w:pPr>
      <w:r>
        <w:t xml:space="preserve">Test whether one organization or command can access another’s: users; courses; grades; learning events; reports; documents; embeddings; chat histories; skill records; simulator licenses; configuration; audit logs; learner profiles; competency data; federated roll-ups.</w:t>
      </w:r>
    </w:p>
    <w:p>
      <w:pPr>
        <w:pStyle w:val="BodyText"/>
      </w:pPr>
      <w:r>
        <w:t xml:space="preserve">Test attack and misconfiguration scenarios:</w:t>
      </w:r>
    </w:p>
    <w:p>
      <w:pPr>
        <w:numPr>
          <w:ilvl w:val="0"/>
          <w:numId w:val="1033"/>
        </w:numPr>
        <w:pStyle w:val="Compact"/>
      </w:pPr>
      <w:r>
        <w:t xml:space="preserve">Tenant ID changed in a URL; tenant claim missing from token; administrator belongs to multiple tenants; user has student and instructor roles</w:t>
      </w:r>
    </w:p>
    <w:p>
      <w:pPr>
        <w:numPr>
          <w:ilvl w:val="0"/>
          <w:numId w:val="1033"/>
        </w:numPr>
        <w:pStyle w:val="Compact"/>
      </w:pPr>
      <w:r>
        <w:t xml:space="preserve">Cached result returned to wrong tenant; BI query omits tenant filter; vector search retrieves another tenant’s document; shared object-storage path misconfigured</w:t>
      </w:r>
    </w:p>
    <w:p>
      <w:pPr>
        <w:numPr>
          <w:ilvl w:val="0"/>
          <w:numId w:val="1033"/>
        </w:numPr>
        <w:pStyle w:val="Compact"/>
      </w:pPr>
      <w:r>
        <w:t xml:space="preserve">Background job processes data without tenant context; support administrator impersonates user; deleted user retains an active token</w:t>
      </w:r>
    </w:p>
    <w:p>
      <w:pPr>
        <w:numPr>
          <w:ilvl w:val="0"/>
          <w:numId w:val="1033"/>
        </w:numPr>
        <w:pStyle w:val="Compact"/>
      </w:pPr>
      <w:r>
        <w:t xml:space="preserve">LMS launch contains unexpected role values; course copy duplicates links across tenants</w:t>
      </w:r>
    </w:p>
    <w:p>
      <w:pPr>
        <w:numPr>
          <w:ilvl w:val="0"/>
          <w:numId w:val="1033"/>
        </w:numPr>
        <w:pStyle w:val="Compact"/>
      </w:pPr>
      <w:r>
        <w:t xml:space="preserve">Cross-command pipeline delivers a batch to the wrong destination ELRR</w:t>
      </w:r>
    </w:p>
    <w:p>
      <w:pPr>
        <w:numPr>
          <w:ilvl w:val="0"/>
          <w:numId w:val="1033"/>
        </w:numPr>
        <w:pStyle w:val="Compact"/>
      </w:pPr>
      <w:r>
        <w:t xml:space="preserve">A federated learner-matching rule merges two different people into one profile</w:t>
      </w:r>
    </w:p>
    <w:p>
      <w:pPr>
        <w:numPr>
          <w:ilvl w:val="0"/>
          <w:numId w:val="1033"/>
        </w:numPr>
        <w:pStyle w:val="Compact"/>
      </w:pPr>
      <w:r>
        <w:t xml:space="preserve">An enclave’s exported analytics contain another command’s aggregate data</w:t>
      </w:r>
    </w:p>
    <w:p>
      <w:pPr>
        <w:numPr>
          <w:ilvl w:val="0"/>
          <w:numId w:val="1033"/>
        </w:numPr>
        <w:pStyle w:val="Compact"/>
      </w:pPr>
      <w:r>
        <w:t xml:space="preserve">A local-model prompt context accidentally includes another tenant’s retrieved chunks</w:t>
      </w:r>
    </w:p>
    <w:p>
      <w:pPr>
        <w:pStyle w:val="FirstParagraph"/>
      </w:pPr>
      <w:r>
        <w:t xml:space="preserve">Require: central tenant/command-resolution logic; row-level security where appropriate; tenant-aware cache keys, queue messages, and logging; tenant-scoped vector indexes or hard filter enforcement; negative authorization tests; cross-tenant and cross-command penetration testing; least-privilege service accounts; privileged-access review.</w:t>
      </w:r>
    </w:p>
    <w:p>
      <w:pPr>
        <w:pStyle w:val="BodyText"/>
      </w:pPr>
      <w:r>
        <w:t xml:space="preserve">Explain whether authorization should be enforced only at the gateway, only in the service, or at multiple layers — and where federation-boundary authorization lives.</w:t>
      </w:r>
    </w:p>
    <w:bookmarkEnd w:id="48"/>
    <w:bookmarkStart w:id="49" w:name="X3d80394cc16652aab5a4d9b4e887eeefd72326f"/>
    <w:p>
      <w:pPr>
        <w:pStyle w:val="Heading2"/>
      </w:pPr>
      <w:r>
        <w:t xml:space="preserve">LOOP 9 — SECURITY, THREAT MODEL, AND ACCREDITATION PATH</w:t>
      </w:r>
    </w:p>
    <w:p>
      <w:pPr>
        <w:pStyle w:val="FirstParagraph"/>
      </w:pPr>
      <w:r>
        <w:t xml:space="preserve">Use STRIDE, attack-tree analysis, and abuse-case analysis. Evaluate threats related to: spoofing; tampering; repudiation; information disclosure; denial of service; elevation of privilege.</w:t>
      </w:r>
    </w:p>
    <w:p>
      <w:pPr>
        <w:pStyle w:val="BodyText"/>
      </w:pPr>
      <w:r>
        <w:t xml:space="preserve">Review: OIDC; JWT validation; key rotation; LTI 1.3 launch validation; OAuth scopes; API authorization; service-to-service authentication; secrets storage; TLS; file uploads; PDF conversion; document parsing; malware scanning; prompt injection; stored cross-site scripting; SQL injection; SSRF; deserialization; dependency compromise; container vulnerabilities; mobile token storage; offline data protection; simulator package integrity; code signing; audit-log integrity.</w:t>
      </w:r>
    </w:p>
    <w:p>
      <w:pPr>
        <w:pStyle w:val="BodyText"/>
      </w:pPr>
      <w:r>
        <w:t xml:space="preserve">Add the air-gap and accreditation surface:</w:t>
      </w:r>
    </w:p>
    <w:p>
      <w:pPr>
        <w:numPr>
          <w:ilvl w:val="0"/>
          <w:numId w:val="1034"/>
        </w:numPr>
        <w:pStyle w:val="Compact"/>
      </w:pPr>
      <w:r>
        <w:t xml:space="preserve">Removable-media and cross-domain transfer scanning, provenance, and two-person integrity where required</w:t>
      </w:r>
    </w:p>
    <w:p>
      <w:pPr>
        <w:numPr>
          <w:ilvl w:val="0"/>
          <w:numId w:val="1034"/>
        </w:numPr>
        <w:pStyle w:val="Compact"/>
      </w:pPr>
      <w:r>
        <w:t xml:space="preserve">Supply-chain assurance for open-source components entering the enclave: SBOM per release, vulnerability scanning at the boundary, provenance attestation, reproducible builds where feasible</w:t>
      </w:r>
    </w:p>
    <w:p>
      <w:pPr>
        <w:numPr>
          <w:ilvl w:val="0"/>
          <w:numId w:val="1034"/>
        </w:numPr>
        <w:pStyle w:val="Compact"/>
      </w:pPr>
      <w:r>
        <w:t xml:space="preserve">Model supply chain: where model weights come from, integrity verification, license review, poisoning risk, and the approval path for introducing or updating a model inside an accredited boundary</w:t>
      </w:r>
    </w:p>
    <w:p>
      <w:pPr>
        <w:numPr>
          <w:ilvl w:val="0"/>
          <w:numId w:val="1034"/>
        </w:numPr>
        <w:pStyle w:val="Compact"/>
      </w:pPr>
      <w:r>
        <w:t xml:space="preserve">STIG-class hardening of hosts, containers, Kubernetes, GPU drivers, and the AI serving stack</w:t>
      </w:r>
    </w:p>
    <w:p>
      <w:pPr>
        <w:numPr>
          <w:ilvl w:val="0"/>
          <w:numId w:val="1034"/>
        </w:numPr>
        <w:pStyle w:val="Compact"/>
      </w:pPr>
      <w:r>
        <w:t xml:space="preserve">Control-baseline mapping (NIST 800-53-class or the customer’s national equivalent) per deployment model; identify controls the current design cannot satisfy</w:t>
      </w:r>
    </w:p>
    <w:p>
      <w:pPr>
        <w:numPr>
          <w:ilvl w:val="0"/>
          <w:numId w:val="1034"/>
        </w:numPr>
        <w:pStyle w:val="Compact"/>
      </w:pPr>
      <w:r>
        <w:t xml:space="preserve">ATO evidence pipeline (P1): who is the authorizing official, what artifacts are required, how evidence is generated continuously rather than assembled in a panic, and whether a continuous-ATO approach is feasible</w:t>
      </w:r>
    </w:p>
    <w:p>
      <w:pPr>
        <w:numPr>
          <w:ilvl w:val="0"/>
          <w:numId w:val="1034"/>
        </w:numPr>
        <w:pStyle w:val="Compact"/>
      </w:pPr>
      <w:r>
        <w:t xml:space="preserve">Physical security interplay for immersive labs (device theft, tampering, classified-adjacent spaces)</w:t>
      </w:r>
    </w:p>
    <w:p>
      <w:pPr>
        <w:pStyle w:val="FirstParagraph"/>
      </w:pPr>
      <w:r>
        <w:t xml:space="preserve">Produce: trust-boundary diagram (including enclave and federation boundaries); data-flow diagram; threat register; abuse-case register; mitigation plan; security-test plan; penetration-test scope; secure-release gate; ATO evidence matrix (control → implementing module → evidence artifact → status).</w:t>
      </w:r>
    </w:p>
    <w:bookmarkEnd w:id="49"/>
    <w:bookmarkStart w:id="50" w:name="X4043dfb0291198c308920e887e78d670fb9b9c5"/>
    <w:p>
      <w:pPr>
        <w:pStyle w:val="Heading2"/>
      </w:pPr>
      <w:r>
        <w:t xml:space="preserve">LOOP 10 — PERFORMANCE, LOAD, AND CAPACITY STRESS TEST</w:t>
      </w:r>
    </w:p>
    <w:p>
      <w:pPr>
        <w:pStyle w:val="FirstParagraph"/>
      </w:pPr>
      <w:r>
        <w:t xml:space="preserve">Define a capacity model per deployment model (cloud, on-prem, enclave, lab edge, mobile).</w:t>
      </w:r>
    </w:p>
    <w:p>
      <w:pPr>
        <w:pStyle w:val="BodyText"/>
      </w:pPr>
      <w:r>
        <w:t xml:space="preserve">Test at minimum: concurrent LMS launches; quiz submissions per second; xAPI statements per second (including M35 action streams, which can be orders of magnitude denser than quiz events); dashboard queries per second; report-export requests; document uploads and digitization jobs (M24); embedding jobs; chatbot requests; AI-grading jobs; simulator downloads; offline synchronization bursts; federation batch sizes; number of tenants/commands/courses/users; events per learner; retention duration; total storage growth; GPU inference concurrency, queue depth, and tokens-per-second on the target local hardware.</w:t>
      </w:r>
    </w:p>
    <w:p>
      <w:pPr>
        <w:pStyle w:val="BodyText"/>
      </w:pPr>
      <w:r>
        <w:t xml:space="preserve">Create workload profiles: normal day; beginning of semester/course cycle; examination period; mandatory-training deadline; large customer onboarding; simulator release day; network restoration after outage; analytics export by administrators; lab full-occupancy session (every headset streaming walkthrough actions); enclave quarterly update day (models + content + patches applied together).</w:t>
      </w:r>
    </w:p>
    <w:p>
      <w:pPr>
        <w:pStyle w:val="BodyText"/>
      </w:pPr>
      <w:r>
        <w:t xml:space="preserve">Require tests for: baseline; load; stress; spike; soak; endurance; scalability; failover; recovery; volume; concurrency — and for the AI layer specifically: sustained-inference soak, cold-start after model reload, and degradation behavior at GPU saturation.</w:t>
      </w:r>
    </w:p>
    <w:p>
      <w:pPr>
        <w:pStyle w:val="BodyText"/>
      </w:pPr>
      <w:r>
        <w:t xml:space="preserve">For every test, specify: test data; environment; workload; duration; ramp-up; success threshold; failure threshold; metrics collected; bottleneck hypothesis; remediation action.</w:t>
      </w:r>
    </w:p>
    <w:p>
      <w:pPr>
        <w:pStyle w:val="BodyText"/>
      </w:pPr>
      <w:r>
        <w:t xml:space="preserve">Metrics should include: p50/p95/p99 response time; error rate; throughput; queue depth; CPU; memory; disk I/O; network I/O; database locks; cache hit ratio; event-processing lag; grade-return latency; dashboard freshness; search latency; retrieval quality; AI inference time and time-to-first-token; GPU utilization and VRAM headroom; mobile synchronization time; federation transfer lag; enclave update-application time.</w:t>
      </w:r>
    </w:p>
    <w:bookmarkEnd w:id="50"/>
    <w:bookmarkStart w:id="51" w:name="X90a985e002914a80c6aa5640ad5f9c1a144194a"/>
    <w:p>
      <w:pPr>
        <w:pStyle w:val="Heading2"/>
      </w:pPr>
      <w:r>
        <w:t xml:space="preserve">LOOP 11 — LMS AND LTI INTEROPERABILITY TEST</w:t>
      </w:r>
    </w:p>
    <w:p>
      <w:pPr>
        <w:pStyle w:val="FirstParagraph"/>
      </w:pPr>
      <w:r>
        <w:t xml:space="preserve">Do not assume Moodle, Canvas, and Open edX behave identically.</w:t>
      </w:r>
    </w:p>
    <w:p>
      <w:pPr>
        <w:pStyle w:val="BodyText"/>
      </w:pPr>
      <w:r>
        <w:t xml:space="preserve">Test: LTI registration; deployment ID handling; deep linking; resource-link creation; role mapping; group mapping; roster retrieval; grade passback; course copy; course archive; user removal; multiple sections; multiple LMS instances; token expiration; clock skew; key rotation; launch replay; embedded-frame restrictions; browser cookie restrictions; mobile LMS behavior; accessibility inside embedded frames; and LMS behavior inside enclaves (self-hosted Moodle in an air-gapped network, certificate management without public CAs).</w:t>
      </w:r>
    </w:p>
    <w:p>
      <w:pPr>
        <w:pStyle w:val="BodyText"/>
      </w:pPr>
      <w:r>
        <w:t xml:space="preserve">Create a compatibility matrix for each supported LMS and version. Define the minimum certified LMS configurations. Identify features that require LMS-specific adapters.</w:t>
      </w:r>
    </w:p>
    <w:bookmarkEnd w:id="51"/>
    <w:bookmarkStart w:id="52" w:name="Xe34a1061ef0ff33e31f07a6a81e2fcffe53540c"/>
    <w:p>
      <w:pPr>
        <w:pStyle w:val="Heading2"/>
      </w:pPr>
      <w:r>
        <w:t xml:space="preserve">LOOP 12 — AI, RAG, AND MODEL-SAFETY STRESS TEST</w:t>
      </w:r>
    </w:p>
    <w:p>
      <w:pPr>
        <w:pStyle w:val="FirstParagraph"/>
      </w:pPr>
      <w:r>
        <w:t xml:space="preserve">Review M11/M28, M12/M29, M13, M14/M36, M15/M26, M22/M23, M27, and M35 as high-risk decision-support modules. Evaluate every AI behavior twice: once on the hosted-model configuration and once on the local open-weight configuration that enclaves will actually run. A capability that only meets its quality bar on a hosted frontier model is not deliverable to the air-gapped customer.</w:t>
      </w:r>
    </w:p>
    <w:p>
      <w:pPr>
        <w:pStyle w:val="BodyText"/>
      </w:pPr>
      <w:r>
        <w:rPr>
          <w:bCs/>
          <w:b/>
        </w:rPr>
        <w:t xml:space="preserve">Expert / SME Chatbot (learner-facing M26 and authoring-support M23)</w:t>
      </w:r>
    </w:p>
    <w:p>
      <w:pPr>
        <w:pStyle w:val="BodyText"/>
      </w:pPr>
      <w:r>
        <w:t xml:space="preserve">Test: correct answer from one manual; conflicting manuals; superseded manual (M25 revision race); missing answer; ambiguous question; prompt injection inside uploaded documents; unauthorized document; incorrect citation; citation that does not support the answer; multi-document synthesis; OCR corruption; table interpretation; diagram-dependent question; low-confidence retrieval; model outage; embedding-model change; behavior difference between hosted and local model on the same evaluation set.</w:t>
      </w:r>
    </w:p>
    <w:p>
      <w:pPr>
        <w:pStyle w:val="BodyText"/>
      </w:pPr>
      <w:r>
        <w:t xml:space="preserve">Measure: retrieval precision and recall; citation correctness; answer groundedness; refusal correctness; hallucination rate; cross-tenant leakage; latency; cost per response (tokens for hosted; amortized GPU-hours for local).</w:t>
      </w:r>
    </w:p>
    <w:p>
      <w:pPr>
        <w:pStyle w:val="BodyText"/>
      </w:pPr>
      <w:r>
        <w:rPr>
          <w:bCs/>
          <w:b/>
        </w:rPr>
        <w:t xml:space="preserve">At-risk Engine / Personalized Learning Engine</w:t>
      </w:r>
    </w:p>
    <w:p>
      <w:pPr>
        <w:pStyle w:val="BodyText"/>
      </w:pPr>
      <w:r>
        <w:t xml:space="preserve">Test: false positive; false negative; new learner with little data; learner with accessibility accommodations; learner with intermittent connectivity; high-performing learner who completes rapidly; learner whose activity is recorded incorrectly; bias across groups; concept drift; missing events; duplicate events; and federated skew — a PLE trained or tuned on connected-site data applied to an enclave population with different activity patterns.</w:t>
      </w:r>
    </w:p>
    <w:p>
      <w:pPr>
        <w:pStyle w:val="BodyText"/>
      </w:pPr>
      <w:r>
        <w:t xml:space="preserve">Require: explainable factors; confidence score; human review; intervention tracking; outcome evaluation; model or rule versioning; ability to appeal or correct data. Where cross-site model improvement is proposed, evaluate federated learning against centralized training: what moves (weights, gradients, features, nothing), privacy guarantees, aggregation governance, and whether the added complexity is justified at current scale.</w:t>
      </w:r>
    </w:p>
    <w:p>
      <w:pPr>
        <w:pStyle w:val="BodyText"/>
      </w:pPr>
      <w:r>
        <w:rPr>
          <w:bCs/>
          <w:b/>
        </w:rPr>
        <w:t xml:space="preserve">AI Assessment, Test Banks, and Semantic Grading (M27)</w:t>
      </w:r>
    </w:p>
    <w:p>
      <w:pPr>
        <w:pStyle w:val="BodyText"/>
      </w:pPr>
      <w:r>
        <w:t xml:space="preserve">Test: equivalent correct wording; partially correct answer; confident incorrect answer; copy-pasted irrelevant answer; adversarial prompt; non-native language; short answer; long answer; technically correct answer not present in reference; unsafe answer; grading inconsistency across repeated runs — with special attention to run-to-run variance on quantized local models. Require human-review thresholds, deterministic fallback rules, item-bank psychometrics (difficulty, discrimination), and version-pinned grading models per enclave with recorded model version on every grade.</w:t>
      </w:r>
    </w:p>
    <w:p>
      <w:pPr>
        <w:pStyle w:val="BodyText"/>
      </w:pPr>
      <w:r>
        <w:rPr>
          <w:bCs/>
          <w:b/>
        </w:rPr>
        <w:t xml:space="preserve">Adaptive Lessons, Gap and Difference Training</w:t>
      </w:r>
    </w:p>
    <w:p>
      <w:pPr>
        <w:pStyle w:val="BodyText"/>
      </w:pPr>
      <w:r>
        <w:t xml:space="preserve">Verify: content prerequisites; skill ontology (M19 is the single authority); recommendation explainability; maximum allowed path change; instructor override; learner visibility; versioning; accessibility; evidence that adaptation improves outcomes; prevention of endless remediation loops; prevention of removing required instruction; difference-training correctness when equipment versions diverge (M36 must not certify on the wrong variant).</w:t>
      </w:r>
    </w:p>
    <w:p>
      <w:pPr>
        <w:pStyle w:val="BodyText"/>
      </w:pPr>
      <w:r>
        <w:rPr>
          <w:bCs/>
          <w:b/>
        </w:rPr>
        <w:t xml:space="preserve">Procedural Walkthrough Engine (M35)</w:t>
      </w:r>
    </w:p>
    <w:p>
      <w:pPr>
        <w:pStyle w:val="BodyText"/>
      </w:pPr>
      <w:r>
        <w:t xml:space="preserve">Test: action-capture fidelity (missed actions, phantom actions); step-order tolerance; scoring validity against SME judgment; report accuracy; log integrity (walkthrough logs may become competency evidence and must be tamper-evident); behavior when tracking hardware degrades; learner gaming of the capture system.</w:t>
      </w:r>
    </w:p>
    <w:p>
      <w:pPr>
        <w:pStyle w:val="BodyText"/>
      </w:pPr>
      <w:r>
        <w:rPr>
          <w:bCs/>
          <w:b/>
        </w:rPr>
        <w:t xml:space="preserve">Model lifecycle governance (all AI modules)</w:t>
      </w:r>
    </w:p>
    <w:p>
      <w:pPr>
        <w:pStyle w:val="BodyText"/>
      </w:pPr>
      <w:r>
        <w:t xml:space="preserve">Require: an approved-model registry per deployment; evaluation gates before any model enters production or an enclave; regression evaluation on fixed datasets at every model or prompt change; rollback procedure per enclave; recorded model+prompt+index versions on every AI-influenced decision that touches a learner record.</w:t>
      </w:r>
    </w:p>
    <w:bookmarkEnd w:id="52"/>
    <w:bookmarkStart w:id="53" w:name="Xfea5b172a6cae34a9da54b2a1992a805397b045"/>
    <w:p>
      <w:pPr>
        <w:pStyle w:val="Heading2"/>
      </w:pPr>
      <w:r>
        <w:t xml:space="preserve">LOOP 13 — EDUCATIONAL DESIGN AND VALIDITY TEST</w:t>
      </w:r>
    </w:p>
    <w:p>
      <w:pPr>
        <w:pStyle w:val="FirstParagraph"/>
      </w:pPr>
      <w:r>
        <w:t xml:space="preserve">Assess whether EdVidura’s technical features produce valid learning outcomes, under the standing Pedagogy Design Review Protocol (P2) — which this loop must define operationally: review stages, reviewer roles, entry/exit criteria, sampling rates for AI-generated content, and the authority to block release.</w:t>
      </w:r>
    </w:p>
    <w:p>
      <w:pPr>
        <w:pStyle w:val="BodyText"/>
      </w:pPr>
      <w:r>
        <w:t xml:space="preserve">Evaluate: learning-objective alignment; assessment validity; competency mapping; question difficulty; feedback quality; remediation logic; adaptive-path validity; evidence requirements for skill certification; instructor oversight; accessibility accommodations; learner motivation; risk of over-surveillance (action-level capture in M35 and AR observation in M38 raise this sharply); risk of interpreting activity as learning.</w:t>
      </w:r>
    </w:p>
    <w:p>
      <w:pPr>
        <w:pStyle w:val="BodyText"/>
      </w:pPr>
      <w:r>
        <w:t xml:space="preserve">Challenge assumptions such as: time on page equals engagement; repeated attempts equal guessing; low activity equals risk; quiz score equals job competence; AI-generated questions are instructionally valid; simulator completion proves real-world proficiency; walkthrough-step compliance proves procedural understanding.</w:t>
      </w:r>
    </w:p>
    <w:p>
      <w:pPr>
        <w:pStyle w:val="BodyText"/>
      </w:pPr>
      <w:r>
        <w:t xml:space="preserve">Require an evidence model that separates: participation; completion; knowledge; application; performance; competence; certification — and map each MOE and upgrade-readiness metric (P3, M38) to the evidence level it actually measures. The Accelerate Upgrade Readiness Measurement Plan must state its baseline, cohort design, confounders, and the minimum effect it can detect before anyone claims acceleration.</w:t>
      </w:r>
    </w:p>
    <w:bookmarkEnd w:id="53"/>
    <w:bookmarkStart w:id="54" w:name="X062e484bed355f2a0fe7153f1ce592d0dfa7c91"/>
    <w:p>
      <w:pPr>
        <w:pStyle w:val="Heading2"/>
      </w:pPr>
      <w:r>
        <w:t xml:space="preserve">LOOP 14 — ACCESSIBILITY AND INCLUSIVE DESIGN TEST</w:t>
      </w:r>
    </w:p>
    <w:p>
      <w:pPr>
        <w:pStyle w:val="FirstParagraph"/>
      </w:pPr>
      <w:r>
        <w:t xml:space="preserve">Target at least WCAG 2.2 AA — plus Section 508 or the customer’s national equivalent where contractually required — unless a stricter customer requirement applies.</w:t>
      </w:r>
    </w:p>
    <w:p>
      <w:pPr>
        <w:pStyle w:val="BodyText"/>
      </w:pPr>
      <w:r>
        <w:t xml:space="preserve">Test: keyboard navigation; screen-reader output; focus order; color contrast; zoom; reflow; captions; transcripts; audio descriptions; alternative text; tables; forms; error messages; time limits; motion reduction; cognitive load; plain-language support; embedded LTI tools; interactive eBooks (including digitized technical manuals with complex tables and diagrams); dashboards; charts; chatbot; mobile store; microlearning app; simulator launcher; and XR/AR experiences (motion sickness mitigation, seated/standing alternatives, non-XR equivalent paths for learners who cannot use headsets — certification pathways must not require an inaccessible modality without an approved alternative).</w:t>
      </w:r>
    </w:p>
    <w:p>
      <w:pPr>
        <w:pStyle w:val="BodyText"/>
      </w:pPr>
      <w:r>
        <w:t xml:space="preserve">Do not assume converted PDF content is accessible. Require accessibility verification during content ingestion (M24), authoring (M22 — the DCT must block publishing inaccessible content, not merely warn), delivery, and update.</w:t>
      </w:r>
    </w:p>
    <w:bookmarkEnd w:id="54"/>
    <w:bookmarkStart w:id="55" w:name="X11652fb9eeb3681c5ef2d06807fbe395829a2e7"/>
    <w:p>
      <w:pPr>
        <w:pStyle w:val="Heading2"/>
      </w:pPr>
      <w:r>
        <w:t xml:space="preserve">LOOP 15 — OBSERVABILITY AND OPERATIONS TEST</w:t>
      </w:r>
    </w:p>
    <w:p>
      <w:pPr>
        <w:pStyle w:val="FirstParagraph"/>
      </w:pPr>
      <w:r>
        <w:t xml:space="preserve">Determine whether operators can answer: Is the platform available? Which module is failing? Which tenant or command is affected? Which user journey is failing? Are events being lost? Are grades delayed? Are reports stale? Is the AI retrieval index current — in every enclave? Are offline devices synchronizing? Are queues growing? Are errors increasing after a deployment? Has a tenant-boundary or federation-boundary violation occurred? Is any enclave running an outdated model, index, or content set? Is GPU capacity approaching saturation? Are the immersive-lab device fleets healthy?</w:t>
      </w:r>
    </w:p>
    <w:p>
      <w:pPr>
        <w:pStyle w:val="BodyText"/>
      </w:pPr>
      <w:r>
        <w:t xml:space="preserve">Require: structured logs; metrics; distributed traces; correlation IDs; tenant-aware monitoring; business-event monitoring; synthetic LMS launches; synthetic grade passback; synthetic xAPI event tests; synthetic chatbot evaluation probes per enclave; alert thresholds; runbooks; escalation paths; service-level objectives; error budgets; status communication process — plus an enclave operations doctrine: monitoring that works without phoning home, locally actionable alerts, exportable diagnostic bundles for cleared support channels, and a defined remote-support-impossible troubleshooting path.</w:t>
      </w:r>
    </w:p>
    <w:p>
      <w:pPr>
        <w:pStyle w:val="BodyText"/>
      </w:pPr>
      <w:r>
        <w:t xml:space="preserve">Define module-level and journey-level SLOs, separately per deployment model where they differ.</w:t>
      </w:r>
    </w:p>
    <w:bookmarkEnd w:id="55"/>
    <w:bookmarkStart w:id="56" w:name="X4e21ee41f47f061ed9fbfdb1973cafaab5d9c34"/>
    <w:p>
      <w:pPr>
        <w:pStyle w:val="Heading2"/>
      </w:pPr>
      <w:r>
        <w:t xml:space="preserve">LOOP 16 — BACKUP, DISASTER RECOVERY, AND BUSINESS CONTINUITY</w:t>
      </w:r>
    </w:p>
    <w:p>
      <w:pPr>
        <w:pStyle w:val="FirstParagraph"/>
      </w:pPr>
      <w:r>
        <w:t xml:space="preserve">Test recovery from: accidental deletion; database corruption; ransomware (including inside an enclave, where offsite backup means offline media); region outage; identity-system loss; object-storage loss; LRS corruption; search-index loss; configuration loss; encryption-key loss; compromised administrator; failed upgrade; loss of an entire immersive-lab site; loss of the enterprise ELRR with intact local LRS instances (re-federation procedure); loss of a local LRS with intact enterprise ELRR (partial restore and gap accounting).</w:t>
      </w:r>
    </w:p>
    <w:p>
      <w:pPr>
        <w:pStyle w:val="BodyText"/>
      </w:pPr>
      <w:r>
        <w:t xml:space="preserve">For each data store, define: backup method; backup frequency; retention; encryption; restore test frequency; recovery-time objective; recovery-point objective; dependency order; evidence of successful restore.</w:t>
      </w:r>
    </w:p>
    <w:p>
      <w:pPr>
        <w:pStyle w:val="BodyText"/>
      </w:pPr>
      <w:r>
        <w:t xml:space="preserve">Require periodic full recovery exercises rather than backup-status checks alone — including at least one exercised enclave rebuild from offline media (infrastructure, data, models, content) with a measured time-to-training-resumed.</w:t>
      </w:r>
    </w:p>
    <w:bookmarkEnd w:id="56"/>
    <w:bookmarkStart w:id="57" w:name="Xd17df9a4c6c5fc11224c2675cf7448dc0b8dc5e"/>
    <w:p>
      <w:pPr>
        <w:pStyle w:val="Heading2"/>
      </w:pPr>
      <w:r>
        <w:t xml:space="preserve">LOOP 17 — DEVSECOPS AND RELEASE ENGINEERING TEST</w:t>
      </w:r>
    </w:p>
    <w:p>
      <w:pPr>
        <w:pStyle w:val="FirstParagraph"/>
      </w:pPr>
      <w:r>
        <w:t xml:space="preserve">Review: source control; branch protection; code review; dependency scanning; secret scanning; static analysis; dynamic analysis; container scanning; software bill of materials; license compliance (open-source license obligations across the whole stack, and model licenses); infrastructure as code; environment consistency; database migration; feature flags; rollback; canary deployment; blue-green deployment; configuration drift; test-data management; production-access control.</w:t>
      </w:r>
    </w:p>
    <w:p>
      <w:pPr>
        <w:pStyle w:val="BodyText"/>
      </w:pPr>
      <w:r>
        <w:t xml:space="preserve">Add the air-gapped delivery chain: build and sign in the connected environment → assemble a versioned, SBOM-attested release bundle (containers, models, content, migrations, docs) → boundary scan and approval → media transfer → enclave-side verification, staged application, and rollback capability. Test a failed enclave upgrade explicitly. Define how CVE response works when the fix must travel by media, and the maximum patch latency the accreditor will accept.</w:t>
      </w:r>
    </w:p>
    <w:p>
      <w:pPr>
        <w:pStyle w:val="BodyText"/>
      </w:pPr>
      <w:r>
        <w:t xml:space="preserve">Define release gates for every module. A module must not be considered complete merely because its user interface works. Require evidence for: functional tests; contract tests; security tests; performance tests; accessibility tests; recovery tests; observability; documentation; runbook; ownership; rollback; MOSA conformance (published contract + third-party-executable conformance test); air-gap installability (installs and runs from the release bundle with zero network egress).</w:t>
      </w:r>
    </w:p>
    <w:bookmarkEnd w:id="57"/>
    <w:bookmarkStart w:id="58" w:name="loop-18-test-architecture"/>
    <w:p>
      <w:pPr>
        <w:pStyle w:val="Heading2"/>
      </w:pPr>
      <w:r>
        <w:t xml:space="preserve">LOOP 18 — TEST ARCHITECTURE</w:t>
      </w:r>
    </w:p>
    <w:p>
      <w:pPr>
        <w:pStyle w:val="FirstParagraph"/>
      </w:pPr>
      <w:r>
        <w:t xml:space="preserve">Develop a complete test pyramid.</w:t>
      </w:r>
    </w:p>
    <w:p>
      <w:pPr>
        <w:pStyle w:val="BodyText"/>
      </w:pPr>
      <w:r>
        <w:rPr>
          <w:bCs/>
          <w:b/>
        </w:rPr>
        <w:t xml:space="preserve">Unit tests</w:t>
      </w:r>
      <w:r>
        <w:t xml:space="preserve"> </w:t>
      </w:r>
      <w:r>
        <w:t xml:space="preserve">— isolated business rules, validators, parsers, scoring rules, authorization rules, transformations.</w:t>
      </w:r>
    </w:p>
    <w:p>
      <w:pPr>
        <w:pStyle w:val="BodyText"/>
      </w:pPr>
      <w:r>
        <w:rPr>
          <w:bCs/>
          <w:b/>
        </w:rPr>
        <w:t xml:space="preserve">Component tests</w:t>
      </w:r>
      <w:r>
        <w:t xml:space="preserve"> </w:t>
      </w:r>
      <w:r>
        <w:t xml:space="preserve">— each module with controlled substitutes for dependencies.</w:t>
      </w:r>
    </w:p>
    <w:p>
      <w:pPr>
        <w:pStyle w:val="BodyText"/>
      </w:pPr>
      <w:r>
        <w:rPr>
          <w:bCs/>
          <w:b/>
        </w:rPr>
        <w:t xml:space="preserve">Contract tests</w:t>
      </w:r>
      <w:r>
        <w:t xml:space="preserve"> </w:t>
      </w:r>
      <w:r>
        <w:t xml:space="preserve">— module API providers and consumers remain compatible. Include: OpenAPI contracts; event schemas; LTI claims; xAPI profiles; queue-message formats; error-response formats; TLA service contracts (ELRR, ECC, Competency Registry, Learner Profile APIs); federation transfer-manifest formats. Contract tests are also the MOSA conformance suite — they must be runnable by a third party against an alternative implementation.</w:t>
      </w:r>
    </w:p>
    <w:p>
      <w:pPr>
        <w:pStyle w:val="BodyText"/>
      </w:pPr>
      <w:r>
        <w:rPr>
          <w:bCs/>
          <w:b/>
        </w:rPr>
        <w:t xml:space="preserve">Integration tests</w:t>
      </w:r>
      <w:r>
        <w:t xml:space="preserve"> </w:t>
      </w:r>
      <w:r>
        <w:t xml:space="preserve">— real interactions between: Keycloak and API; LMS and Course connector; Quiz and Learning-data API; Learning-data API and LRS; Quiz and gradebook; Reports and read replicas; At-risk/PLE and event stream; Search index and chatbot; Simulator client and offline sync service; DCT and ECC; Competency Registry and assessment modules; local LRS and ELRR roll-up; cross-command pipeline end to end; DCT/M25 and the manual repository; local inference service and every AI module.</w:t>
      </w:r>
    </w:p>
    <w:p>
      <w:pPr>
        <w:pStyle w:val="BodyText"/>
      </w:pPr>
      <w:r>
        <w:rPr>
          <w:bCs/>
          <w:b/>
        </w:rPr>
        <w:t xml:space="preserve">End-to-end tests</w:t>
      </w:r>
      <w:r>
        <w:t xml:space="preserve"> </w:t>
      </w:r>
      <w:r>
        <w:t xml:space="preserve">— complete user journeys in certified LMS environments, executed in both a connected environment and a representative enclave environment.</w:t>
      </w:r>
    </w:p>
    <w:p>
      <w:pPr>
        <w:pStyle w:val="BodyText"/>
      </w:pPr>
      <w:r>
        <w:rPr>
          <w:bCs/>
          <w:b/>
        </w:rPr>
        <w:t xml:space="preserve">Chaos tests</w:t>
      </w:r>
      <w:r>
        <w:t xml:space="preserve"> </w:t>
      </w:r>
      <w:r>
        <w:t xml:space="preserve">— kill services; add latency; drop messages; expire certificates; block databases; return malformed responses; reduce storage; reorder events; saturate the GPU; corrupt a federation batch; disconnect the enclave mid-sync.</w:t>
      </w:r>
    </w:p>
    <w:p>
      <w:pPr>
        <w:pStyle w:val="BodyText"/>
      </w:pPr>
      <w:r>
        <w:rPr>
          <w:bCs/>
          <w:b/>
        </w:rPr>
        <w:t xml:space="preserve">Security tests</w:t>
      </w:r>
      <w:r>
        <w:t xml:space="preserve"> </w:t>
      </w:r>
      <w:r>
        <w:t xml:space="preserve">— SAST; DAST; SCA; API penetration testing; authorization testing; tenant-isolation testing; federation-boundary testing; file-upload testing; prompt-injection testing; media-transfer abuse testing.</w:t>
      </w:r>
    </w:p>
    <w:p>
      <w:pPr>
        <w:pStyle w:val="BodyText"/>
      </w:pPr>
      <w:r>
        <w:rPr>
          <w:bCs/>
          <w:b/>
        </w:rPr>
        <w:t xml:space="preserve">Data-quality tests</w:t>
      </w:r>
      <w:r>
        <w:t xml:space="preserve"> </w:t>
      </w:r>
      <w:r>
        <w:t xml:space="preserve">— required fields; schema conformance; referential integrity; duplicate rate; missing-event rate; event-ordering accuracy; grade reconciliation; tenant attribution; timestamp quality; federation reconciliation (local vs rolled-up counts and checksums).</w:t>
      </w:r>
    </w:p>
    <w:p>
      <w:pPr>
        <w:pStyle w:val="BodyText"/>
      </w:pPr>
      <w:r>
        <w:rPr>
          <w:bCs/>
          <w:b/>
        </w:rPr>
        <w:t xml:space="preserve">AI evaluation tests</w:t>
      </w:r>
      <w:r>
        <w:t xml:space="preserve"> </w:t>
      </w:r>
      <w:r>
        <w:t xml:space="preserve">— fixed evaluation datasets and regression benchmarks, executed per model per deployment class (hosted and each approved local model), with drift alarms.</w:t>
      </w:r>
    </w:p>
    <w:p>
      <w:pPr>
        <w:pStyle w:val="BodyText"/>
      </w:pPr>
      <w:r>
        <w:rPr>
          <w:bCs/>
          <w:b/>
        </w:rPr>
        <w:t xml:space="preserve">Usability tests</w:t>
      </w:r>
      <w:r>
        <w:t xml:space="preserve"> </w:t>
      </w:r>
      <w:r>
        <w:t xml:space="preserve">— representative learners, instructors, authors, administrators, lab technicians, and accessibility users.</w:t>
      </w:r>
    </w:p>
    <w:p>
      <w:pPr>
        <w:pStyle w:val="BodyText"/>
      </w:pPr>
      <w:r>
        <w:rPr>
          <w:bCs/>
          <w:b/>
        </w:rPr>
        <w:t xml:space="preserve">Operational acceptance tests</w:t>
      </w:r>
      <w:r>
        <w:t xml:space="preserve"> </w:t>
      </w:r>
      <w:r>
        <w:t xml:space="preserve">— operators diagnose and recover from predefined incidents, including enclave-only incidents without external support.</w:t>
      </w:r>
    </w:p>
    <w:p>
      <w:pPr>
        <w:pStyle w:val="BodyText"/>
      </w:pPr>
      <w:r>
        <w:rPr>
          <w:bCs/>
          <w:b/>
        </w:rPr>
        <w:t xml:space="preserve">TLA conformance tests</w:t>
      </w:r>
      <w:r>
        <w:t xml:space="preserve"> </w:t>
      </w:r>
      <w:r>
        <w:t xml:space="preserve">— independent verification that data flows, catalogue entries, competency assertions, and learner-profile exchanges conform to the declared TLA service contracts and target CMM level.</w:t>
      </w:r>
    </w:p>
    <w:bookmarkEnd w:id="58"/>
    <w:bookmarkStart w:id="59" w:name="loop-19-gap-analysis"/>
    <w:p>
      <w:pPr>
        <w:pStyle w:val="Heading2"/>
      </w:pPr>
      <w:r>
        <w:t xml:space="preserve">LOOP 19 — GAP ANALYSIS</w:t>
      </w:r>
    </w:p>
    <w:p>
      <w:pPr>
        <w:pStyle w:val="FirstParagraph"/>
      </w:pPr>
      <w:r>
        <w:t xml:space="preserve">Classify every identified gap into one of: product requirement gap; architecture gap; module-boundary gap; integration gap; data-model gap; security gap; privacy gap; compliance/accreditation gap; MOSA/openness gap; TLA-conformance gap; air-gap/disconnected-operations gap; federation gap; testing gap; performance gap; scalability gap; reliability gap; recovery gap; accessibility gap; AI-governance gap; instructional-design gap; measurement/MOE gap; operational-readiness gap; hardware/logistics gap; documentation gap; ownership gap; cost gap; schedule gap; skills gap; vendor or open-source dependency gap.</w:t>
      </w:r>
    </w:p>
    <w:p>
      <w:pPr>
        <w:pStyle w:val="BodyText"/>
      </w:pPr>
      <w:r>
        <w:t xml:space="preserve">For each gap, provide: Gap ID; description; evidence; affected modules; root cause; business impact; technical impact; probability; severity; detectability; risk score; recommended correction; owner; target phase; verification test; exit criterion.</w:t>
      </w:r>
    </w:p>
    <w:bookmarkEnd w:id="59"/>
    <w:bookmarkStart w:id="60" w:name="X616cfe1cfd4f46412812158f3f67b071547e6c8"/>
    <w:p>
      <w:pPr>
        <w:pStyle w:val="Heading2"/>
      </w:pPr>
      <w:r>
        <w:t xml:space="preserve">LOOP 20 — EXPLAIN WHY THE APPROACH NEEDS MODIFICATION</w:t>
      </w:r>
    </w:p>
    <w:p>
      <w:pPr>
        <w:pStyle w:val="FirstParagraph"/>
      </w:pPr>
      <w:r>
        <w:t xml:space="preserve">Do not recommend changes without explaining why. For every major modification, provide: Current approach; Problem; Failure example; Consequence; Recommended modification; Why the modification is better; Trade-off; Validation method.</w:t>
      </w:r>
    </w:p>
    <w:p>
      <w:pPr>
        <w:pStyle w:val="BodyText"/>
      </w:pPr>
      <w:r>
        <w:t xml:space="preserve">Examples of modifications to consider:</w:t>
      </w:r>
    </w:p>
    <w:p>
      <w:pPr>
        <w:numPr>
          <w:ilvl w:val="0"/>
          <w:numId w:val="1035"/>
        </w:numPr>
        <w:pStyle w:val="Compact"/>
      </w:pPr>
      <w:r>
        <w:t xml:space="preserve">Replace layer-by-layer implementation with vertical slices that each ship in connected AND enclave form</w:t>
      </w:r>
    </w:p>
    <w:p>
      <w:pPr>
        <w:numPr>
          <w:ilvl w:val="0"/>
          <w:numId w:val="1035"/>
        </w:numPr>
        <w:pStyle w:val="Compact"/>
      </w:pPr>
      <w:r>
        <w:t xml:space="preserve">Introduce a canonical event schema and xAPI profile set before module development</w:t>
      </w:r>
    </w:p>
    <w:p>
      <w:pPr>
        <w:numPr>
          <w:ilvl w:val="0"/>
          <w:numId w:val="1035"/>
        </w:numPr>
        <w:pStyle w:val="Compact"/>
      </w:pPr>
      <w:r>
        <w:t xml:space="preserve">Stand up the Competency Registry (M19) and ECC (M18) metadata model before building assessment and adaptive modules that depend on them</w:t>
      </w:r>
    </w:p>
    <w:p>
      <w:pPr>
        <w:numPr>
          <w:ilvl w:val="0"/>
          <w:numId w:val="1035"/>
        </w:numPr>
        <w:pStyle w:val="Compact"/>
      </w:pPr>
      <w:r>
        <w:t xml:space="preserve">Separate API gateway responsibilities from event-bus responsibilities</w:t>
      </w:r>
    </w:p>
    <w:p>
      <w:pPr>
        <w:numPr>
          <w:ilvl w:val="0"/>
          <w:numId w:val="1035"/>
        </w:numPr>
        <w:pStyle w:val="Compact"/>
      </w:pPr>
      <w:r>
        <w:t xml:space="preserve">Add transactional outbox patterns; add tenant-aware data controls at multiple layers</w:t>
      </w:r>
    </w:p>
    <w:p>
      <w:pPr>
        <w:numPr>
          <w:ilvl w:val="0"/>
          <w:numId w:val="1035"/>
        </w:numPr>
        <w:pStyle w:val="Compact"/>
      </w:pPr>
      <w:r>
        <w:t xml:space="preserve">Add a dedicated audit service or common audit standard; add API and event-contract governance with third-party conformance suites (MOSA)</w:t>
      </w:r>
    </w:p>
    <w:p>
      <w:pPr>
        <w:numPr>
          <w:ilvl w:val="0"/>
          <w:numId w:val="1035"/>
        </w:numPr>
        <w:pStyle w:val="Compact"/>
      </w:pPr>
      <w:r>
        <w:t xml:space="preserve">Add a shared local-inference platform service instead of per-module model serving</w:t>
      </w:r>
    </w:p>
    <w:p>
      <w:pPr>
        <w:numPr>
          <w:ilvl w:val="0"/>
          <w:numId w:val="1035"/>
        </w:numPr>
        <w:pStyle w:val="Compact"/>
      </w:pPr>
      <w:r>
        <w:t xml:space="preserve">Add AI evaluation gates before production use, per model per enclave</w:t>
      </w:r>
    </w:p>
    <w:p>
      <w:pPr>
        <w:numPr>
          <w:ilvl w:val="0"/>
          <w:numId w:val="1035"/>
        </w:numPr>
        <w:pStyle w:val="Compact"/>
      </w:pPr>
      <w:r>
        <w:t xml:space="preserve">Add LMS certification matrices; add reconciliation services for grades and official records — including cross-federation reconciliation</w:t>
      </w:r>
    </w:p>
    <w:p>
      <w:pPr>
        <w:numPr>
          <w:ilvl w:val="0"/>
          <w:numId w:val="1035"/>
        </w:numPr>
        <w:pStyle w:val="Compact"/>
      </w:pPr>
      <w:r>
        <w:t xml:space="preserve">Add data-retention and deletion architecture that survives federation</w:t>
      </w:r>
    </w:p>
    <w:p>
      <w:pPr>
        <w:numPr>
          <w:ilvl w:val="0"/>
          <w:numId w:val="1035"/>
        </w:numPr>
        <w:pStyle w:val="Compact"/>
      </w:pPr>
      <w:r>
        <w:t xml:space="preserve">Add observability before scaling; add disaster-recovery testing (including enclave rebuild) before customer onboarding</w:t>
      </w:r>
    </w:p>
    <w:p>
      <w:pPr>
        <w:numPr>
          <w:ilvl w:val="0"/>
          <w:numId w:val="1035"/>
        </w:numPr>
        <w:pStyle w:val="Compact"/>
      </w:pPr>
      <w:r>
        <w:t xml:space="preserve">Add human-review queues for high-impact AI decisions</w:t>
      </w:r>
    </w:p>
    <w:p>
      <w:pPr>
        <w:numPr>
          <w:ilvl w:val="0"/>
          <w:numId w:val="1035"/>
        </w:numPr>
        <w:pStyle w:val="Compact"/>
      </w:pPr>
      <w:r>
        <w:t xml:space="preserve">Start ATO engagement (P1) in parallel with the first vertical slice, not after</w:t>
      </w:r>
    </w:p>
    <w:p>
      <w:pPr>
        <w:numPr>
          <w:ilvl w:val="0"/>
          <w:numId w:val="1035"/>
        </w:numPr>
        <w:pStyle w:val="Compact"/>
      </w:pPr>
      <w:r>
        <w:t xml:space="preserve">Build a reference immersive lab and validate it before replicating to a second site</w:t>
      </w:r>
    </w:p>
    <w:bookmarkEnd w:id="60"/>
    <w:bookmarkStart w:id="61" w:name="loop-21-excellent-design-method"/>
    <w:p>
      <w:pPr>
        <w:pStyle w:val="Heading2"/>
      </w:pPr>
      <w:r>
        <w:t xml:space="preserve">LOOP 21 — EXCELLENT DESIGN METHOD</w:t>
      </w:r>
    </w:p>
    <w:p>
      <w:pPr>
        <w:pStyle w:val="FirstParagraph"/>
      </w:pPr>
      <w:r>
        <w:t xml:space="preserve">Evaluate the proposed solution against the following design principles.</w:t>
      </w:r>
    </w:p>
    <w:p>
      <w:pPr>
        <w:pStyle w:val="BodyText"/>
      </w:pPr>
      <w:r>
        <w:rPr>
          <w:bCs/>
          <w:b/>
        </w:rPr>
        <w:t xml:space="preserve">Domain-driven design</w:t>
      </w:r>
      <w:r>
        <w:t xml:space="preserve"> </w:t>
      </w:r>
      <w:r>
        <w:t xml:space="preserve">— clear business domains; bounded contexts; explicit ownership; shared language; minimal cross-domain coupling.</w:t>
      </w:r>
    </w:p>
    <w:p>
      <w:pPr>
        <w:pStyle w:val="BodyText"/>
      </w:pPr>
      <w:r>
        <w:rPr>
          <w:bCs/>
          <w:b/>
        </w:rPr>
        <w:t xml:space="preserve">MOSA / open-systems design</w:t>
      </w:r>
      <w:r>
        <w:t xml:space="preserve"> </w:t>
      </w:r>
      <w:r>
        <w:t xml:space="preserve">— severable modules; openly published, versioned interfaces; third-party-implementable contracts; conformance test suites as deliverables; explicit data-rights and IP position per module; documented exit strategy for every proprietary component; no proprietary interface on any module boundary.</w:t>
      </w:r>
    </w:p>
    <w:p>
      <w:pPr>
        <w:pStyle w:val="BodyText"/>
      </w:pPr>
      <w:r>
        <w:rPr>
          <w:bCs/>
          <w:b/>
        </w:rPr>
        <w:t xml:space="preserve">API-first and contract-first design</w:t>
      </w:r>
      <w:r>
        <w:t xml:space="preserve"> </w:t>
      </w:r>
      <w:r>
        <w:t xml:space="preserve">— versioned contracts; consumer review; backward compatibility; standard error models; idempotency; pagination; rate limiting.</w:t>
      </w:r>
    </w:p>
    <w:p>
      <w:pPr>
        <w:pStyle w:val="BodyText"/>
      </w:pPr>
      <w:r>
        <w:rPr>
          <w:bCs/>
          <w:b/>
        </w:rPr>
        <w:t xml:space="preserve">Event-driven design with discipline</w:t>
      </w:r>
      <w:r>
        <w:t xml:space="preserve"> </w:t>
      </w:r>
      <w:r>
        <w:t xml:space="preserve">— events represent completed facts; schemas are versioned; consumers are idempotent; ordering assumptions are documented; dead-letter handling exists; replay is supported; sensitive data is minimized.</w:t>
      </w:r>
    </w:p>
    <w:p>
      <w:pPr>
        <w:pStyle w:val="BodyText"/>
      </w:pPr>
      <w:r>
        <w:rPr>
          <w:bCs/>
          <w:b/>
        </w:rPr>
        <w:t xml:space="preserve">Zero-trust security</w:t>
      </w:r>
      <w:r>
        <w:t xml:space="preserve"> </w:t>
      </w:r>
      <w:r>
        <w:t xml:space="preserve">— authenticate every request; authorize every action; least privilege; assume network compromise; log privileged activity; rotate credentials; separate duties.</w:t>
      </w:r>
    </w:p>
    <w:p>
      <w:pPr>
        <w:pStyle w:val="BodyText"/>
      </w:pPr>
      <w:r>
        <w:rPr>
          <w:bCs/>
          <w:b/>
        </w:rPr>
        <w:t xml:space="preserve">Privacy by design</w:t>
      </w:r>
      <w:r>
        <w:t xml:space="preserve"> </w:t>
      </w:r>
      <w:r>
        <w:t xml:space="preserve">— collect only necessary data; classify inferred learner data; define retention; support correction and deletion; restrict secondary use; apply data-minimization to federation (roll up the least data that satisfies the enterprise need).</w:t>
      </w:r>
    </w:p>
    <w:p>
      <w:pPr>
        <w:pStyle w:val="BodyText"/>
      </w:pPr>
      <w:r>
        <w:rPr>
          <w:bCs/>
          <w:b/>
        </w:rPr>
        <w:t xml:space="preserve">Accessibility by design</w:t>
      </w:r>
      <w:r>
        <w:t xml:space="preserve"> </w:t>
      </w:r>
      <w:r>
        <w:t xml:space="preserve">— requirements begin at design; component libraries are tested; content ingestion includes accessibility validation; automated tests supplemented by human testing.</w:t>
      </w:r>
    </w:p>
    <w:p>
      <w:pPr>
        <w:pStyle w:val="BodyText"/>
      </w:pPr>
      <w:r>
        <w:rPr>
          <w:bCs/>
          <w:b/>
        </w:rPr>
        <w:t xml:space="preserve">Reliability by design</w:t>
      </w:r>
      <w:r>
        <w:t xml:space="preserve"> </w:t>
      </w:r>
      <w:r>
        <w:t xml:space="preserve">— timeouts; retries; backoff; circuit breakers; idempotency; bulkheads; graceful degradation; reconciliation; disaster recovery.</w:t>
      </w:r>
    </w:p>
    <w:p>
      <w:pPr>
        <w:pStyle w:val="BodyText"/>
      </w:pPr>
      <w:r>
        <w:rPr>
          <w:bCs/>
          <w:b/>
        </w:rPr>
        <w:t xml:space="preserve">Observability by design</w:t>
      </w:r>
      <w:r>
        <w:t xml:space="preserve"> </w:t>
      </w:r>
      <w:r>
        <w:t xml:space="preserve">— metrics, logs, and traces defined with features; business outcomes monitored; alerts actionable; runbooks exist.</w:t>
      </w:r>
    </w:p>
    <w:p>
      <w:pPr>
        <w:pStyle w:val="BodyText"/>
      </w:pPr>
      <w:r>
        <w:rPr>
          <w:bCs/>
          <w:b/>
        </w:rPr>
        <w:t xml:space="preserve">AI safety by design</w:t>
      </w:r>
      <w:r>
        <w:t xml:space="preserve"> </w:t>
      </w:r>
      <w:r>
        <w:t xml:space="preserve">— approved sources; evaluation datasets; confidence thresholds; human review; versioning; bias testing; explainability; appeals; safe refusal; auditability; model-lifecycle governance per enclave.</w:t>
      </w:r>
    </w:p>
    <w:p>
      <w:pPr>
        <w:pStyle w:val="BodyText"/>
      </w:pPr>
      <w:r>
        <w:rPr>
          <w:bCs/>
          <w:b/>
        </w:rPr>
        <w:t xml:space="preserve">Disconnected-first design</w:t>
      </w:r>
      <w:r>
        <w:t xml:space="preserve"> </w:t>
      </w:r>
      <w:r>
        <w:t xml:space="preserve">— every capability defined with its offline/degraded behavior; no silent connectivity assumptions; local autonomy with eventual, governed consistency.</w:t>
      </w:r>
    </w:p>
    <w:p>
      <w:pPr>
        <w:pStyle w:val="BodyText"/>
      </w:pPr>
      <w:r>
        <w:rPr>
          <w:bCs/>
          <w:b/>
        </w:rPr>
        <w:t xml:space="preserve">TLA-native design</w:t>
      </w:r>
      <w:r>
        <w:t xml:space="preserve"> </w:t>
      </w:r>
      <w:r>
        <w:t xml:space="preserve">— learning events, catalogue metadata, competency definitions, and learner profiles use TLA-conformant contracts from the first slice, so CMM progression is accumulation of evidence rather than re-architecture.</w:t>
      </w:r>
    </w:p>
    <w:bookmarkEnd w:id="61"/>
    <w:bookmarkStart w:id="62" w:name="loop-22-decision-options"/>
    <w:p>
      <w:pPr>
        <w:pStyle w:val="Heading2"/>
      </w:pPr>
      <w:r>
        <w:t xml:space="preserve">LOOP 22 — DECISION OPTIONS</w:t>
      </w:r>
    </w:p>
    <w:p>
      <w:pPr>
        <w:pStyle w:val="FirstParagraph"/>
      </w:pPr>
      <w:r>
        <w:t xml:space="preserve">For every major architecture decision, provide at least three options where appropriate. For each option, provide: best use case; benefits; limitations; risks; cost; required skills; operational complexity; migration path; recommendation; decision trigger.</w:t>
      </w:r>
    </w:p>
    <w:p>
      <w:pPr>
        <w:pStyle w:val="BodyText"/>
      </w:pPr>
      <w:r>
        <w:t xml:space="preserve">Mandatory decision analyses (minimum set):</w:t>
      </w:r>
    </w:p>
    <w:p>
      <w:pPr>
        <w:numPr>
          <w:ilvl w:val="0"/>
          <w:numId w:val="1036"/>
        </w:numPr>
        <w:pStyle w:val="Compact"/>
      </w:pPr>
      <w:r>
        <w:rPr>
          <w:bCs/>
          <w:b/>
        </w:rPr>
        <w:t xml:space="preserve">Event transport</w:t>
      </w:r>
      <w:r>
        <w:t xml:space="preserve"> </w:t>
      </w:r>
      <w:r>
        <w:t xml:space="preserve">— Option A: NATS. Option B: Kafka. Option C: PostgreSQL outbox + workers. Evaluate whether early-stage event volume justifies a dedicated broker.</w:t>
      </w:r>
    </w:p>
    <w:p>
      <w:pPr>
        <w:numPr>
          <w:ilvl w:val="0"/>
          <w:numId w:val="1036"/>
        </w:numPr>
        <w:pStyle w:val="Compact"/>
      </w:pPr>
      <w:r>
        <w:rPr>
          <w:bCs/>
          <w:b/>
        </w:rPr>
        <w:t xml:space="preserve">Local AI serving</w:t>
      </w:r>
      <w:r>
        <w:t xml:space="preserve"> </w:t>
      </w:r>
      <w:r>
        <w:t xml:space="preserve">— Option A: Ollama on single GPU nodes. Option B: vLLM/Triton-class serving on a GPU cluster with queueing and autoscaling. Option C: hybrid — hosted models where connected, local fallback tier with reduced capability. Evaluate against peak concurrency, model sizes, quantization quality loss, operations skill, and enclave hardware budget. State explicitly the quality delta accepted in air-gapped mode.</w:t>
      </w:r>
    </w:p>
    <w:p>
      <w:pPr>
        <w:numPr>
          <w:ilvl w:val="0"/>
          <w:numId w:val="1036"/>
        </w:numPr>
        <w:pStyle w:val="Compact"/>
      </w:pPr>
      <w:r>
        <w:rPr>
          <w:bCs/>
          <w:b/>
        </w:rPr>
        <w:t xml:space="preserve">Federation topology</w:t>
      </w:r>
      <w:r>
        <w:t xml:space="preserve"> </w:t>
      </w:r>
      <w:r>
        <w:t xml:space="preserve">— Option A: hub-and-spoke (all local LRS → enterprise ELRR). Option B: hierarchical (site → command → enterprise). Option C: peer federation with selective sharing. Evaluate against sovereignty rules, transfer-path constraints, latency of enterprise visibility, and failure isolation.</w:t>
      </w:r>
    </w:p>
    <w:p>
      <w:pPr>
        <w:numPr>
          <w:ilvl w:val="0"/>
          <w:numId w:val="1036"/>
        </w:numPr>
        <w:pStyle w:val="Compact"/>
      </w:pPr>
      <w:r>
        <w:rPr>
          <w:bCs/>
          <w:b/>
        </w:rPr>
        <w:t xml:space="preserve">Competency registry</w:t>
      </w:r>
      <w:r>
        <w:t xml:space="preserve"> </w:t>
      </w:r>
      <w:r>
        <w:t xml:space="preserve">— Option A: CaSS-class open-source deployment. Option B: build a lightweight registry service on PostgreSQL implementing open competency-framework standards. Option C: commercial registry. Evaluate against framework complexity, federation needs, and CMM Level 5 requirements.</w:t>
      </w:r>
    </w:p>
    <w:p>
      <w:pPr>
        <w:numPr>
          <w:ilvl w:val="0"/>
          <w:numId w:val="1036"/>
        </w:numPr>
        <w:pStyle w:val="Compact"/>
      </w:pPr>
      <w:r>
        <w:rPr>
          <w:bCs/>
          <w:b/>
        </w:rPr>
        <w:t xml:space="preserve">eBook/manual pipeline</w:t>
      </w:r>
      <w:r>
        <w:t xml:space="preserve"> </w:t>
      </w:r>
      <w:r>
        <w:t xml:space="preserve">— Option A: convert-and-freeze (batch digitization). Option B: live-linked rendering from structured source (M25-driven). Option C: hybrid with revision-triggered rebuilds. Evaluate against TO change frequency, accessibility remediation cost, and staleness risk.</w:t>
      </w:r>
    </w:p>
    <w:p>
      <w:pPr>
        <w:numPr>
          <w:ilvl w:val="0"/>
          <w:numId w:val="1036"/>
        </w:numPr>
        <w:pStyle w:val="Compact"/>
      </w:pPr>
      <w:r>
        <w:rPr>
          <w:bCs/>
          <w:b/>
        </w:rPr>
        <w:t xml:space="preserve">Multi-tenancy isolation</w:t>
      </w:r>
      <w:r>
        <w:t xml:space="preserve"> </w:t>
      </w:r>
      <w:r>
        <w:t xml:space="preserve">— Option A: shared schema + row-level security. Option B: schema-per-tenant. Option C: instance-per-tenant (mandatory to evaluate for enclave customers who are effectively instance-per-command anyway).</w:t>
      </w:r>
    </w:p>
    <w:p>
      <w:pPr>
        <w:numPr>
          <w:ilvl w:val="0"/>
          <w:numId w:val="1036"/>
        </w:numPr>
        <w:pStyle w:val="Compact"/>
      </w:pPr>
      <w:r>
        <w:rPr>
          <w:bCs/>
          <w:b/>
        </w:rPr>
        <w:t xml:space="preserve">Build vs buy vs open-source per module</w:t>
      </w:r>
      <w:r>
        <w:t xml:space="preserve"> </w:t>
      </w:r>
      <w:r>
        <w:t xml:space="preserve">— for each expanded module (M17–M38), state the recommended sourcing with exit strategy.</w:t>
      </w:r>
    </w:p>
    <w:p>
      <w:pPr>
        <w:pStyle w:val="FirstParagraph"/>
      </w:pPr>
      <w:r>
        <w:t xml:space="preserve">Do not recommend complex infrastructure merely because it is commonly used in enterprise systems. Apply the</w:t>
      </w:r>
      <w:r>
        <w:t xml:space="preserve"> </w:t>
      </w:r>
      <w:r>
        <w:t xml:space="preserve">“</w:t>
      </w:r>
      <w:r>
        <w:t xml:space="preserve">simplest architecture that satisfies verified requirements</w:t>
      </w:r>
      <w:r>
        <w:t xml:space="preserve">”</w:t>
      </w:r>
      <w:r>
        <w:t xml:space="preserve"> </w:t>
      </w:r>
      <w:r>
        <w:t xml:space="preserve">principle — while noting that</w:t>
      </w:r>
      <w:r>
        <w:t xml:space="preserve"> </w:t>
      </w:r>
      <w:r>
        <w:t xml:space="preserve">“</w:t>
      </w:r>
      <w:r>
        <w:t xml:space="preserve">verified requirements</w:t>
      </w:r>
      <w:r>
        <w:t xml:space="preserve">”</w:t>
      </w:r>
      <w:r>
        <w:t xml:space="preserve"> </w:t>
      </w:r>
      <w:r>
        <w:t xml:space="preserve">for this program include air-gap operation and federation, which legitimately raise the floor.</w:t>
      </w:r>
    </w:p>
    <w:bookmarkEnd w:id="62"/>
    <w:bookmarkStart w:id="63" w:name="loop-23-mosa-conformance-audit"/>
    <w:p>
      <w:pPr>
        <w:pStyle w:val="Heading2"/>
      </w:pPr>
      <w:r>
        <w:t xml:space="preserve">LOOP 23 — MOSA CONFORMANCE AUDIT</w:t>
      </w:r>
    </w:p>
    <w:p>
      <w:pPr>
        <w:pStyle w:val="FirstParagraph"/>
      </w:pPr>
      <w:r>
        <w:t xml:space="preserve">Audit the program against Modular Open Systems Approach criteria as testable requirements:</w:t>
      </w:r>
    </w:p>
    <w:p>
      <w:pPr>
        <w:numPr>
          <w:ilvl w:val="0"/>
          <w:numId w:val="1037"/>
        </w:numPr>
        <w:pStyle w:val="Compact"/>
      </w:pPr>
      <w:r>
        <w:rPr>
          <w:bCs/>
          <w:b/>
        </w:rPr>
        <w:t xml:space="preserve">Modularity map</w:t>
      </w:r>
      <w:r>
        <w:t xml:space="preserve"> </w:t>
      </w:r>
      <w:r>
        <w:t xml:space="preserve">— for every module, is it severable? What breaks if it is removed or replaced? Identify modules that are modules in name only (deployable separately but semantically welded to a sibling).</w:t>
      </w:r>
    </w:p>
    <w:p>
      <w:pPr>
        <w:numPr>
          <w:ilvl w:val="0"/>
          <w:numId w:val="1037"/>
        </w:numPr>
        <w:pStyle w:val="Compact"/>
      </w:pPr>
      <w:r>
        <w:rPr>
          <w:bCs/>
          <w:b/>
        </w:rPr>
        <w:t xml:space="preserve">Interface openness</w:t>
      </w:r>
      <w:r>
        <w:t xml:space="preserve"> </w:t>
      </w:r>
      <w:r>
        <w:t xml:space="preserve">— for every module boundary: is the contract published, versioned, standards-based (OpenAPI, xAPI, LTI 1.3, TLA service contracts), and implementable by a third party from documentation alone? List every undocumented, implicit, or proprietary interface as a MOSA violation.</w:t>
      </w:r>
    </w:p>
    <w:p>
      <w:pPr>
        <w:numPr>
          <w:ilvl w:val="0"/>
          <w:numId w:val="1037"/>
        </w:numPr>
        <w:pStyle w:val="Compact"/>
      </w:pPr>
      <w:r>
        <w:rPr>
          <w:bCs/>
          <w:b/>
        </w:rPr>
        <w:t xml:space="preserve">Conformance verifiability</w:t>
      </w:r>
      <w:r>
        <w:t xml:space="preserve"> </w:t>
      </w:r>
      <w:r>
        <w:t xml:space="preserve">— does a runnable conformance suite exist (or have an owner and date) for each contract?</w:t>
      </w:r>
    </w:p>
    <w:p>
      <w:pPr>
        <w:numPr>
          <w:ilvl w:val="0"/>
          <w:numId w:val="1037"/>
        </w:numPr>
        <w:pStyle w:val="Compact"/>
      </w:pPr>
      <w:r>
        <w:rPr>
          <w:bCs/>
          <w:b/>
        </w:rPr>
        <w:t xml:space="preserve">Data and IP rights</w:t>
      </w:r>
      <w:r>
        <w:t xml:space="preserve"> </w:t>
      </w:r>
      <w:r>
        <w:t xml:space="preserve">— for each module and artifact class (code, schemas, content, models, embeddings, test suites, documentation): who holds what rights? Flag every place where the customer could not recompete a module without the incumbent’s cooperation.</w:t>
      </w:r>
    </w:p>
    <w:p>
      <w:pPr>
        <w:numPr>
          <w:ilvl w:val="0"/>
          <w:numId w:val="1037"/>
        </w:numPr>
        <w:pStyle w:val="Compact"/>
      </w:pPr>
      <w:r>
        <w:rPr>
          <w:bCs/>
          <w:b/>
        </w:rPr>
        <w:t xml:space="preserve">Technology insertion</w:t>
      </w:r>
      <w:r>
        <w:t xml:space="preserve"> </w:t>
      </w:r>
      <w:r>
        <w:t xml:space="preserve">— demonstrate with two concrete walkthroughs that a component can be swapped: (a) replace the LRS implementation; (b) replace the local LLM. What actually has to change?</w:t>
      </w:r>
    </w:p>
    <w:p>
      <w:pPr>
        <w:numPr>
          <w:ilvl w:val="0"/>
          <w:numId w:val="1037"/>
        </w:numPr>
        <w:pStyle w:val="Compact"/>
      </w:pPr>
      <w:r>
        <w:rPr>
          <w:bCs/>
          <w:b/>
        </w:rPr>
        <w:t xml:space="preserve">Vendor-lock-in register</w:t>
      </w:r>
      <w:r>
        <w:t xml:space="preserve"> </w:t>
      </w:r>
      <w:r>
        <w:t xml:space="preserve">— every proprietary element (bought or built), its lock-in surface, and its documented exit strategy.</w:t>
      </w:r>
    </w:p>
    <w:p>
      <w:pPr>
        <w:numPr>
          <w:ilvl w:val="0"/>
          <w:numId w:val="1037"/>
        </w:numPr>
        <w:pStyle w:val="Compact"/>
      </w:pPr>
      <w:r>
        <w:rPr>
          <w:bCs/>
          <w:b/>
        </w:rPr>
        <w:t xml:space="preserve">Open-source sustainability</w:t>
      </w:r>
      <w:r>
        <w:t xml:space="preserve"> </w:t>
      </w:r>
      <w:r>
        <w:t xml:space="preserve">— for each open-source dependency: governance health, release cadence, security-response record, and the program’s plan (fork, fund, replace) if it dies. Open source is an ingredient strategy, not a warranty.</w:t>
      </w:r>
    </w:p>
    <w:p>
      <w:pPr>
        <w:pStyle w:val="FirstParagraph"/>
      </w:pPr>
      <w:r>
        <w:t xml:space="preserve">Output: MOSA conformance matrix (module × {severability, open interface, conformance suite, data rights, exit strategy}) with a red/amber/green rating and remediation actions.</w:t>
      </w:r>
    </w:p>
    <w:bookmarkEnd w:id="63"/>
    <w:bookmarkStart w:id="64" w:name="X87d3ec625c2ef2a423d1fd59f8b8990cddd9a76"/>
    <w:p>
      <w:pPr>
        <w:pStyle w:val="Heading2"/>
      </w:pPr>
      <w:r>
        <w:t xml:space="preserve">LOOP 24 — TLA CONFORMANCE AND CMM MATURITY AUDIT</w:t>
      </w:r>
    </w:p>
    <w:p>
      <w:pPr>
        <w:pStyle w:val="FirstParagraph"/>
      </w:pPr>
      <w:r>
        <w:t xml:space="preserve">Audit the Total Learning Architecture implementation as the system’s central spine:</w:t>
      </w:r>
    </w:p>
    <w:p>
      <w:pPr>
        <w:numPr>
          <w:ilvl w:val="0"/>
          <w:numId w:val="1038"/>
        </w:numPr>
        <w:pStyle w:val="Compact"/>
      </w:pPr>
      <w:r>
        <w:rPr>
          <w:bCs/>
          <w:b/>
        </w:rPr>
        <w:t xml:space="preserve">Component completeness</w:t>
      </w:r>
      <w:r>
        <w:t xml:space="preserve"> </w:t>
      </w:r>
      <w:r>
        <w:t xml:space="preserve">— are all four TLA data pillars (learner experience via xAPI/LRS/ELRR, content via ECC metadata, competencies via the registry, learner state via the profile service) designed with owners, contracts, and schedules? Identify pillar work hidden inside other modules.</w:t>
      </w:r>
    </w:p>
    <w:p>
      <w:pPr>
        <w:numPr>
          <w:ilvl w:val="0"/>
          <w:numId w:val="1038"/>
        </w:numPr>
        <w:pStyle w:val="Compact"/>
      </w:pPr>
      <w:r>
        <w:rPr>
          <w:bCs/>
          <w:b/>
        </w:rPr>
        <w:t xml:space="preserve">xAPI profile governance</w:t>
      </w:r>
      <w:r>
        <w:t xml:space="preserve"> </w:t>
      </w:r>
      <w:r>
        <w:t xml:space="preserve">— which published profiles are adopted, which custom profiles are defined, who owns vocabulary governance, and how profile versioning is handled across the federation.</w:t>
      </w:r>
    </w:p>
    <w:p>
      <w:pPr>
        <w:numPr>
          <w:ilvl w:val="0"/>
          <w:numId w:val="1038"/>
        </w:numPr>
        <w:pStyle w:val="Compact"/>
      </w:pPr>
      <w:r>
        <w:rPr>
          <w:bCs/>
          <w:b/>
        </w:rPr>
        <w:t xml:space="preserve">CMM Level 2 evidence</w:t>
      </w:r>
      <w:r>
        <w:t xml:space="preserve"> </w:t>
      </w:r>
      <w:r>
        <w:t xml:space="preserve">— microservices decomposition real (independently deployed, contract-tested) rather than a modular monolith described as microservices? All learning activity instrumented through the Learning-data API? Score it.</w:t>
      </w:r>
    </w:p>
    <w:p>
      <w:pPr>
        <w:numPr>
          <w:ilvl w:val="0"/>
          <w:numId w:val="1038"/>
        </w:numPr>
        <w:pStyle w:val="Compact"/>
      </w:pPr>
      <w:r>
        <w:rPr>
          <w:bCs/>
          <w:b/>
        </w:rPr>
        <w:t xml:space="preserve">CMM Level 3 evidence</w:t>
      </w:r>
      <w:r>
        <w:t xml:space="preserve"> </w:t>
      </w:r>
      <w:r>
        <w:t xml:space="preserve">— can course catalogue and learner-profile data actually interoperate with at least one external system? What is the demonstration, and when?</w:t>
      </w:r>
    </w:p>
    <w:p>
      <w:pPr>
        <w:numPr>
          <w:ilvl w:val="0"/>
          <w:numId w:val="1038"/>
        </w:numPr>
        <w:pStyle w:val="Compact"/>
      </w:pPr>
      <w:r>
        <w:rPr>
          <w:bCs/>
          <w:b/>
        </w:rPr>
        <w:t xml:space="preserve">CMM Level 5 plan</w:t>
      </w:r>
      <w:r>
        <w:t xml:space="preserve"> </w:t>
      </w:r>
      <w:r>
        <w:t xml:space="preserve">— enterprise competency mapping implies organization-wide framework agreement, evidence-quality standards for official records, and decision processes that consume them. Identify the non-technical dependencies (governance, HR/personnel integration, command agreement) and challenge whether the program controls them.</w:t>
      </w:r>
    </w:p>
    <w:p>
      <w:pPr>
        <w:numPr>
          <w:ilvl w:val="0"/>
          <w:numId w:val="1038"/>
        </w:numPr>
        <w:pStyle w:val="Compact"/>
      </w:pPr>
      <w:r>
        <w:rPr>
          <w:bCs/>
          <w:b/>
        </w:rPr>
        <w:t xml:space="preserve">ELRR federation semantics</w:t>
      </w:r>
      <w:r>
        <w:t xml:space="preserve"> </w:t>
      </w:r>
      <w:r>
        <w:t xml:space="preserve">— precisely what rolls up (statements, summaries, assertions), the canonical learner-matching rule, conflict policy, and provenance model (cross-check with Loop 6).</w:t>
      </w:r>
    </w:p>
    <w:p>
      <w:pPr>
        <w:numPr>
          <w:ilvl w:val="0"/>
          <w:numId w:val="1038"/>
        </w:numPr>
        <w:pStyle w:val="Compact"/>
      </w:pPr>
      <w:r>
        <w:rPr>
          <w:bCs/>
          <w:b/>
        </w:rPr>
        <w:t xml:space="preserve">Interoperability proof</w:t>
      </w:r>
      <w:r>
        <w:t xml:space="preserve"> </w:t>
      </w:r>
      <w:r>
        <w:t xml:space="preserve">— require a named external system and a dated conformance demonstration per CMM level claimed. A CMM level asserted without an interoperability demonstration is [ASSUMED].</w:t>
      </w:r>
    </w:p>
    <w:p>
      <w:pPr>
        <w:pStyle w:val="FirstParagraph"/>
      </w:pPr>
      <w:r>
        <w:t xml:space="preserve">Output: TLA conformance scorecard per pillar and per CMM level, with the evidence gap list feeding Loop 19.</w:t>
      </w:r>
    </w:p>
    <w:bookmarkEnd w:id="64"/>
    <w:bookmarkStart w:id="65" w:name="Xf8a7267fb48ebd0977a68f776244e52818f8b87"/>
    <w:p>
      <w:pPr>
        <w:pStyle w:val="Heading2"/>
      </w:pPr>
      <w:r>
        <w:t xml:space="preserve">LOOP 25 — AIR-GAPPED DEPLOYMENT AND ON-PREMISES AI INFRASTRUCTURE</w:t>
      </w:r>
    </w:p>
    <w:p>
      <w:pPr>
        <w:pStyle w:val="FirstParagraph"/>
      </w:pPr>
      <w:r>
        <w:t xml:space="preserve">Stress-test the disconnected deployment class as a product in its own right:</w:t>
      </w:r>
    </w:p>
    <w:p>
      <w:pPr>
        <w:numPr>
          <w:ilvl w:val="0"/>
          <w:numId w:val="1039"/>
        </w:numPr>
        <w:pStyle w:val="Compact"/>
      </w:pPr>
      <w:r>
        <w:rPr>
          <w:bCs/>
          <w:b/>
        </w:rPr>
        <w:t xml:space="preserve">Zero-egress audit</w:t>
      </w:r>
      <w:r>
        <w:t xml:space="preserve"> </w:t>
      </w:r>
      <w:r>
        <w:t xml:space="preserve">— enumerate every network call in every module (package fetches, CDN assets, telemetry, license checks, font/CDN loads, model APIs, map tiles, npm postinstalls). Each is a defect in enclave mode. Require an automated egress test in CI.</w:t>
      </w:r>
    </w:p>
    <w:p>
      <w:pPr>
        <w:numPr>
          <w:ilvl w:val="0"/>
          <w:numId w:val="1039"/>
        </w:numPr>
        <w:pStyle w:val="Compact"/>
      </w:pPr>
      <w:r>
        <w:rPr>
          <w:bCs/>
          <w:b/>
        </w:rPr>
        <w:t xml:space="preserve">AI server architecture</w:t>
      </w:r>
      <w:r>
        <w:t xml:space="preserve"> </w:t>
      </w:r>
      <w:r>
        <w:t xml:space="preserve">— specify the local inference platform: hardware class, GPU/VRAM sizing against the Loop 10 concurrency model, model catalogue (chat, embeddings, grading, vision if M35/M38 need it), quantization strategy and its measured quality cost, serving stack, queueing and admission control, and graceful degradation when demand exceeds capacity. The stated purpose — eliminating dependence on token-metered external APIs for cost and availability — must be validated with a cost model: GPU capex + power + maintenance vs projected hosted-token spend at target usage, per deployment.</w:t>
      </w:r>
    </w:p>
    <w:p>
      <w:pPr>
        <w:numPr>
          <w:ilvl w:val="0"/>
          <w:numId w:val="1039"/>
        </w:numPr>
        <w:pStyle w:val="Compact"/>
      </w:pPr>
      <w:r>
        <w:rPr>
          <w:bCs/>
          <w:b/>
        </w:rPr>
        <w:t xml:space="preserve">Model lifecycle offline</w:t>
      </w:r>
      <w:r>
        <w:t xml:space="preserve"> </w:t>
      </w:r>
      <w:r>
        <w:t xml:space="preserve">— how models are approved, transferred, verified, activated, evaluated, and rolled back inside the enclave; how embedding-model updates trigger re-indexing; how long an enclave may lawfully and safely run a stale model.</w:t>
      </w:r>
    </w:p>
    <w:p>
      <w:pPr>
        <w:numPr>
          <w:ilvl w:val="0"/>
          <w:numId w:val="1039"/>
        </w:numPr>
        <w:pStyle w:val="Compact"/>
      </w:pPr>
      <w:r>
        <w:rPr>
          <w:bCs/>
          <w:b/>
        </w:rPr>
        <w:t xml:space="preserve">Offline update doctrine</w:t>
      </w:r>
      <w:r>
        <w:t xml:space="preserve"> </w:t>
      </w:r>
      <w:r>
        <w:t xml:space="preserve">— release-bundle content and cadence; media handling; staged application; failed-update rollback; patch latency vs accreditation requirements (cross-check Loop 17).</w:t>
      </w:r>
    </w:p>
    <w:p>
      <w:pPr>
        <w:numPr>
          <w:ilvl w:val="0"/>
          <w:numId w:val="1039"/>
        </w:numPr>
        <w:pStyle w:val="Compact"/>
      </w:pPr>
      <w:r>
        <w:rPr>
          <w:bCs/>
          <w:b/>
        </w:rPr>
        <w:t xml:space="preserve">Enclave bootstrap</w:t>
      </w:r>
      <w:r>
        <w:t xml:space="preserve"> </w:t>
      </w:r>
      <w:r>
        <w:t xml:space="preserve">— a documented, tested, from-media installation of the entire platform (identity, LRS, LMS, gateway, AI serving, content, models) with time-to-operational measured (cross-check Loop 16).</w:t>
      </w:r>
    </w:p>
    <w:p>
      <w:pPr>
        <w:numPr>
          <w:ilvl w:val="0"/>
          <w:numId w:val="1039"/>
        </w:numPr>
        <w:pStyle w:val="Compact"/>
      </w:pPr>
      <w:r>
        <w:rPr>
          <w:bCs/>
          <w:b/>
        </w:rPr>
        <w:t xml:space="preserve">Sync across the boundary</w:t>
      </w:r>
      <w:r>
        <w:t xml:space="preserve"> </w:t>
      </w:r>
      <w:r>
        <w:t xml:space="preserve">— what data classes cross (Loop 6 federation rules), by what mechanism (media, one-way diode, controlled gateway), at what cadence, with what integrity verification and replay protection.</w:t>
      </w:r>
    </w:p>
    <w:p>
      <w:pPr>
        <w:numPr>
          <w:ilvl w:val="0"/>
          <w:numId w:val="1039"/>
        </w:numPr>
        <w:pStyle w:val="Compact"/>
      </w:pPr>
      <w:r>
        <w:rPr>
          <w:bCs/>
          <w:b/>
        </w:rPr>
        <w:t xml:space="preserve">Support doctrine</w:t>
      </w:r>
      <w:r>
        <w:t xml:space="preserve"> </w:t>
      </w:r>
      <w:r>
        <w:t xml:space="preserve">— how defects are diagnosed and fixed with no remote access: diagnostic bundles, cleared personnel, on-site skills, spares for AI servers and lab hardware.</w:t>
      </w:r>
    </w:p>
    <w:p>
      <w:pPr>
        <w:numPr>
          <w:ilvl w:val="0"/>
          <w:numId w:val="1039"/>
        </w:numPr>
        <w:pStyle w:val="Compact"/>
      </w:pPr>
      <w:r>
        <w:rPr>
          <w:bCs/>
          <w:b/>
        </w:rPr>
        <w:t xml:space="preserve">Proprietary appliance boundary</w:t>
      </w:r>
      <w:r>
        <w:t xml:space="preserve"> </w:t>
      </w:r>
      <w:r>
        <w:t xml:space="preserve">— if the AI server ships as a proprietary appliance, apply Loop 23: its management and inference interfaces must be open contracts so the appliance itself is swappable.</w:t>
      </w:r>
    </w:p>
    <w:p>
      <w:pPr>
        <w:pStyle w:val="FirstParagraph"/>
      </w:pPr>
      <w:r>
        <w:t xml:space="preserve">Output: air-gap readiness matrix per module (runs offline / degrades offline / fails offline) plus the enclave bill of materials and its cost model.</w:t>
      </w:r>
    </w:p>
    <w:bookmarkEnd w:id="65"/>
    <w:bookmarkStart w:id="66" w:name="X01c51b78eda72d59568889793481fb786bbb3e2"/>
    <w:p>
      <w:pPr>
        <w:pStyle w:val="Heading2"/>
      </w:pPr>
      <w:r>
        <w:t xml:space="preserve">LOOP 26 — FEDERATED LEARNER DATA AND CROSS-COMMAND PIPELINE</w:t>
      </w:r>
    </w:p>
    <w:p>
      <w:pPr>
        <w:pStyle w:val="FirstParagraph"/>
      </w:pPr>
      <w:r>
        <w:t xml:space="preserve">Treat federation (M17, M20, M31) as a distributed-systems product with governance, not a batch job:</w:t>
      </w:r>
    </w:p>
    <w:p>
      <w:pPr>
        <w:numPr>
          <w:ilvl w:val="0"/>
          <w:numId w:val="1040"/>
        </w:numPr>
        <w:pStyle w:val="Compact"/>
      </w:pPr>
      <w:r>
        <w:rPr>
          <w:bCs/>
          <w:b/>
        </w:rPr>
        <w:t xml:space="preserve">Federation contract</w:t>
      </w:r>
      <w:r>
        <w:t xml:space="preserve"> </w:t>
      </w:r>
      <w:r>
        <w:t xml:space="preserve">— define the transfer unit (statement batch, summary, assertion), manifest format, integrity seals, provenance fields, and the idempotent ingestion rules at each tier.</w:t>
      </w:r>
    </w:p>
    <w:p>
      <w:pPr>
        <w:numPr>
          <w:ilvl w:val="0"/>
          <w:numId w:val="1040"/>
        </w:numPr>
        <w:pStyle w:val="Compact"/>
      </w:pPr>
      <w:r>
        <w:rPr>
          <w:bCs/>
          <w:b/>
        </w:rPr>
        <w:t xml:space="preserve">Identity resolution</w:t>
      </w:r>
      <w:r>
        <w:t xml:space="preserve"> </w:t>
      </w:r>
      <w:r>
        <w:t xml:space="preserve">— the canonical rule for matching one human across enclaves, tenants, and commands without a globally connected IdP; collision handling; merge/unmerge with audit.</w:t>
      </w:r>
    </w:p>
    <w:p>
      <w:pPr>
        <w:numPr>
          <w:ilvl w:val="0"/>
          <w:numId w:val="1040"/>
        </w:numPr>
        <w:pStyle w:val="Compact"/>
      </w:pPr>
      <w:r>
        <w:rPr>
          <w:bCs/>
          <w:b/>
        </w:rPr>
        <w:t xml:space="preserve">Sovereignty and minimization</w:t>
      </w:r>
      <w:r>
        <w:t xml:space="preserve"> </w:t>
      </w:r>
      <w:r>
        <w:t xml:space="preserve">— per data class: which command owns it, what may leave the origin, what must be aggregated or pseudonymized before roll-up, who adjudicates disputes.</w:t>
      </w:r>
    </w:p>
    <w:p>
      <w:pPr>
        <w:numPr>
          <w:ilvl w:val="0"/>
          <w:numId w:val="1040"/>
        </w:numPr>
        <w:pStyle w:val="Compact"/>
      </w:pPr>
      <w:r>
        <w:rPr>
          <w:bCs/>
          <w:b/>
        </w:rPr>
        <w:t xml:space="preserve">Consistency model</w:t>
      </w:r>
      <w:r>
        <w:t xml:space="preserve"> </w:t>
      </w:r>
      <w:r>
        <w:t xml:space="preserve">— state explicitly that enterprise views are eventually consistent; bound the staleness per data class; define how dashboards disclose data-as-of.</w:t>
      </w:r>
    </w:p>
    <w:p>
      <w:pPr>
        <w:numPr>
          <w:ilvl w:val="0"/>
          <w:numId w:val="1040"/>
        </w:numPr>
        <w:pStyle w:val="Compact"/>
      </w:pPr>
      <w:r>
        <w:rPr>
          <w:bCs/>
          <w:b/>
        </w:rPr>
        <w:t xml:space="preserve">Conflict and correction</w:t>
      </w:r>
      <w:r>
        <w:t xml:space="preserve"> </w:t>
      </w:r>
      <w:r>
        <w:t xml:space="preserve">— conflicting official records from two sources; correction/revocation propagation (including to enclaves that sync yearly); deletion propagation for removed users.</w:t>
      </w:r>
    </w:p>
    <w:p>
      <w:pPr>
        <w:numPr>
          <w:ilvl w:val="0"/>
          <w:numId w:val="1040"/>
        </w:numPr>
        <w:pStyle w:val="Compact"/>
      </w:pPr>
      <w:r>
        <w:rPr>
          <w:bCs/>
          <w:b/>
        </w:rPr>
        <w:t xml:space="preserve">Federated analytics and learning</w:t>
      </w:r>
      <w:r>
        <w:t xml:space="preserve"> </w:t>
      </w:r>
      <w:r>
        <w:t xml:space="preserve">— for each analytic or model that wants cross-command data: can it run on aggregates? If model training is proposed, evaluate federated learning (local training, central aggregation of weights/gradients) vs centralized data pooling — privacy, poisoning risk in aggregation, evaluation comparability across sites — and challenge whether current scale justifies it at all.</w:t>
      </w:r>
    </w:p>
    <w:p>
      <w:pPr>
        <w:numPr>
          <w:ilvl w:val="0"/>
          <w:numId w:val="1040"/>
        </w:numPr>
        <w:pStyle w:val="Compact"/>
      </w:pPr>
      <w:r>
        <w:rPr>
          <w:bCs/>
          <w:b/>
        </w:rPr>
        <w:t xml:space="preserve">Pipeline operations</w:t>
      </w:r>
      <w:r>
        <w:t xml:space="preserve"> </w:t>
      </w:r>
      <w:r>
        <w:t xml:space="preserve">— monitoring per link (lag, backlog, failure), replay, quarantine of bad batches, and reconciliation reports (origin counts vs destination counts, cross-check Loop 18 data-quality tests).</w:t>
      </w:r>
    </w:p>
    <w:p>
      <w:pPr>
        <w:pStyle w:val="FirstParagraph"/>
      </w:pPr>
      <w:r>
        <w:t xml:space="preserve">Output: federation design assessment with a data-class × boundary matrix (what crosses, how, latency bound, governance owner) and a list of federation claims currently tagged [ASSUMED].</w:t>
      </w:r>
    </w:p>
    <w:bookmarkEnd w:id="66"/>
    <w:bookmarkStart w:id="67" w:name="X0e48daf7d3c64ddd31c59db30acc08cec1d7b2e"/>
    <w:p>
      <w:pPr>
        <w:pStyle w:val="Heading2"/>
      </w:pPr>
      <w:r>
        <w:t xml:space="preserve">LOOP 27 — CONTENT LIFECYCLE, DCT, AND LIVE MANUAL INTEGRATION</w:t>
      </w:r>
    </w:p>
    <w:p>
      <w:pPr>
        <w:pStyle w:val="FirstParagraph"/>
      </w:pPr>
      <w:r>
        <w:t xml:space="preserve">Audit the content supply chain end to end (M22, M23, M24, M25, M18, P2):</w:t>
      </w:r>
    </w:p>
    <w:p>
      <w:pPr>
        <w:numPr>
          <w:ilvl w:val="0"/>
          <w:numId w:val="1041"/>
        </w:numPr>
        <w:pStyle w:val="Compact"/>
      </w:pPr>
      <w:r>
        <w:rPr>
          <w:bCs/>
          <w:b/>
        </w:rPr>
        <w:t xml:space="preserve">Ingestion and digitization (M24)</w:t>
      </w:r>
      <w:r>
        <w:t xml:space="preserve"> </w:t>
      </w:r>
      <w:r>
        <w:t xml:space="preserve">— source formats, OCR quality gates, structure extraction (tables, warnings/cautions, diagrams), accessibility remediation, interactive-element authoring, instrumentation (reading/interaction events), throughput per manual, and the review sampling rate. Digitizing technical manuals at volume is a production line — audit it like one.</w:t>
      </w:r>
    </w:p>
    <w:p>
      <w:pPr>
        <w:numPr>
          <w:ilvl w:val="0"/>
          <w:numId w:val="1041"/>
        </w:numPr>
        <w:pStyle w:val="Compact"/>
      </w:pPr>
      <w:r>
        <w:rPr>
          <w:bCs/>
          <w:b/>
        </w:rPr>
        <w:t xml:space="preserve">Live TO/manual connection (M25)</w:t>
      </w:r>
      <w:r>
        <w:t xml:space="preserve"> </w:t>
      </w:r>
      <w:r>
        <w:t xml:space="preserve">— how revisions are detected (push, poll, media delivery in enclaves), the blast-radius calculation (which eBooks, chunks, lessons, quiz items, and chatbot indexes a revision touches), the re-publish workflow, and the hard requirement that superseded procedures become non-retrievable by M26 within a defined SLA, with an auditable supersession trail. Prolonged disconnection policy: how an enclave flags content whose currency cannot be verified.</w:t>
      </w:r>
    </w:p>
    <w:p>
      <w:pPr>
        <w:numPr>
          <w:ilvl w:val="0"/>
          <w:numId w:val="1041"/>
        </w:numPr>
        <w:pStyle w:val="Compact"/>
      </w:pPr>
      <w:r>
        <w:rPr>
          <w:bCs/>
          <w:b/>
        </w:rPr>
        <w:t xml:space="preserve">Authoring (M22)</w:t>
      </w:r>
      <w:r>
        <w:t xml:space="preserve"> </w:t>
      </w:r>
      <w:r>
        <w:t xml:space="preserve">— lesson planner data model (objectives ↔ competencies ↔ activities ↔ assessments), template governance, versioning and rollback of published lessons, publish-to-ECC contract, and enforcement (not suggestion) of metadata completeness and accessibility at publish time.</w:t>
      </w:r>
    </w:p>
    <w:p>
      <w:pPr>
        <w:numPr>
          <w:ilvl w:val="0"/>
          <w:numId w:val="1041"/>
        </w:numPr>
        <w:pStyle w:val="Compact"/>
      </w:pPr>
      <w:r>
        <w:rPr>
          <w:bCs/>
          <w:b/>
        </w:rPr>
        <w:t xml:space="preserve">Authoring AI (M23)</w:t>
      </w:r>
      <w:r>
        <w:t xml:space="preserve"> </w:t>
      </w:r>
      <w:r>
        <w:t xml:space="preserve">— the SME chatbot for authors: grounding corpus, suggestion provenance, and the rule that AI-drafted instructional content always passes P2 human review before publish; measure author-acceptance and error rates.</w:t>
      </w:r>
    </w:p>
    <w:p>
      <w:pPr>
        <w:numPr>
          <w:ilvl w:val="0"/>
          <w:numId w:val="1041"/>
        </w:numPr>
        <w:pStyle w:val="Compact"/>
      </w:pPr>
      <w:r>
        <w:rPr>
          <w:bCs/>
          <w:b/>
        </w:rPr>
        <w:t xml:space="preserve">Pedagogy Design Review Protocol (P2)</w:t>
      </w:r>
      <w:r>
        <w:t xml:space="preserve"> </w:t>
      </w:r>
      <w:r>
        <w:t xml:space="preserve">— operationalize: stages, roles, criteria, SLAs, sampling for AI-generated items, block authority, and metrics (defect escape rate to production content).</w:t>
      </w:r>
    </w:p>
    <w:p>
      <w:pPr>
        <w:numPr>
          <w:ilvl w:val="0"/>
          <w:numId w:val="1041"/>
        </w:numPr>
        <w:pStyle w:val="Compact"/>
      </w:pPr>
      <w:r>
        <w:rPr>
          <w:bCs/>
          <w:b/>
        </w:rPr>
        <w:t xml:space="preserve">Catalogue integrity (M18)</w:t>
      </w:r>
      <w:r>
        <w:t xml:space="preserve"> </w:t>
      </w:r>
      <w:r>
        <w:t xml:space="preserve">— uniqueness, deduplication, lineage from source manual revision to published activity, and search quality over the catalogue.</w:t>
      </w:r>
    </w:p>
    <w:p>
      <w:pPr>
        <w:pStyle w:val="FirstParagraph"/>
      </w:pPr>
      <w:r>
        <w:t xml:space="preserve">Output: content-lifecycle flow with owner and SLA per stage, plus the stale-content risk assessment (cross-check Scenario 4).</w:t>
      </w:r>
    </w:p>
    <w:bookmarkEnd w:id="67"/>
    <w:bookmarkStart w:id="68" w:name="Xa8021f207b76333390fc62fce70a4326713c2d3"/>
    <w:p>
      <w:pPr>
        <w:pStyle w:val="Heading2"/>
      </w:pPr>
      <w:r>
        <w:t xml:space="preserve">LOOP 28 — ACCREDITATION (ATO) AND COMPLIANCE READINESS</w:t>
      </w:r>
    </w:p>
    <w:p>
      <w:pPr>
        <w:pStyle w:val="FirstParagraph"/>
      </w:pPr>
      <w:r>
        <w:t xml:space="preserve">Treat P1 as a schedule-critical engineering workstream:</w:t>
      </w:r>
    </w:p>
    <w:p>
      <w:pPr>
        <w:numPr>
          <w:ilvl w:val="0"/>
          <w:numId w:val="1042"/>
        </w:numPr>
        <w:pStyle w:val="Compact"/>
      </w:pPr>
      <w:r>
        <w:rPr>
          <w:bCs/>
          <w:b/>
        </w:rPr>
        <w:t xml:space="preserve">Authority and baseline</w:t>
      </w:r>
      <w:r>
        <w:t xml:space="preserve"> </w:t>
      </w:r>
      <w:r>
        <w:t xml:space="preserve">— who authorizes, against which control baseline and overlays, for which boundary (is the enclave one system or many)? If the customer authority model is unknown, log it as top-priority missing information — the answer shapes hosting, logging, crypto, and identity design.</w:t>
      </w:r>
    </w:p>
    <w:p>
      <w:pPr>
        <w:numPr>
          <w:ilvl w:val="0"/>
          <w:numId w:val="1042"/>
        </w:numPr>
        <w:pStyle w:val="Compact"/>
      </w:pPr>
      <w:r>
        <w:rPr>
          <w:bCs/>
          <w:b/>
        </w:rPr>
        <w:t xml:space="preserve">Control-to-architecture mapping</w:t>
      </w:r>
      <w:r>
        <w:t xml:space="preserve"> </w:t>
      </w:r>
      <w:r>
        <w:t xml:space="preserve">— map each control family to implementing modules and evidence artifacts; identify controls the current design fails (session management, audit completeness, supply chain, media protection are common failures).</w:t>
      </w:r>
    </w:p>
    <w:p>
      <w:pPr>
        <w:numPr>
          <w:ilvl w:val="0"/>
          <w:numId w:val="1042"/>
        </w:numPr>
        <w:pStyle w:val="Compact"/>
      </w:pPr>
      <w:r>
        <w:rPr>
          <w:bCs/>
          <w:b/>
        </w:rPr>
        <w:t xml:space="preserve">Evidence pipeline</w:t>
      </w:r>
      <w:r>
        <w:t xml:space="preserve"> </w:t>
      </w:r>
      <w:r>
        <w:t xml:space="preserve">— generate accreditation evidence continuously from CI/CD and observability (Loops 15/17), not retrospectively.</w:t>
      </w:r>
    </w:p>
    <w:p>
      <w:pPr>
        <w:numPr>
          <w:ilvl w:val="0"/>
          <w:numId w:val="1042"/>
        </w:numPr>
        <w:pStyle w:val="Compact"/>
      </w:pPr>
      <w:r>
        <w:rPr>
          <w:bCs/>
          <w:b/>
        </w:rPr>
        <w:t xml:space="preserve">AI-specific accreditation risk</w:t>
      </w:r>
      <w:r>
        <w:t xml:space="preserve"> </w:t>
      </w:r>
      <w:r>
        <w:t xml:space="preserve">— local models, embeddings of controlled documents, and AI decision logs are novel accreditation surface; prepare positions on model provenance, data flows, and explainability before the assessor asks.</w:t>
      </w:r>
    </w:p>
    <w:p>
      <w:pPr>
        <w:numPr>
          <w:ilvl w:val="0"/>
          <w:numId w:val="1042"/>
        </w:numPr>
        <w:pStyle w:val="Compact"/>
      </w:pPr>
      <w:r>
        <w:rPr>
          <w:bCs/>
          <w:b/>
        </w:rPr>
        <w:t xml:space="preserve">Timeline coupling</w:t>
      </w:r>
      <w:r>
        <w:t xml:space="preserve"> </w:t>
      </w:r>
      <w:r>
        <w:t xml:space="preserve">— model the dependency between accreditation milestones and deployment milestones; identify the deadlock risk (can’t accredit without a built system; can’t field without accreditation) and the mitigation (early assessor engagement, incremental authorization, inherited controls).</w:t>
      </w:r>
    </w:p>
    <w:p>
      <w:pPr>
        <w:numPr>
          <w:ilvl w:val="0"/>
          <w:numId w:val="1042"/>
        </w:numPr>
        <w:pStyle w:val="Compact"/>
      </w:pPr>
      <w:r>
        <w:rPr>
          <w:bCs/>
          <w:b/>
        </w:rPr>
        <w:t xml:space="preserve">Non-defense deployments</w:t>
      </w:r>
      <w:r>
        <w:t xml:space="preserve"> </w:t>
      </w:r>
      <w:r>
        <w:t xml:space="preserve">— map the equivalent obligations for civilian/education customers (national privacy law, sectoral rules) so the same evidence pipeline serves both.</w:t>
      </w:r>
    </w:p>
    <w:p>
      <w:pPr>
        <w:pStyle w:val="FirstParagraph"/>
      </w:pPr>
      <w:r>
        <w:t xml:space="preserve">Output: ATO readiness assessment, control-gap list, and the accreditation-driven architecture constraints that must be frozen early.</w:t>
      </w:r>
    </w:p>
    <w:bookmarkEnd w:id="68"/>
    <w:bookmarkStart w:id="69" w:name="X30b107b07998a3554bbe0f399d2ec5330a6fd41"/>
    <w:p>
      <w:pPr>
        <w:pStyle w:val="Heading2"/>
      </w:pPr>
      <w:r>
        <w:t xml:space="preserve">LOOP 29 — IMMERSIVE LABS, XR, AND FIELD HARDWARE</w:t>
      </w:r>
    </w:p>
    <w:p>
      <w:pPr>
        <w:pStyle w:val="FirstParagraph"/>
      </w:pPr>
      <w:r>
        <w:t xml:space="preserve">Audit M32–M38 as a hardware-inclusive field program:</w:t>
      </w:r>
    </w:p>
    <w:p>
      <w:pPr>
        <w:numPr>
          <w:ilvl w:val="0"/>
          <w:numId w:val="1043"/>
        </w:numPr>
        <w:pStyle w:val="Compact"/>
      </w:pPr>
      <w:r>
        <w:rPr>
          <w:bCs/>
          <w:b/>
        </w:rPr>
        <w:t xml:space="preserve">Reference lab</w:t>
      </w:r>
      <w:r>
        <w:t xml:space="preserve"> </w:t>
      </w:r>
      <w:r>
        <w:t xml:space="preserve">— require a fully specified reference design (devices, edge servers, network, power, physical layout, imaging, MDM) validated at Site A before Site B replication; audit the divergence-control plan between sites.</w:t>
      </w:r>
    </w:p>
    <w:p>
      <w:pPr>
        <w:numPr>
          <w:ilvl w:val="0"/>
          <w:numId w:val="1043"/>
        </w:numPr>
        <w:pStyle w:val="Compact"/>
      </w:pPr>
      <w:r>
        <w:rPr>
          <w:bCs/>
          <w:b/>
        </w:rPr>
        <w:t xml:space="preserve">Device fleet lifecycle</w:t>
      </w:r>
      <w:r>
        <w:t xml:space="preserve"> </w:t>
      </w:r>
      <w:r>
        <w:t xml:space="preserve">— enrollment, imaging, content preload, update strategy, breakage/spares rate, hygiene, storage, and end-of-life; who staffs lab operations (cross-check P4).</w:t>
      </w:r>
    </w:p>
    <w:p>
      <w:pPr>
        <w:numPr>
          <w:ilvl w:val="0"/>
          <w:numId w:val="1043"/>
        </w:numPr>
        <w:pStyle w:val="Compact"/>
      </w:pPr>
      <w:r>
        <w:rPr>
          <w:bCs/>
          <w:b/>
        </w:rPr>
        <w:t xml:space="preserve">XR store (M32)</w:t>
      </w:r>
      <w:r>
        <w:t xml:space="preserve"> </w:t>
      </w:r>
      <w:r>
        <w:t xml:space="preserve">— package signing and integrity, size and distribution inside labs (local package cache, not per-device downloads), install/launch telemetry, offline license behavior.</w:t>
      </w:r>
    </w:p>
    <w:p>
      <w:pPr>
        <w:numPr>
          <w:ilvl w:val="0"/>
          <w:numId w:val="1043"/>
        </w:numPr>
        <w:pStyle w:val="Compact"/>
      </w:pPr>
      <w:r>
        <w:rPr>
          <w:bCs/>
          <w:b/>
        </w:rPr>
        <w:t xml:space="preserve">Offline-first clients (M32/M35/M37/M38)</w:t>
      </w:r>
      <w:r>
        <w:t xml:space="preserve"> </w:t>
      </w:r>
      <w:r>
        <w:t xml:space="preserve">— on-device event durability, storage bounds, sync protocol (resume, dedup, backpressure), clock discipline on devices that may drift for weeks.</w:t>
      </w:r>
    </w:p>
    <w:p>
      <w:pPr>
        <w:numPr>
          <w:ilvl w:val="0"/>
          <w:numId w:val="1043"/>
        </w:numPr>
        <w:pStyle w:val="Compact"/>
      </w:pPr>
      <w:r>
        <w:rPr>
          <w:bCs/>
          <w:b/>
        </w:rPr>
        <w:t xml:space="preserve">Walkthrough and MOE instrumentation (M35/M38)</w:t>
      </w:r>
      <w:r>
        <w:t xml:space="preserve"> </w:t>
      </w:r>
      <w:r>
        <w:t xml:space="preserve">— sensor/tracking fidelity in the actual lab and operational environment, calibration procedures, data density vs pipeline capacity (Loop 10), and observer workflow validation for the AR MOE app.</w:t>
      </w:r>
    </w:p>
    <w:p>
      <w:pPr>
        <w:numPr>
          <w:ilvl w:val="0"/>
          <w:numId w:val="1043"/>
        </w:numPr>
        <w:pStyle w:val="Compact"/>
      </w:pPr>
      <w:r>
        <w:rPr>
          <w:bCs/>
          <w:b/>
        </w:rPr>
        <w:t xml:space="preserve">Safety and human factors</w:t>
      </w:r>
      <w:r>
        <w:t xml:space="preserve"> </w:t>
      </w:r>
      <w:r>
        <w:t xml:space="preserve">— session-duration limits, motion-sickness mitigation, hygiene protocols, supervised vs unsupervised use, and incident reporting.</w:t>
      </w:r>
    </w:p>
    <w:p>
      <w:pPr>
        <w:numPr>
          <w:ilvl w:val="0"/>
          <w:numId w:val="1043"/>
        </w:numPr>
        <w:pStyle w:val="Compact"/>
      </w:pPr>
      <w:r>
        <w:rPr>
          <w:bCs/>
          <w:b/>
        </w:rPr>
        <w:t xml:space="preserve">Acceptance per site</w:t>
      </w:r>
      <w:r>
        <w:t xml:space="preserve"> </w:t>
      </w:r>
      <w:r>
        <w:t xml:space="preserve">— entry/exit criteria for declaring a lab operational, tied to P5 integration acceptance.</w:t>
      </w:r>
    </w:p>
    <w:p>
      <w:pPr>
        <w:pStyle w:val="FirstParagraph"/>
      </w:pPr>
      <w:r>
        <w:t xml:space="preserve">Output: site-readiness checklist and hardware risk register (supply, spares, obsolescence, environmental).</w:t>
      </w:r>
    </w:p>
    <w:bookmarkEnd w:id="69"/>
    <w:bookmarkStart w:id="70" w:name="loop-30-program-deliverable-traceability"/>
    <w:p>
      <w:pPr>
        <w:pStyle w:val="Heading2"/>
      </w:pPr>
      <w:r>
        <w:t xml:space="preserve">LOOP 30 — PROGRAM DELIVERABLE TRACEABILITY</w:t>
      </w:r>
    </w:p>
    <w:p>
      <w:pPr>
        <w:pStyle w:val="FirstParagraph"/>
      </w:pPr>
      <w:r>
        <w:t xml:space="preserve">Build the traceability matrix across the full deliverable list: AI SME Chatbot (learner-facing); AI Assessment Tools and Test Banks + Auto Grader; ATO Initiation; Pedagogy Design Review Protocol; TLA CMM Level 2 — Microservices; TLA Experience Index (ELRR); TLA Course Catalogue (ECC); TLA Competency Registry; TLA CMM Level 3; PDFs and Technical Manuals Integration — Live TO Connection; DCT — Content Authoring and Lesson Planner; Interactive eBooks — Technical Manuals Digitization; SME Chatbot — Content Authoring Support; Personalized Learning Engine — Core; Competency Assessment Tool; TLA Profile Management Initial Deployment; Cross-Command Data Pipeline; Analytics Dashboard Suite (all roles, including TLA); XR Store App — Android and Windows; Hardware Immersive Labs — Site A (Barksdale AFB); Hardware Immersive Labs — Site B (Minot AFB); AI/ML Procedural Walkthrough Engine; Difference Training Application; Microlearning Mobile Application; Accelerate Upgrade Readiness Measurement Plan; Measure of Operational Effectiveness (MOE) AR Application; Train-the-Trainer — Embedded SME Service; TLA CMM Level 5 — Enterprise Competency Mapping; Full Platform Integration and Acceptance; Final Report.</w:t>
      </w:r>
    </w:p>
    <w:p>
      <w:pPr>
        <w:pStyle w:val="BodyText"/>
      </w:pPr>
      <w:r>
        <w:t xml:space="preserve">For each deliverable: owning module(s); dependencies (module and program); acceptance criterion (measurable); evidence artifact; verification method; delivery phase; and current status of definition ([PROVEN]/[PARTIAL]/[ASSUMED]/[UNTESTABLE]). Flag every deliverable that lacks a measurable acceptance criterion as a P1 traceability gap —</w:t>
      </w:r>
      <w:r>
        <w:t xml:space="preserve"> </w:t>
      </w:r>
      <w:r>
        <w:t xml:space="preserve">“</w:t>
      </w:r>
      <w:r>
        <w:t xml:space="preserve">delivered</w:t>
      </w:r>
      <w:r>
        <w:t xml:space="preserve">”</w:t>
      </w:r>
      <w:r>
        <w:t xml:space="preserve"> </w:t>
      </w:r>
      <w:r>
        <w:t xml:space="preserve">without a test is a dispute waiting for the acceptance meeting (P5) and the Final Report (P6).</w:t>
      </w:r>
    </w:p>
    <w:bookmarkEnd w:id="70"/>
    <w:bookmarkStart w:id="71" w:name="X1b252e913c564620fc9e18dd3ce165939ad1a60"/>
    <w:p>
      <w:pPr>
        <w:pStyle w:val="Heading2"/>
      </w:pPr>
      <w:r>
        <w:t xml:space="preserve">LOOP 31 — LOCALIZATION, MULTILINGUAL, AND CULTURAL ADAPTATION</w:t>
      </w:r>
    </w:p>
    <w:p>
      <w:pPr>
        <w:pStyle w:val="FirstParagraph"/>
      </w:pPr>
      <w:r>
        <w:t xml:space="preserve">Audit language and locale support as an architectural property, not a UI afterthought. For an Indian-market deployment this loop is load-bearing: learners, instructors, and authors may work in different languages, and every AI capability behaves differently per language.</w:t>
      </w:r>
    </w:p>
    <w:p>
      <w:pPr>
        <w:numPr>
          <w:ilvl w:val="0"/>
          <w:numId w:val="1044"/>
        </w:numPr>
        <w:pStyle w:val="Compact"/>
      </w:pPr>
      <w:r>
        <w:rPr>
          <w:bCs/>
          <w:b/>
        </w:rPr>
        <w:t xml:space="preserve">Language scope definition</w:t>
      </w:r>
      <w:r>
        <w:t xml:space="preserve"> </w:t>
      </w:r>
      <w:r>
        <w:t xml:space="preserve">— for each deployment and tenant: which languages are supported, at which tier (full UI, full content, AI interaction, support/documentation), in which scripts (Latin, Devanagari, and other Indic scripts as required). Require an explicit language matrix per module M1–M38;</w:t>
      </w:r>
      <w:r>
        <w:t xml:space="preserve"> </w:t>
      </w:r>
      <w:r>
        <w:t xml:space="preserve">“</w:t>
      </w:r>
      <w:r>
        <w:t xml:space="preserve">English-first, others later</w:t>
      </w:r>
      <w:r>
        <w:t xml:space="preserve">”</w:t>
      </w:r>
      <w:r>
        <w:t xml:space="preserve"> </w:t>
      </w:r>
      <w:r>
        <w:t xml:space="preserve">is a decision to record and cost, not a default to assume.</w:t>
      </w:r>
    </w:p>
    <w:p>
      <w:pPr>
        <w:numPr>
          <w:ilvl w:val="0"/>
          <w:numId w:val="1044"/>
        </w:numPr>
        <w:pStyle w:val="Compact"/>
      </w:pPr>
      <w:r>
        <w:rPr>
          <w:bCs/>
          <w:b/>
        </w:rPr>
        <w:t xml:space="preserve">UI internationalization</w:t>
      </w:r>
      <w:r>
        <w:t xml:space="preserve"> </w:t>
      </w:r>
      <w:r>
        <w:t xml:space="preserve">— externalized strings in every web, mobile, and XR client; no concatenated or hard-coded sentences; Unicode correctness for Indic scripts (rendering, sorting, searching, truncation); date, number, and calendar formats; font strategy across React, React Native, eBook rendering, PDF export, dashboards, and in-headset XR text (Indic script rendering inside game engines is a known failure point — test it on device); pseudo-localization builds in CI to catch layout breakage before translation exists.</w:t>
      </w:r>
    </w:p>
    <w:p>
      <w:pPr>
        <w:numPr>
          <w:ilvl w:val="0"/>
          <w:numId w:val="1044"/>
        </w:numPr>
        <w:pStyle w:val="Compact"/>
      </w:pPr>
      <w:r>
        <w:rPr>
          <w:bCs/>
          <w:b/>
        </w:rPr>
        <w:t xml:space="preserve">Content localization pipeline (M22/M24/M25/M18)</w:t>
      </w:r>
      <w:r>
        <w:t xml:space="preserve"> </w:t>
      </w:r>
      <w:r>
        <w:t xml:space="preserve">— how the DCT authors, versions, and publishes multilingual variants of a lesson; whether translations are linked derivatives of a master or independent documents; the translation workflow (human, machine-assisted with human review, or machine) and its P2 pedagogy-review gate; ECC metadata and search in each language; and the supersession rule: when a source manual revision lands (M25), every language variant is flagged stale until re-verified — a translated procedure must never outlive the English original it was translated from (this is Scenario 4 multiplied by the number of languages).</w:t>
      </w:r>
    </w:p>
    <w:p>
      <w:pPr>
        <w:numPr>
          <w:ilvl w:val="0"/>
          <w:numId w:val="1044"/>
        </w:numPr>
        <w:pStyle w:val="Compact"/>
      </w:pPr>
      <w:r>
        <w:rPr>
          <w:bCs/>
          <w:b/>
        </w:rPr>
        <w:t xml:space="preserve">AI multilingual behavior (M23/M26/M27/M28/M35)</w:t>
      </w:r>
      <w:r>
        <w:t xml:space="preserve"> </w:t>
      </w:r>
      <w:r>
        <w:t xml:space="preserve">— measure, per supported language and separately for hosted and local models: retrieval quality when the corpus is in one language and the question in another (cross-lingual RAG); embedding-model coverage of Indic languages; chatbot groundedness, citation correctness, refusal behavior, and hallucination rate; AI question-generation validity; semantic-grading fairness for answers written in a second language, in vernacular register, or in code-switched text (Hinglish-class input); prompt-injection resistance in non-English text. Require per-language evaluation datasets and per-language quality gates before a language is declared supported — an AI feature is not</w:t>
      </w:r>
      <w:r>
        <w:t xml:space="preserve"> </w:t>
      </w:r>
      <w:r>
        <w:t xml:space="preserve">“</w:t>
      </w:r>
      <w:r>
        <w:t xml:space="preserve">available in Hindi</w:t>
      </w:r>
      <w:r>
        <w:t xml:space="preserve">”</w:t>
      </w:r>
      <w:r>
        <w:t xml:space="preserve"> </w:t>
      </w:r>
      <w:r>
        <w:t xml:space="preserve">because the model accepts Hindi input.</w:t>
      </w:r>
    </w:p>
    <w:p>
      <w:pPr>
        <w:numPr>
          <w:ilvl w:val="0"/>
          <w:numId w:val="1044"/>
        </w:numPr>
        <w:pStyle w:val="Compact"/>
      </w:pPr>
      <w:r>
        <w:rPr>
          <w:bCs/>
          <w:b/>
        </w:rPr>
        <w:t xml:space="preserve">Assessment and competency validity across languages</w:t>
      </w:r>
      <w:r>
        <w:t xml:space="preserve"> </w:t>
      </w:r>
      <w:r>
        <w:t xml:space="preserve">— translated test items re-validated for difficulty and discrimination (translation changes item difficulty); competency definitions in M19 held language-neutral with localized labels, so an official record asserts the same competency regardless of assessment language; grade and record comparability across languages defended explicitly for CMM Level 5 enterprise mapping.</w:t>
      </w:r>
    </w:p>
    <w:p>
      <w:pPr>
        <w:numPr>
          <w:ilvl w:val="0"/>
          <w:numId w:val="1044"/>
        </w:numPr>
        <w:pStyle w:val="Compact"/>
      </w:pPr>
      <w:r>
        <w:rPr>
          <w:bCs/>
          <w:b/>
        </w:rPr>
        <w:t xml:space="preserve">Accessibility intersection</w:t>
      </w:r>
      <w:r>
        <w:t xml:space="preserve"> </w:t>
      </w:r>
      <w:r>
        <w:t xml:space="preserve">— screen-reader and TTS support quality per language and script; captions and transcripts per language; plain-language standards defined per language, not translated from English style guides.</w:t>
      </w:r>
    </w:p>
    <w:p>
      <w:pPr>
        <w:numPr>
          <w:ilvl w:val="0"/>
          <w:numId w:val="1044"/>
        </w:numPr>
        <w:pStyle w:val="Compact"/>
      </w:pPr>
      <w:r>
        <w:rPr>
          <w:bCs/>
          <w:b/>
        </w:rPr>
        <w:t xml:space="preserve">OCR and speech surfaces</w:t>
      </w:r>
      <w:r>
        <w:t xml:space="preserve"> </w:t>
      </w:r>
      <w:r>
        <w:t xml:space="preserve">— digitization (M24) OCR accuracy per script with per-script quality gates; any speech interface (chatbot voice, XR voice commands) benchmarked per language and accent.</w:t>
      </w:r>
    </w:p>
    <w:p>
      <w:pPr>
        <w:numPr>
          <w:ilvl w:val="0"/>
          <w:numId w:val="1044"/>
        </w:numPr>
        <w:pStyle w:val="Compact"/>
      </w:pPr>
      <w:r>
        <w:rPr>
          <w:bCs/>
          <w:b/>
        </w:rPr>
        <w:t xml:space="preserve">Locale and regulatory fit</w:t>
      </w:r>
      <w:r>
        <w:t xml:space="preserve"> </w:t>
      </w:r>
      <w:r>
        <w:t xml:space="preserve">— data-residency and privacy obligations per country (e.g., India’s DPDP Act-class requirements) mapped into Loop 6 retention/deletion and Loop 26 sovereignty rules; units of measure and terminology standards (civilian vs military vocabularies) governed per tenant.</w:t>
      </w:r>
    </w:p>
    <w:p>
      <w:pPr>
        <w:numPr>
          <w:ilvl w:val="0"/>
          <w:numId w:val="1044"/>
        </w:numPr>
        <w:pStyle w:val="Compact"/>
      </w:pPr>
      <w:r>
        <w:rPr>
          <w:bCs/>
          <w:b/>
        </w:rPr>
        <w:t xml:space="preserve">Testing and operations</w:t>
      </w:r>
      <w:r>
        <w:t xml:space="preserve"> </w:t>
      </w:r>
      <w:r>
        <w:t xml:space="preserve">— per-language end-to-end tests for the top journeys of Loop 2; language coverage in the LMS compatibility matrix (Loop 11); support and runbook language expectations; translation-update latency SLA when source content changes.</w:t>
      </w:r>
    </w:p>
    <w:p>
      <w:pPr>
        <w:pStyle w:val="FirstParagraph"/>
      </w:pPr>
      <w:r>
        <w:t xml:space="preserve">Output: language coverage matrix (module × language × {UI, content, AI, assessment, support} with tier and status), per-language AI benchmark results, translation-currency risk assessment, and the localization cost/schedule impact fed into Loops 19 and 30.</w:t>
      </w:r>
    </w:p>
    <w:p>
      <w:r>
        <w:pict>
          <v:rect style="width:0;height:1.5pt" o:hralign="center" o:hrstd="t" o:hr="t"/>
        </w:pict>
      </w:r>
    </w:p>
    <w:bookmarkEnd w:id="71"/>
    <w:bookmarkEnd w:id="72"/>
    <w:bookmarkStart w:id="73" w:name="required-stress-test-scenarios"/>
    <w:p>
      <w:pPr>
        <w:pStyle w:val="Heading1"/>
      </w:pPr>
      <w:r>
        <w:t xml:space="preserve">6. REQUIRED STRESS-TEST SCENARIOS</w:t>
      </w:r>
    </w:p>
    <w:p>
      <w:pPr>
        <w:pStyle w:val="FirstParagraph"/>
      </w:pPr>
      <w:r>
        <w:t xml:space="preserve">At minimum, analyze the following scenarios in detail.</w:t>
      </w:r>
    </w:p>
    <w:p>
      <w:pPr>
        <w:pStyle w:val="BodyText"/>
      </w:pPr>
      <w:r>
        <w:rPr>
          <w:bCs/>
          <w:b/>
        </w:rPr>
        <w:t xml:space="preserve">Scenario 1 — Large Examination Event.</w:t>
      </w:r>
      <w:r>
        <w:t xml:space="preserve"> </w:t>
      </w:r>
      <w:r>
        <w:t xml:space="preserve">Ten thousand learners submit quiz answers within five minutes. Determine: API behavior; queue behavior; grading throughput (including AI semantic grading on local GPUs); LRS throughput; gradebook limitations; retries; duplicate handling; dashboard freshness; user messaging.</w:t>
      </w:r>
    </w:p>
    <w:p>
      <w:pPr>
        <w:pStyle w:val="BodyText"/>
      </w:pPr>
      <w:r>
        <w:rPr>
          <w:bCs/>
          <w:b/>
        </w:rPr>
        <w:t xml:space="preserve">Scenario 2 — Tenant Isolation Failure.</w:t>
      </w:r>
      <w:r>
        <w:t xml:space="preserve"> </w:t>
      </w:r>
      <w:r>
        <w:t xml:space="preserve">A dashboard query accidentally omits a tenant filter. Determine: prevention; detection; containment; notification; investigation; correction; regression testing.</w:t>
      </w:r>
    </w:p>
    <w:p>
      <w:pPr>
        <w:pStyle w:val="BodyText"/>
      </w:pPr>
      <w:r>
        <w:rPr>
          <w:bCs/>
          <w:b/>
        </w:rPr>
        <w:t xml:space="preserve">Scenario 3 — Partial Quiz Completion Failure.</w:t>
      </w:r>
      <w:r>
        <w:t xml:space="preserve"> </w:t>
      </w:r>
      <w:r>
        <w:t xml:space="preserve">The student sees</w:t>
      </w:r>
      <w:r>
        <w:t xml:space="preserve"> </w:t>
      </w:r>
      <w:r>
        <w:t xml:space="preserve">“</w:t>
      </w:r>
      <w:r>
        <w:t xml:space="preserve">submitted,</w:t>
      </w:r>
      <w:r>
        <w:t xml:space="preserve">”</w:t>
      </w:r>
      <w:r>
        <w:t xml:space="preserve"> </w:t>
      </w:r>
      <w:r>
        <w:t xml:space="preserve">but the LMS grade return fails. Determine: source of truth; retry; reconciliation; teacher visibility; student appeal; audit record.</w:t>
      </w:r>
    </w:p>
    <w:p>
      <w:pPr>
        <w:pStyle w:val="BodyText"/>
      </w:pPr>
      <w:r>
        <w:rPr>
          <w:bCs/>
          <w:b/>
        </w:rPr>
        <w:t xml:space="preserve">Scenario 4 — Stale Manual in Chatbot.</w:t>
      </w:r>
      <w:r>
        <w:t xml:space="preserve"> </w:t>
      </w:r>
      <w:r>
        <w:t xml:space="preserve">The chatbot retrieves an obsolete maintenance procedure after a TO revision (M25 detected it, but one enclave’s index was not rebuilt). Determine: document lifecycle; supersession propagation across enclaves; indexing; citation display; user warning; content-owner approval; auditability; the safety consequence chain if the stale procedure is followed.</w:t>
      </w:r>
    </w:p>
    <w:p>
      <w:pPr>
        <w:pStyle w:val="BodyText"/>
      </w:pPr>
      <w:r>
        <w:rPr>
          <w:bCs/>
          <w:b/>
        </w:rPr>
        <w:t xml:space="preserve">Scenario 5 — Incorrect At-risk Flag.</w:t>
      </w:r>
      <w:r>
        <w:t xml:space="preserve"> </w:t>
      </w:r>
      <w:r>
        <w:t xml:space="preserve">A learner is incorrectly identified as at risk because offline activity has not synchronized. Determine: confidence adjustment; human review; learner harm; correction; model evaluation.</w:t>
      </w:r>
    </w:p>
    <w:p>
      <w:pPr>
        <w:pStyle w:val="BodyText"/>
      </w:pPr>
      <w:r>
        <w:rPr>
          <w:bCs/>
          <w:b/>
        </w:rPr>
        <w:t xml:space="preserve">Scenario 6 — Offline Simulator Event Burst.</w:t>
      </w:r>
      <w:r>
        <w:t xml:space="preserve"> </w:t>
      </w:r>
      <w:r>
        <w:t xml:space="preserve">Five hundred devices reconnect after a week and upload stored events. Determine: authentication; event ordering; deduplication; throttling; queue sizing; data consistency; client retry.</w:t>
      </w:r>
    </w:p>
    <w:p>
      <w:pPr>
        <w:pStyle w:val="BodyText"/>
      </w:pPr>
      <w:r>
        <w:rPr>
          <w:bCs/>
          <w:b/>
        </w:rPr>
        <w:t xml:space="preserve">Scenario 7 — Identity Provider Outage.</w:t>
      </w:r>
      <w:r>
        <w:t xml:space="preserve"> </w:t>
      </w:r>
      <w:r>
        <w:t xml:space="preserve">Keycloak is unavailable during an active class. Determine which functions: continue; degrade; fail closed; fail open; use cached sessions; require reauthentication.</w:t>
      </w:r>
    </w:p>
    <w:p>
      <w:pPr>
        <w:pStyle w:val="BodyText"/>
      </w:pPr>
      <w:r>
        <w:rPr>
          <w:bCs/>
          <w:b/>
        </w:rPr>
        <w:t xml:space="preserve">Scenario 8 — Failed Database Migration.</w:t>
      </w:r>
      <w:r>
        <w:t xml:space="preserve"> </w:t>
      </w:r>
      <w:r>
        <w:t xml:space="preserve">A new module version requires a schema change that partially succeeds — in one enclave, during a media-delivered update. Determine: deployment control; backward compatibility; rollback; data restoration; customer impact; how the connected fleet and the enclave diverge until the next update window.</w:t>
      </w:r>
    </w:p>
    <w:p>
      <w:pPr>
        <w:pStyle w:val="BodyText"/>
      </w:pPr>
      <w:r>
        <w:rPr>
          <w:bCs/>
          <w:b/>
        </w:rPr>
        <w:t xml:space="preserve">Scenario 9 — Prompt Injection.</w:t>
      </w:r>
      <w:r>
        <w:t xml:space="preserve"> </w:t>
      </w:r>
      <w:r>
        <w:t xml:space="preserve">An uploaded manual contains hidden instructions telling the chatbot to disclose other documents. Determine: ingestion filtering; retrieval isolation; system-prompt protection; output filtering; red-team tests — on both hosted and local models.</w:t>
      </w:r>
    </w:p>
    <w:p>
      <w:pPr>
        <w:pStyle w:val="BodyText"/>
      </w:pPr>
      <w:r>
        <w:rPr>
          <w:bCs/>
          <w:b/>
        </w:rPr>
        <w:t xml:space="preserve">Scenario 10 — Official Skill Record Dispute.</w:t>
      </w:r>
      <w:r>
        <w:t xml:space="preserve"> </w:t>
      </w:r>
      <w:r>
        <w:t xml:space="preserve">A learner disputes an official competency record created from an AI-assisted skill assessment. Determine: evidence chain; model version; rubric version; human approval; appeal; correction; audit retention; propagation of the correction through the federation.</w:t>
      </w:r>
    </w:p>
    <w:p>
      <w:pPr>
        <w:pStyle w:val="BodyText"/>
      </w:pPr>
      <w:r>
        <w:rPr>
          <w:bCs/>
          <w:b/>
        </w:rPr>
        <w:t xml:space="preserve">Scenario 11 — GPU Saturation During Peak Instruction.</w:t>
      </w:r>
      <w:r>
        <w:t xml:space="preserve"> </w:t>
      </w:r>
      <w:r>
        <w:t xml:space="preserve">An enclave’s AI servers hit 100% utilization while a full class uses the SME chatbot, AI grading runs, and M35 evaluations execute concurrently. Determine: admission control; priority classes (grading vs chat vs walkthrough); queue-time messaging to users; degraded modes (smaller model, retrieval-only answers, deferred grading); capacity-alert thresholds; the procurement feedback loop.</w:t>
      </w:r>
    </w:p>
    <w:p>
      <w:pPr>
        <w:pStyle w:val="BodyText"/>
      </w:pPr>
      <w:r>
        <w:rPr>
          <w:bCs/>
          <w:b/>
        </w:rPr>
        <w:t xml:space="preserve">Scenario 12 — Federation Conflict.</w:t>
      </w:r>
      <w:r>
        <w:t xml:space="preserve"> </w:t>
      </w:r>
      <w:r>
        <w:t xml:space="preserve">Two commands roll up conflicting official records for the same learner (same competency, different results, overlapping periods) and one command later revokes theirs. Determine: conflict detection; adjudication authority; provenance display; downstream effects on gap training and readiness dashboards; revocation propagation SLA.</w:t>
      </w:r>
    </w:p>
    <w:p>
      <w:pPr>
        <w:pStyle w:val="BodyText"/>
      </w:pPr>
      <w:r>
        <w:rPr>
          <w:bCs/>
          <w:b/>
        </w:rPr>
        <w:t xml:space="preserve">Scenario 13 — Air-Gap Update Failure.</w:t>
      </w:r>
      <w:r>
        <w:t xml:space="preserve"> </w:t>
      </w:r>
      <w:r>
        <w:t xml:space="preserve">A quarterly enclave update bundle (models + content + containers + patches) fails integrity verification at the boundary, and the next window is 90 days away. Determine: partial-acceptance policy; risk of running stale (CVEs, stale TOs, old models); emergency-update path; accreditor notification; user-facing currency warnings.</w:t>
      </w:r>
    </w:p>
    <w:p>
      <w:pPr>
        <w:pStyle w:val="BodyText"/>
      </w:pPr>
      <w:r>
        <w:rPr>
          <w:bCs/>
          <w:b/>
        </w:rPr>
        <w:t xml:space="preserve">Scenario 14 — Immersive Lab Site Divergence.</w:t>
      </w:r>
      <w:r>
        <w:t xml:space="preserve"> </w:t>
      </w:r>
      <w:r>
        <w:t xml:space="preserve">Site B’s lab drifts from Site A (different device firmware, content versions, edge-server patch levels), and training results between sites stop being comparable. Determine: drift detection; configuration authority; reconciliation; impact on MOE comparability and the P3 measurement plan.</w:t>
      </w:r>
    </w:p>
    <w:p>
      <w:pPr>
        <w:pStyle w:val="BodyText"/>
      </w:pPr>
      <w:r>
        <w:rPr>
          <w:bCs/>
          <w:b/>
        </w:rPr>
        <w:t xml:space="preserve">Scenario 15 — Walkthrough Evidence Challenge.</w:t>
      </w:r>
      <w:r>
        <w:t xml:space="preserve"> </w:t>
      </w:r>
      <w:r>
        <w:t xml:space="preserve">A supervisor challenges a Procedural Walkthrough Engine evaluation (</w:t>
      </w:r>
      <w:r>
        <w:t xml:space="preserve">“</w:t>
      </w:r>
      <w:r>
        <w:t xml:space="preserve">the system says the trainee skipped step 7; the trainee says the tracker glitched</w:t>
      </w:r>
      <w:r>
        <w:t xml:space="preserve">”</w:t>
      </w:r>
      <w:r>
        <w:t xml:space="preserve">). Determine: raw capture retention; replay capability; sensor-confidence metadata; human override; how the correction affects the official record and MOE statistics.</w:t>
      </w:r>
    </w:p>
    <w:p>
      <w:pPr>
        <w:pStyle w:val="BodyText"/>
      </w:pPr>
      <w:r>
        <w:rPr>
          <w:bCs/>
          <w:b/>
        </w:rPr>
        <w:t xml:space="preserve">Scenario 16 — Stale Translation After Source Revision.</w:t>
      </w:r>
      <w:r>
        <w:t xml:space="preserve"> </w:t>
      </w:r>
      <w:r>
        <w:t xml:space="preserve">A technical manual is revised (M25 fires); the English eBook and chatbot index are updated, but the Hindi variant of the lesson and its translated quiz items remain live for six weeks. Determine: variant-linkage model; automatic staleness flagging per language; learner-facing currency warnings in each language; re-validation workflow and SLA; audit trail showing which learners trained on the stale variant; impact on official records issued from assessments taken in that window.</w:t>
      </w:r>
    </w:p>
    <w:p>
      <w:r>
        <w:pict>
          <v:rect style="width:0;height:1.5pt" o:hralign="center" o:hrstd="t" o:hr="t"/>
        </w:pict>
      </w:r>
    </w:p>
    <w:bookmarkEnd w:id="73"/>
    <w:bookmarkStart w:id="74" w:name="scoring-model"/>
    <w:p>
      <w:pPr>
        <w:pStyle w:val="Heading1"/>
      </w:pPr>
      <w:r>
        <w:t xml:space="preserve">7. SCORING MODEL</w:t>
      </w:r>
    </w:p>
    <w:p>
      <w:pPr>
        <w:pStyle w:val="FirstParagraph"/>
      </w:pPr>
      <w:r>
        <w:t xml:space="preserve">Score every major area from 0 to 5: 0 Missing; 1 Concept only; 2 Partially defined; 3 Defined but not validated; 4 Tested with minor gaps; 5 Proven and operationally ready.</w:t>
      </w:r>
    </w:p>
    <w:p>
      <w:pPr>
        <w:pStyle w:val="BodyText"/>
      </w:pPr>
      <w:r>
        <w:t xml:space="preserve">Score these dimensions: product clarity; architecture; module boundaries; data ownership; API contracts; event integrity; identity; authorization; tenant isolation; security; privacy; accreditation readiness (ATO path); MOSA conformance; TLA conformance and CMM evidence; air-gap readiness; on-prem AI capacity and model governance; federation design; content-lifecycle and manual-currency control; LMS interoperability; performance; scalability; reliability; recovery; observability; accessibility; localization and multilingual readiness; AI safety; assessment validity; adaptive-learning validity; MOE and measurement validity; immersive-lab and hardware readiness; operational readiness; DevSecOps (including offline delivery); documentation; cost control (including GPU capex/opex model); team capability.</w:t>
      </w:r>
    </w:p>
    <w:p>
      <w:pPr>
        <w:pStyle w:val="BodyText"/>
      </w:pPr>
      <w:r>
        <w:t xml:space="preserve">Calculate: average score; lowest score; number of critical dimensions below 3; overall readiness percentage; confidence level in the score.</w:t>
      </w:r>
    </w:p>
    <w:p>
      <w:pPr>
        <w:pStyle w:val="BodyText"/>
      </w:pPr>
      <w:r>
        <w:t xml:space="preserve">Do not allow a high average score to conceal a critical security, data-integrity, accreditation, or recovery weakness. Apply hard-stop conditions.</w:t>
      </w:r>
    </w:p>
    <w:p>
      <w:r>
        <w:pict>
          <v:rect style="width:0;height:1.5pt" o:hralign="center" o:hrstd="t" o:hr="t"/>
        </w:pict>
      </w:r>
    </w:p>
    <w:bookmarkEnd w:id="74"/>
    <w:bookmarkStart w:id="75" w:name="hard-stop-conditions"/>
    <w:p>
      <w:pPr>
        <w:pStyle w:val="Heading1"/>
      </w:pPr>
      <w:r>
        <w:t xml:space="preserve">8. HARD-STOP CONDITIONS</w:t>
      </w:r>
    </w:p>
    <w:p>
      <w:pPr>
        <w:pStyle w:val="FirstParagraph"/>
      </w:pPr>
      <w:r>
        <w:t xml:space="preserve">Classify the project as Not Ready to Build, Not Ready to Pilot, or Not Ready for Production when any of the following exist:</w:t>
      </w:r>
    </w:p>
    <w:p>
      <w:pPr>
        <w:numPr>
          <w:ilvl w:val="0"/>
          <w:numId w:val="1045"/>
        </w:numPr>
        <w:pStyle w:val="Compact"/>
      </w:pPr>
      <w:r>
        <w:t xml:space="preserve">Tenant isolation is not proven</w:t>
      </w:r>
    </w:p>
    <w:p>
      <w:pPr>
        <w:numPr>
          <w:ilvl w:val="0"/>
          <w:numId w:val="1045"/>
        </w:numPr>
        <w:pStyle w:val="Compact"/>
      </w:pPr>
      <w:r>
        <w:t xml:space="preserve">Grade or official-record reconciliation is undefined</w:t>
      </w:r>
    </w:p>
    <w:p>
      <w:pPr>
        <w:numPr>
          <w:ilvl w:val="0"/>
          <w:numId w:val="1045"/>
        </w:numPr>
        <w:pStyle w:val="Compact"/>
      </w:pPr>
      <w:r>
        <w:t xml:space="preserve">No authoritative data ownership model exists</w:t>
      </w:r>
    </w:p>
    <w:p>
      <w:pPr>
        <w:numPr>
          <w:ilvl w:val="0"/>
          <w:numId w:val="1045"/>
        </w:numPr>
        <w:pStyle w:val="Compact"/>
      </w:pPr>
      <w:r>
        <w:t xml:space="preserve">AI decisions affect learners without governance</w:t>
      </w:r>
    </w:p>
    <w:p>
      <w:pPr>
        <w:numPr>
          <w:ilvl w:val="0"/>
          <w:numId w:val="1045"/>
        </w:numPr>
        <w:pStyle w:val="Compact"/>
      </w:pPr>
      <w:r>
        <w:t xml:space="preserve">LTI security validation is incomplete</w:t>
      </w:r>
    </w:p>
    <w:p>
      <w:pPr>
        <w:numPr>
          <w:ilvl w:val="0"/>
          <w:numId w:val="1045"/>
        </w:numPr>
        <w:pStyle w:val="Compact"/>
      </w:pPr>
      <w:r>
        <w:t xml:space="preserve">No event idempotency strategy exists</w:t>
      </w:r>
    </w:p>
    <w:p>
      <w:pPr>
        <w:numPr>
          <w:ilvl w:val="0"/>
          <w:numId w:val="1045"/>
        </w:numPr>
        <w:pStyle w:val="Compact"/>
      </w:pPr>
      <w:r>
        <w:t xml:space="preserve">Recovery procedures are untested</w:t>
      </w:r>
    </w:p>
    <w:p>
      <w:pPr>
        <w:numPr>
          <w:ilvl w:val="0"/>
          <w:numId w:val="1045"/>
        </w:numPr>
        <w:pStyle w:val="Compact"/>
      </w:pPr>
      <w:r>
        <w:t xml:space="preserve">Critical modules lack operational ownership</w:t>
      </w:r>
    </w:p>
    <w:p>
      <w:pPr>
        <w:numPr>
          <w:ilvl w:val="0"/>
          <w:numId w:val="1045"/>
        </w:numPr>
        <w:pStyle w:val="Compact"/>
      </w:pPr>
      <w:r>
        <w:t xml:space="preserve">Personally identifiable information is not classified</w:t>
      </w:r>
    </w:p>
    <w:p>
      <w:pPr>
        <w:numPr>
          <w:ilvl w:val="0"/>
          <w:numId w:val="1045"/>
        </w:numPr>
        <w:pStyle w:val="Compact"/>
      </w:pPr>
      <w:r>
        <w:t xml:space="preserve">Accessibility requirements are deferred</w:t>
      </w:r>
    </w:p>
    <w:p>
      <w:pPr>
        <w:numPr>
          <w:ilvl w:val="0"/>
          <w:numId w:val="1045"/>
        </w:numPr>
        <w:pStyle w:val="Compact"/>
      </w:pPr>
      <w:r>
        <w:t xml:space="preserve">No measurable capacity assumptions exist</w:t>
      </w:r>
    </w:p>
    <w:p>
      <w:pPr>
        <w:numPr>
          <w:ilvl w:val="0"/>
          <w:numId w:val="1045"/>
        </w:numPr>
        <w:pStyle w:val="Compact"/>
      </w:pPr>
      <w:r>
        <w:t xml:space="preserve">No versioned API or event contracts exist</w:t>
      </w:r>
    </w:p>
    <w:p>
      <w:pPr>
        <w:numPr>
          <w:ilvl w:val="0"/>
          <w:numId w:val="1045"/>
        </w:numPr>
        <w:pStyle w:val="Compact"/>
      </w:pPr>
      <w:r>
        <w:t xml:space="preserve">No audit trail exists for official records</w:t>
      </w:r>
    </w:p>
    <w:p>
      <w:pPr>
        <w:numPr>
          <w:ilvl w:val="0"/>
          <w:numId w:val="1045"/>
        </w:numPr>
        <w:pStyle w:val="Compact"/>
      </w:pPr>
      <w:r>
        <w:t xml:space="preserve">No rollback strategy exists</w:t>
      </w:r>
    </w:p>
    <w:p>
      <w:pPr>
        <w:numPr>
          <w:ilvl w:val="0"/>
          <w:numId w:val="1045"/>
        </w:numPr>
        <w:pStyle w:val="Compact"/>
      </w:pPr>
      <w:r>
        <w:t xml:space="preserve">No production monitoring exists</w:t>
      </w:r>
    </w:p>
    <w:p>
      <w:pPr>
        <w:numPr>
          <w:ilvl w:val="0"/>
          <w:numId w:val="1045"/>
        </w:numPr>
        <w:pStyle w:val="Compact"/>
      </w:pPr>
      <w:r>
        <w:t xml:space="preserve">Any module boundary carries an undocumented or proprietary interface (MOSA violation) without an approved waiver</w:t>
      </w:r>
    </w:p>
    <w:p>
      <w:pPr>
        <w:numPr>
          <w:ilvl w:val="0"/>
          <w:numId w:val="1045"/>
        </w:numPr>
        <w:pStyle w:val="Compact"/>
      </w:pPr>
      <w:r>
        <w:t xml:space="preserve">The Competency Registry schema is undefined while competency-dependent modules are in development</w:t>
      </w:r>
    </w:p>
    <w:p>
      <w:pPr>
        <w:numPr>
          <w:ilvl w:val="0"/>
          <w:numId w:val="1045"/>
        </w:numPr>
        <w:pStyle w:val="Compact"/>
      </w:pPr>
      <w:r>
        <w:t xml:space="preserve">Air-gapped operation is claimed but any core learner journey requires external connectivity or a token-metered external API</w:t>
      </w:r>
    </w:p>
    <w:p>
      <w:pPr>
        <w:numPr>
          <w:ilvl w:val="0"/>
          <w:numId w:val="1045"/>
        </w:numPr>
        <w:pStyle w:val="Compact"/>
      </w:pPr>
      <w:r>
        <w:t xml:space="preserve">Local AI hardware is unsized or unfunded while AI features are committed to enclave customers</w:t>
      </w:r>
    </w:p>
    <w:p>
      <w:pPr>
        <w:numPr>
          <w:ilvl w:val="0"/>
          <w:numId w:val="1045"/>
        </w:numPr>
        <w:pStyle w:val="Compact"/>
      </w:pPr>
      <w:r>
        <w:t xml:space="preserve">Federation identity-matching and conflict rules are undefined while cross-command roll-up is committed</w:t>
      </w:r>
    </w:p>
    <w:p>
      <w:pPr>
        <w:numPr>
          <w:ilvl w:val="0"/>
          <w:numId w:val="1045"/>
        </w:numPr>
        <w:pStyle w:val="Compact"/>
      </w:pPr>
      <w:r>
        <w:t xml:space="preserve">No ATO authority, baseline, or engagement plan exists while defense deployment is on the schedule</w:t>
      </w:r>
    </w:p>
    <w:p>
      <w:pPr>
        <w:numPr>
          <w:ilvl w:val="0"/>
          <w:numId w:val="1045"/>
        </w:numPr>
        <w:pStyle w:val="Compact"/>
      </w:pPr>
      <w:r>
        <w:t xml:space="preserve">Official competency records can be created without recorded model/rubric versions and a named human approver</w:t>
      </w:r>
    </w:p>
    <w:p>
      <w:pPr>
        <w:numPr>
          <w:ilvl w:val="0"/>
          <w:numId w:val="1045"/>
        </w:numPr>
        <w:pStyle w:val="Compact"/>
      </w:pPr>
      <w:r>
        <w:t xml:space="preserve">A second immersive-lab site is scheduled before the first site’s reference design is validated</w:t>
      </w:r>
    </w:p>
    <w:p>
      <w:pPr>
        <w:numPr>
          <w:ilvl w:val="0"/>
          <w:numId w:val="1045"/>
        </w:numPr>
        <w:pStyle w:val="Compact"/>
      </w:pPr>
      <w:r>
        <w:t xml:space="preserve">A language is declared supported — or certification assessments are delivered in it — without per-language AI evaluation results, re-validated assessment items, and translation-currency controls</w:t>
      </w:r>
    </w:p>
    <w:p>
      <w:r>
        <w:pict>
          <v:rect style="width:0;height:1.5pt" o:hralign="center" o:hrstd="t" o:hr="t"/>
        </w:pict>
      </w:r>
    </w:p>
    <w:bookmarkEnd w:id="75"/>
    <w:bookmarkStart w:id="76" w:name="required-output-format"/>
    <w:p>
      <w:pPr>
        <w:pStyle w:val="Heading1"/>
      </w:pPr>
      <w:r>
        <w:t xml:space="preserve">9. REQUIRED OUTPUT FORMAT</w:t>
      </w:r>
    </w:p>
    <w:p>
      <w:pPr>
        <w:pStyle w:val="FirstParagraph"/>
      </w:pPr>
      <w:r>
        <w:t xml:space="preserve">Produce the final report in the following structure.</w:t>
      </w:r>
    </w:p>
    <w:p>
      <w:pPr>
        <w:pStyle w:val="BodyText"/>
      </w:pPr>
      <w:r>
        <w:rPr>
          <w:bCs/>
          <w:b/>
        </w:rPr>
        <w:t xml:space="preserve">A. Executive Verdict</w:t>
      </w:r>
      <w:r>
        <w:t xml:space="preserve"> </w:t>
      </w:r>
      <w:r>
        <w:t xml:space="preserve">— overall status (Green, Yellow, Orange, or Red); readiness percentage; top five strengths; top ten risks; top five required modifications; recommendation: proceed, proceed conditionally, redesign, or stop.</w:t>
      </w:r>
    </w:p>
    <w:p>
      <w:pPr>
        <w:pStyle w:val="BodyText"/>
      </w:pPr>
      <w:r>
        <w:rPr>
          <w:bCs/>
          <w:b/>
        </w:rPr>
        <w:t xml:space="preserve">B. Architecture Summary</w:t>
      </w:r>
      <w:r>
        <w:t xml:space="preserve"> </w:t>
      </w:r>
      <w:r>
        <w:t xml:space="preserve">— current architecture; critical data flows; trust boundaries (including enclave and federation boundaries); systems of record; major dependencies; deployment-model matrix.</w:t>
      </w:r>
    </w:p>
    <w:p>
      <w:pPr>
        <w:pStyle w:val="BodyText"/>
      </w:pPr>
      <w:r>
        <w:rPr>
          <w:bCs/>
          <w:b/>
        </w:rPr>
        <w:t xml:space="preserve">C. Assumption Register</w:t>
      </w:r>
      <w:r>
        <w:t xml:space="preserve"> </w:t>
      </w:r>
      <w:r>
        <w:t xml:space="preserve">— complete table per Loop 5.</w:t>
      </w:r>
    </w:p>
    <w:p>
      <w:pPr>
        <w:pStyle w:val="BodyText"/>
      </w:pPr>
      <w:r>
        <w:rPr>
          <w:bCs/>
          <w:b/>
        </w:rPr>
        <w:t xml:space="preserve">D. Module-by-Module Audit</w:t>
      </w:r>
      <w:r>
        <w:t xml:space="preserve"> </w:t>
      </w:r>
      <w:r>
        <w:t xml:space="preserve">— for M1–M38 and P1–P6: purpose; strengths; gaps; risks; required changes; tests; exit criteria.</w:t>
      </w:r>
    </w:p>
    <w:p>
      <w:pPr>
        <w:pStyle w:val="BodyText"/>
      </w:pPr>
      <w:r>
        <w:rPr>
          <w:bCs/>
          <w:b/>
        </w:rPr>
        <w:t xml:space="preserve">E. Dependency Analysis</w:t>
      </w:r>
      <w:r>
        <w:t xml:space="preserve"> </w:t>
      </w:r>
      <w:r>
        <w:t xml:space="preserve">— dependency matrix; circular dependencies; critical-path modules; single points of failure; recommended sequencing.</w:t>
      </w:r>
    </w:p>
    <w:p>
      <w:pPr>
        <w:pStyle w:val="BodyText"/>
      </w:pPr>
      <w:r>
        <w:rPr>
          <w:bCs/>
          <w:b/>
        </w:rPr>
        <w:t xml:space="preserve">F. Stress-Test Results</w:t>
      </w:r>
      <w:r>
        <w:t xml:space="preserve"> </w:t>
      </w:r>
      <w:r>
        <w:t xml:space="preserve">— for every scenario (1–15): conditions; expected behavior; observed or predicted failure; impact; detection; recovery; required design change; validation test.</w:t>
      </w:r>
    </w:p>
    <w:p>
      <w:pPr>
        <w:pStyle w:val="BodyText"/>
      </w:pPr>
      <w:r>
        <w:rPr>
          <w:bCs/>
          <w:b/>
        </w:rPr>
        <w:t xml:space="preserve">G. Security, Privacy, and Accreditation Report</w:t>
      </w:r>
      <w:r>
        <w:t xml:space="preserve"> </w:t>
      </w:r>
      <w:r>
        <w:t xml:space="preserve">— threat model; attack surface; tenant-isolation assessment; identity and authorization assessment; AI security; file-upload risks; mobile and offline risks; media-transfer and supply-chain risks; ATO readiness and control-gap summary.</w:t>
      </w:r>
    </w:p>
    <w:p>
      <w:pPr>
        <w:pStyle w:val="BodyText"/>
      </w:pPr>
      <w:r>
        <w:rPr>
          <w:bCs/>
          <w:b/>
        </w:rPr>
        <w:t xml:space="preserve">H. Data and Event Integrity Report</w:t>
      </w:r>
      <w:r>
        <w:t xml:space="preserve"> </w:t>
      </w:r>
      <w:r>
        <w:t xml:space="preserve">— systems of record; data ownership; event schemas and xAPI profiles; idempotency; ordering; correction; retention; official-record governance; federation provenance and reconciliation.</w:t>
      </w:r>
    </w:p>
    <w:p>
      <w:pPr>
        <w:pStyle w:val="BodyText"/>
      </w:pPr>
      <w:r>
        <w:rPr>
          <w:bCs/>
          <w:b/>
        </w:rPr>
        <w:t xml:space="preserve">I. AI and Learning-Science Report</w:t>
      </w:r>
      <w:r>
        <w:t xml:space="preserve"> </w:t>
      </w:r>
      <w:r>
        <w:t xml:space="preserve">— RAG reliability (hosted vs local); AI grading validity; at-risk/PLE model validity; adaptive-learning safeguards; walkthrough-engine evidence validity; human oversight; bias and fairness; evaluation methods; model-lifecycle governance per deployment.</w:t>
      </w:r>
    </w:p>
    <w:p>
      <w:pPr>
        <w:pStyle w:val="BodyText"/>
      </w:pPr>
      <w:r>
        <w:rPr>
          <w:bCs/>
          <w:b/>
        </w:rPr>
        <w:t xml:space="preserve">J. Test Strategy</w:t>
      </w:r>
      <w:r>
        <w:t xml:space="preserve"> </w:t>
      </w:r>
      <w:r>
        <w:t xml:space="preserve">— test pyramid; test environments (including a representative enclave environment); test data; automation plan; load-test plan; chaos-test plan; security-test plan; accessibility-test plan; AI-evaluation plan; TLA conformance plan; operational acceptance test.</w:t>
      </w:r>
    </w:p>
    <w:p>
      <w:pPr>
        <w:pStyle w:val="BodyText"/>
      </w:pPr>
      <w:r>
        <w:rPr>
          <w:bCs/>
          <w:b/>
        </w:rPr>
        <w:t xml:space="preserve">K. Modification Register</w:t>
      </w:r>
      <w:r>
        <w:t xml:space="preserve"> </w:t>
      </w:r>
      <w:r>
        <w:t xml:space="preserve">— for every proposed change: current approach; reason modification is needed; recommended approach; benefits; trade-offs; effort; priority; validation method.</w:t>
      </w:r>
    </w:p>
    <w:p>
      <w:pPr>
        <w:pStyle w:val="BodyText"/>
      </w:pPr>
      <w:r>
        <w:rPr>
          <w:bCs/>
          <w:b/>
        </w:rPr>
        <w:t xml:space="preserve">L. Risk Register</w:t>
      </w:r>
      <w:r>
        <w:t xml:space="preserve"> </w:t>
      </w:r>
      <w:r>
        <w:t xml:space="preserve">— P0 Critical / P1 High / P2 Medium / P3 Low, with risk owner and target resolution phase.</w:t>
      </w:r>
    </w:p>
    <w:p>
      <w:pPr>
        <w:pStyle w:val="BodyText"/>
      </w:pPr>
      <w:r>
        <w:rPr>
          <w:bCs/>
          <w:b/>
        </w:rPr>
        <w:t xml:space="preserve">M. Decision Register</w:t>
      </w:r>
      <w:r>
        <w:t xml:space="preserve"> </w:t>
      </w:r>
      <w:r>
        <w:t xml:space="preserve">— decisions requiring leadership approval, including the Loop 22 mandatory decision analyses.</w:t>
      </w:r>
    </w:p>
    <w:p>
      <w:pPr>
        <w:pStyle w:val="BodyText"/>
      </w:pPr>
      <w:r>
        <w:rPr>
          <w:bCs/>
          <w:b/>
        </w:rPr>
        <w:t xml:space="preserve">N. Missing Information Register</w:t>
      </w:r>
      <w:r>
        <w:t xml:space="preserve"> </w:t>
      </w:r>
      <w:r>
        <w:t xml:space="preserve">— every unanswered question that prevents validation.</w:t>
      </w:r>
    </w:p>
    <w:p>
      <w:pPr>
        <w:pStyle w:val="BodyText"/>
      </w:pPr>
      <w:r>
        <w:rPr>
          <w:bCs/>
          <w:b/>
        </w:rPr>
        <w:t xml:space="preserve">O. MOSA Conformance Report</w:t>
      </w:r>
      <w:r>
        <w:t xml:space="preserve"> </w:t>
      </w:r>
      <w:r>
        <w:t xml:space="preserve">— the Loop 23 matrix: severability, interface openness, conformance suites, data rights, exit strategies; waivers requested.</w:t>
      </w:r>
    </w:p>
    <w:p>
      <w:pPr>
        <w:pStyle w:val="BodyText"/>
      </w:pPr>
      <w:r>
        <w:rPr>
          <w:bCs/>
          <w:b/>
        </w:rPr>
        <w:t xml:space="preserve">P. TLA Conformance and CMM Report</w:t>
      </w:r>
      <w:r>
        <w:t xml:space="preserve"> </w:t>
      </w:r>
      <w:r>
        <w:t xml:space="preserve">— the Loop 24 scorecard: pillar completeness, profile governance, per-level evidence, interoperability demonstrations planned/completed.</w:t>
      </w:r>
    </w:p>
    <w:p>
      <w:pPr>
        <w:pStyle w:val="BodyText"/>
      </w:pPr>
      <w:r>
        <w:rPr>
          <w:bCs/>
          <w:b/>
        </w:rPr>
        <w:t xml:space="preserve">Q. Air-Gap and Federation Readiness Report</w:t>
      </w:r>
      <w:r>
        <w:t xml:space="preserve"> </w:t>
      </w:r>
      <w:r>
        <w:t xml:space="preserve">— Loop 25 readiness matrix; enclave bill of materials and cost model; Loop 26 federation data-class × boundary matrix.</w:t>
      </w:r>
    </w:p>
    <w:p>
      <w:pPr>
        <w:pStyle w:val="BodyText"/>
      </w:pPr>
      <w:r>
        <w:rPr>
          <w:bCs/>
          <w:b/>
        </w:rPr>
        <w:t xml:space="preserve">R. Deliverable Traceability Matrix</w:t>
      </w:r>
      <w:r>
        <w:t xml:space="preserve"> </w:t>
      </w:r>
      <w:r>
        <w:t xml:space="preserve">— the Loop 30 output covering the full program deliverable list.</w:t>
      </w:r>
    </w:p>
    <w:p>
      <w:pPr>
        <w:pStyle w:val="BodyText"/>
      </w:pPr>
      <w:r>
        <w:rPr>
          <w:bCs/>
          <w:b/>
        </w:rPr>
        <w:t xml:space="preserve">S. Recommended Architecture</w:t>
      </w:r>
      <w:r>
        <w:t xml:space="preserve"> </w:t>
      </w:r>
      <w:r>
        <w:t xml:space="preserve">— the improved architecture: module changes; shared platform services (including the shared local-inference service); data flows; event flows; API boundaries; trust boundaries; deployment units per environment class; monitoring; recovery; AI governance.</w:t>
      </w:r>
    </w:p>
    <w:p>
      <w:pPr>
        <w:pStyle w:val="BodyText"/>
      </w:pPr>
      <w:r>
        <w:rPr>
          <w:bCs/>
          <w:b/>
        </w:rPr>
        <w:t xml:space="preserve">T. Revised Build Plan</w:t>
      </w:r>
      <w:r>
        <w:t xml:space="preserve"> </w:t>
      </w:r>
      <w:r>
        <w:t xml:space="preserve">— proof-of-concept stage; architecture-validation stage; vertical-slice pilot (connected + enclave); controlled customer pilot; limited production; general production. For every stage, specify entry and exit gates, including accreditation and TLA CMM evidence gates.</w:t>
      </w:r>
    </w:p>
    <w:p>
      <w:pPr>
        <w:pStyle w:val="BodyText"/>
      </w:pPr>
      <w:r>
        <w:rPr>
          <w:bCs/>
          <w:b/>
        </w:rPr>
        <w:t xml:space="preserve">U. 30-, 60-, and 90-Day Action Plan</w:t>
      </w:r>
      <w:r>
        <w:t xml:space="preserve"> </w:t>
      </w:r>
      <w:r>
        <w:t xml:space="preserve">— tasks; owners; dependencies; deliverables; acceptance criteria; risks.</w:t>
      </w:r>
    </w:p>
    <w:p>
      <w:pPr>
        <w:pStyle w:val="BodyText"/>
      </w:pPr>
      <w:r>
        <w:rPr>
          <w:bCs/>
          <w:b/>
        </w:rPr>
        <w:t xml:space="preserve">V. Localization and Multilingual Readiness Report</w:t>
      </w:r>
      <w:r>
        <w:t xml:space="preserve"> </w:t>
      </w:r>
      <w:r>
        <w:t xml:space="preserve">— the Loop 31 outputs: language coverage matrix (module × language × tier); per-language AI benchmark results (hosted and local models); translation-currency risk assessment; assessment-validity status per language; localization cost and schedule impact.</w:t>
      </w:r>
    </w:p>
    <w:p>
      <w:r>
        <w:pict>
          <v:rect style="width:0;height:1.5pt" o:hralign="center" o:hrstd="t" o:hr="t"/>
        </w:pict>
      </w:r>
    </w:p>
    <w:bookmarkEnd w:id="76"/>
    <w:bookmarkStart w:id="77" w:name="response-quality-rules"/>
    <w:p>
      <w:pPr>
        <w:pStyle w:val="Heading1"/>
      </w:pPr>
      <w:r>
        <w:t xml:space="preserve">10. RESPONSE QUALITY RULES</w:t>
      </w:r>
    </w:p>
    <w:p>
      <w:pPr>
        <w:pStyle w:val="FirstParagraph"/>
      </w:pPr>
      <w:r>
        <w:t xml:space="preserve">The review must be: specific to EdVidura; technically detailed; constructively critical; evidence-driven; traceable; prioritized; measurable; actionable.</w:t>
      </w:r>
    </w:p>
    <w:p>
      <w:pPr>
        <w:pStyle w:val="BodyText"/>
      </w:pPr>
      <w:r>
        <w:t xml:space="preserve">Avoid:</w:t>
      </w:r>
    </w:p>
    <w:p>
      <w:pPr>
        <w:numPr>
          <w:ilvl w:val="0"/>
          <w:numId w:val="1046"/>
        </w:numPr>
        <w:pStyle w:val="Compact"/>
      </w:pPr>
      <w:r>
        <w:t xml:space="preserve">Generic recommendations</w:t>
      </w:r>
    </w:p>
    <w:p>
      <w:pPr>
        <w:numPr>
          <w:ilvl w:val="0"/>
          <w:numId w:val="1046"/>
        </w:numPr>
        <w:pStyle w:val="Compact"/>
      </w:pPr>
      <w:r>
        <w:t xml:space="preserve">Unsupported confidence</w:t>
      </w:r>
    </w:p>
    <w:p>
      <w:pPr>
        <w:numPr>
          <w:ilvl w:val="0"/>
          <w:numId w:val="1046"/>
        </w:numPr>
        <w:pStyle w:val="Compact"/>
      </w:pPr>
      <w:r>
        <w:t xml:space="preserve">Technology-name dumping</w:t>
      </w:r>
    </w:p>
    <w:p>
      <w:pPr>
        <w:numPr>
          <w:ilvl w:val="0"/>
          <w:numId w:val="1046"/>
        </w:numPr>
        <w:pStyle w:val="Compact"/>
      </w:pPr>
      <w:r>
        <w:t xml:space="preserve">Assuming enterprise-scale tools are automatically appropriate</w:t>
      </w:r>
    </w:p>
    <w:p>
      <w:pPr>
        <w:numPr>
          <w:ilvl w:val="0"/>
          <w:numId w:val="1046"/>
        </w:numPr>
        <w:pStyle w:val="Compact"/>
      </w:pPr>
      <w:r>
        <w:t xml:space="preserve">Treating open source as automatically free, secure, or maintained</w:t>
      </w:r>
    </w:p>
    <w:p>
      <w:pPr>
        <w:numPr>
          <w:ilvl w:val="0"/>
          <w:numId w:val="1046"/>
        </w:numPr>
        <w:pStyle w:val="Compact"/>
      </w:pPr>
      <w:r>
        <w:t xml:space="preserve">Treating</w:t>
      </w:r>
      <w:r>
        <w:t xml:space="preserve"> </w:t>
      </w:r>
      <w:r>
        <w:t xml:space="preserve">“</w:t>
      </w:r>
      <w:r>
        <w:t xml:space="preserve">MOSA-aligned</w:t>
      </w:r>
      <w:r>
        <w:t xml:space="preserve">”</w:t>
      </w:r>
      <w:r>
        <w:t xml:space="preserve"> </w:t>
      </w:r>
      <w:r>
        <w:t xml:space="preserve">or</w:t>
      </w:r>
      <w:r>
        <w:t xml:space="preserve"> </w:t>
      </w:r>
      <w:r>
        <w:t xml:space="preserve">“</w:t>
      </w:r>
      <w:r>
        <w:t xml:space="preserve">TLA-conformant</w:t>
      </w:r>
      <w:r>
        <w:t xml:space="preserve">”</w:t>
      </w:r>
      <w:r>
        <w:t xml:space="preserve"> </w:t>
      </w:r>
      <w:r>
        <w:t xml:space="preserve">as achieved because the words appear in the plan</w:t>
      </w:r>
    </w:p>
    <w:p>
      <w:pPr>
        <w:numPr>
          <w:ilvl w:val="0"/>
          <w:numId w:val="1046"/>
        </w:numPr>
        <w:pStyle w:val="Compact"/>
      </w:pPr>
      <w:r>
        <w:t xml:space="preserve">Treating AI citations as proof of correctness</w:t>
      </w:r>
    </w:p>
    <w:p>
      <w:pPr>
        <w:numPr>
          <w:ilvl w:val="0"/>
          <w:numId w:val="1046"/>
        </w:numPr>
        <w:pStyle w:val="Compact"/>
      </w:pPr>
      <w:r>
        <w:t xml:space="preserve">Treating dashboards as proof of data accuracy</w:t>
      </w:r>
    </w:p>
    <w:p>
      <w:pPr>
        <w:numPr>
          <w:ilvl w:val="0"/>
          <w:numId w:val="1046"/>
        </w:numPr>
        <w:pStyle w:val="Compact"/>
      </w:pPr>
      <w:r>
        <w:t xml:space="preserve">Treating successful API responses as proof of completed business transactions</w:t>
      </w:r>
    </w:p>
    <w:p>
      <w:pPr>
        <w:numPr>
          <w:ilvl w:val="0"/>
          <w:numId w:val="1046"/>
        </w:numPr>
        <w:pStyle w:val="Compact"/>
      </w:pPr>
      <w:r>
        <w:t xml:space="preserve">Treating activity data as direct proof of learning</w:t>
      </w:r>
    </w:p>
    <w:p>
      <w:pPr>
        <w:numPr>
          <w:ilvl w:val="0"/>
          <w:numId w:val="1046"/>
        </w:numPr>
        <w:pStyle w:val="Compact"/>
      </w:pPr>
      <w:r>
        <w:t xml:space="preserve">Treating simulator or walkthrough completion as proof of operational competence</w:t>
      </w:r>
    </w:p>
    <w:p>
      <w:pPr>
        <w:numPr>
          <w:ilvl w:val="0"/>
          <w:numId w:val="1046"/>
        </w:numPr>
        <w:pStyle w:val="Compact"/>
      </w:pPr>
      <w:r>
        <w:t xml:space="preserve">Treating</w:t>
      </w:r>
      <w:r>
        <w:t xml:space="preserve"> </w:t>
      </w:r>
      <w:r>
        <w:t xml:space="preserve">“</w:t>
      </w:r>
      <w:r>
        <w:t xml:space="preserve">we’ll sync it later</w:t>
      </w:r>
      <w:r>
        <w:t xml:space="preserve">”</w:t>
      </w:r>
      <w:r>
        <w:t xml:space="preserve"> </w:t>
      </w:r>
      <w:r>
        <w:t xml:space="preserve">as a federation design</w:t>
      </w:r>
    </w:p>
    <w:p>
      <w:pPr>
        <w:numPr>
          <w:ilvl w:val="0"/>
          <w:numId w:val="1046"/>
        </w:numPr>
        <w:pStyle w:val="Compact"/>
      </w:pPr>
      <w:r>
        <w:t xml:space="preserve">Treating GPU hardware as available because it is budgeted</w:t>
      </w:r>
    </w:p>
    <w:p>
      <w:pPr>
        <w:pStyle w:val="FirstParagraph"/>
      </w:pPr>
      <w:r>
        <w:t xml:space="preserve">Whenever information is missing:</w:t>
      </w:r>
    </w:p>
    <w:p>
      <w:pPr>
        <w:numPr>
          <w:ilvl w:val="0"/>
          <w:numId w:val="1047"/>
        </w:numPr>
        <w:pStyle w:val="Compact"/>
      </w:pPr>
      <w:r>
        <w:t xml:space="preserve">State the missing information.</w:t>
      </w:r>
    </w:p>
    <w:p>
      <w:pPr>
        <w:numPr>
          <w:ilvl w:val="0"/>
          <w:numId w:val="1047"/>
        </w:numPr>
        <w:pStyle w:val="Compact"/>
      </w:pPr>
      <w:r>
        <w:t xml:space="preserve">Explain why it matters.</w:t>
      </w:r>
    </w:p>
    <w:p>
      <w:pPr>
        <w:numPr>
          <w:ilvl w:val="0"/>
          <w:numId w:val="1047"/>
        </w:numPr>
        <w:pStyle w:val="Compact"/>
      </w:pPr>
      <w:r>
        <w:t xml:space="preserve">Identify which decision depends on it.</w:t>
      </w:r>
    </w:p>
    <w:p>
      <w:pPr>
        <w:numPr>
          <w:ilvl w:val="0"/>
          <w:numId w:val="1047"/>
        </w:numPr>
        <w:pStyle w:val="Compact"/>
      </w:pPr>
      <w:r>
        <w:t xml:space="preserve">Make a clearly labeled provisional assumption.</w:t>
      </w:r>
    </w:p>
    <w:p>
      <w:pPr>
        <w:numPr>
          <w:ilvl w:val="0"/>
          <w:numId w:val="1047"/>
        </w:numPr>
        <w:pStyle w:val="Compact"/>
      </w:pPr>
      <w:r>
        <w:t xml:space="preserve">Test how the result changes if the assumption is false.</w:t>
      </w:r>
    </w:p>
    <w:p>
      <w:r>
        <w:pict>
          <v:rect style="width:0;height:1.5pt" o:hralign="center" o:hrstd="t" o:hr="t"/>
        </w:pict>
      </w:r>
    </w:p>
    <w:bookmarkEnd w:id="77"/>
    <w:bookmarkStart w:id="78" w:name="final-challenge-questions"/>
    <w:p>
      <w:pPr>
        <w:pStyle w:val="Heading1"/>
      </w:pPr>
      <w:r>
        <w:t xml:space="preserve">11. FINAL CHALLENGE QUESTIONS</w:t>
      </w:r>
    </w:p>
    <w:p>
      <w:pPr>
        <w:pStyle w:val="FirstParagraph"/>
      </w:pPr>
      <w:r>
        <w:t xml:space="preserve">Before completing the report, answer these questions directly:</w:t>
      </w:r>
    </w:p>
    <w:p>
      <w:pPr>
        <w:numPr>
          <w:ilvl w:val="0"/>
          <w:numId w:val="1048"/>
        </w:numPr>
        <w:pStyle w:val="Compact"/>
      </w:pPr>
      <w:r>
        <w:t xml:space="preserve">Can EdVidura deliver one complete learner-to-instructor workflow without all 38 modules?</w:t>
      </w:r>
    </w:p>
    <w:p>
      <w:pPr>
        <w:numPr>
          <w:ilvl w:val="0"/>
          <w:numId w:val="1048"/>
        </w:numPr>
        <w:pStyle w:val="Compact"/>
      </w:pPr>
      <w:r>
        <w:t xml:space="preserve">Which modules are genuine independent services, and which should initially remain part of a modular monolith — and does that answer break the TLA CMM Level 2 claim?</w:t>
      </w:r>
    </w:p>
    <w:p>
      <w:pPr>
        <w:numPr>
          <w:ilvl w:val="0"/>
          <w:numId w:val="1048"/>
        </w:numPr>
        <w:pStyle w:val="Compact"/>
      </w:pPr>
      <w:r>
        <w:t xml:space="preserve">Does the design require Kafka or NATS at the initial scale?</w:t>
      </w:r>
    </w:p>
    <w:p>
      <w:pPr>
        <w:numPr>
          <w:ilvl w:val="0"/>
          <w:numId w:val="1048"/>
        </w:numPr>
        <w:pStyle w:val="Compact"/>
      </w:pPr>
      <w:r>
        <w:t xml:space="preserve">Is the Learning-data API becoming an excessive bottleneck or single point of failure?</w:t>
      </w:r>
    </w:p>
    <w:p>
      <w:pPr>
        <w:numPr>
          <w:ilvl w:val="0"/>
          <w:numId w:val="1048"/>
        </w:numPr>
        <w:pStyle w:val="Compact"/>
      </w:pPr>
      <w:r>
        <w:t xml:space="preserve">Is the LRS being used as an event store, analytical source, compliance record, or all three — and which role does the ELRR take over?</w:t>
      </w:r>
    </w:p>
    <w:p>
      <w:pPr>
        <w:numPr>
          <w:ilvl w:val="0"/>
          <w:numId w:val="1048"/>
        </w:numPr>
        <w:pStyle w:val="Compact"/>
      </w:pPr>
      <w:r>
        <w:t xml:space="preserve">Are raw, cleaned, and official records sufficiently defined, and at which level does federation occur?</w:t>
      </w:r>
    </w:p>
    <w:p>
      <w:pPr>
        <w:numPr>
          <w:ilvl w:val="0"/>
          <w:numId w:val="1048"/>
        </w:numPr>
        <w:pStyle w:val="Compact"/>
      </w:pPr>
      <w:r>
        <w:t xml:space="preserve">How will grades be reconciled between EdVidura and the LMS?</w:t>
      </w:r>
    </w:p>
    <w:p>
      <w:pPr>
        <w:numPr>
          <w:ilvl w:val="0"/>
          <w:numId w:val="1048"/>
        </w:numPr>
        <w:pStyle w:val="Compact"/>
      </w:pPr>
      <w:r>
        <w:t xml:space="preserve">How will official skill records be corrected or revoked — and how does the correction reach every enclave and the enterprise ELRR?</w:t>
      </w:r>
    </w:p>
    <w:p>
      <w:pPr>
        <w:numPr>
          <w:ilvl w:val="0"/>
          <w:numId w:val="1048"/>
        </w:numPr>
        <w:pStyle w:val="Compact"/>
      </w:pPr>
      <w:r>
        <w:t xml:space="preserve">How will tenant and command boundaries be enforced inside BI and vector-search systems?</w:t>
      </w:r>
    </w:p>
    <w:p>
      <w:pPr>
        <w:numPr>
          <w:ilvl w:val="0"/>
          <w:numId w:val="1048"/>
        </w:numPr>
        <w:pStyle w:val="Compact"/>
      </w:pPr>
      <w:r>
        <w:t xml:space="preserve">Can adaptive learning work without a formal content and skill ontology — and is the Competency Registry (M19) on the critical path where it belongs?</w:t>
      </w:r>
    </w:p>
    <w:p>
      <w:pPr>
        <w:numPr>
          <w:ilvl w:val="0"/>
          <w:numId w:val="1048"/>
        </w:numPr>
        <w:pStyle w:val="Compact"/>
      </w:pPr>
      <w:r>
        <w:t xml:space="preserve">What evidence will prove that at-risk predictions improve learner outcomes?</w:t>
      </w:r>
    </w:p>
    <w:p>
      <w:pPr>
        <w:numPr>
          <w:ilvl w:val="0"/>
          <w:numId w:val="1048"/>
        </w:numPr>
        <w:pStyle w:val="Compact"/>
      </w:pPr>
      <w:r>
        <w:t xml:space="preserve">What evidence will prove that AI grading is fair and reliable — on the local models enclaves actually run?</w:t>
      </w:r>
    </w:p>
    <w:p>
      <w:pPr>
        <w:numPr>
          <w:ilvl w:val="0"/>
          <w:numId w:val="1048"/>
        </w:numPr>
        <w:pStyle w:val="Compact"/>
      </w:pPr>
      <w:r>
        <w:t xml:space="preserve">How will obsolete manuals be removed from chatbot retrieval, in every enclave, within a defined SLA?</w:t>
      </w:r>
    </w:p>
    <w:p>
      <w:pPr>
        <w:numPr>
          <w:ilvl w:val="0"/>
          <w:numId w:val="1048"/>
        </w:numPr>
        <w:pStyle w:val="Compact"/>
      </w:pPr>
      <w:r>
        <w:t xml:space="preserve">What happens when the identity system, LRS, LMS, or local AI serving layer is unavailable?</w:t>
      </w:r>
    </w:p>
    <w:p>
      <w:pPr>
        <w:numPr>
          <w:ilvl w:val="0"/>
          <w:numId w:val="1048"/>
        </w:numPr>
        <w:pStyle w:val="Compact"/>
      </w:pPr>
      <w:r>
        <w:t xml:space="preserve">Can the support team diagnose a failed learner journey across multiple modules — including in an enclave they cannot remotely access?</w:t>
      </w:r>
    </w:p>
    <w:p>
      <w:pPr>
        <w:numPr>
          <w:ilvl w:val="0"/>
          <w:numId w:val="1048"/>
        </w:numPr>
        <w:pStyle w:val="Compact"/>
      </w:pPr>
      <w:r>
        <w:t xml:space="preserve">Is the proposed module count supportable by the available engineering team?</w:t>
      </w:r>
    </w:p>
    <w:p>
      <w:pPr>
        <w:numPr>
          <w:ilvl w:val="0"/>
          <w:numId w:val="1048"/>
        </w:numPr>
        <w:pStyle w:val="Compact"/>
      </w:pPr>
      <w:r>
        <w:t xml:space="preserve">Which open-source components create the largest maintenance burden, and what is the plan if any is abandoned upstream?</w:t>
      </w:r>
    </w:p>
    <w:p>
      <w:pPr>
        <w:numPr>
          <w:ilvl w:val="0"/>
          <w:numId w:val="1048"/>
        </w:numPr>
        <w:pStyle w:val="Compact"/>
      </w:pPr>
      <w:r>
        <w:t xml:space="preserve">Which functions should use managed services rather than self-hosted tools — and what is the enclave answer where managed services are impossible?</w:t>
      </w:r>
    </w:p>
    <w:p>
      <w:pPr>
        <w:numPr>
          <w:ilvl w:val="0"/>
          <w:numId w:val="1048"/>
        </w:numPr>
        <w:pStyle w:val="Compact"/>
      </w:pPr>
      <w:r>
        <w:t xml:space="preserve">What is the minimum secure, useful, and testable product?</w:t>
      </w:r>
    </w:p>
    <w:p>
      <w:pPr>
        <w:numPr>
          <w:ilvl w:val="0"/>
          <w:numId w:val="1048"/>
        </w:numPr>
        <w:pStyle w:val="Compact"/>
      </w:pPr>
      <w:r>
        <w:t xml:space="preserve">What must be redesigned before coding continues?</w:t>
      </w:r>
    </w:p>
    <w:p>
      <w:pPr>
        <w:numPr>
          <w:ilvl w:val="0"/>
          <w:numId w:val="1048"/>
        </w:numPr>
        <w:pStyle w:val="Compact"/>
      </w:pPr>
      <w:r>
        <w:t xml:space="preserve">Can every module boundary be recompeted by a third party from published documentation alone (MOSA test)? If not, which cannot, and why?</w:t>
      </w:r>
    </w:p>
    <w:p>
      <w:pPr>
        <w:numPr>
          <w:ilvl w:val="0"/>
          <w:numId w:val="1048"/>
        </w:numPr>
        <w:pStyle w:val="Compact"/>
      </w:pPr>
      <w:r>
        <w:t xml:space="preserve">What is the measured quality difference between hosted and local models per AI capability, and has the customer accepted the enclave quality bar in writing?</w:t>
      </w:r>
    </w:p>
    <w:p>
      <w:pPr>
        <w:numPr>
          <w:ilvl w:val="0"/>
          <w:numId w:val="1048"/>
        </w:numPr>
        <w:pStyle w:val="Compact"/>
      </w:pPr>
      <w:r>
        <w:t xml:space="preserve">What is the total cost of ownership of the on-prem AI serving layer versus projected token spend, at realistic usage, over three years?</w:t>
      </w:r>
    </w:p>
    <w:p>
      <w:pPr>
        <w:numPr>
          <w:ilvl w:val="0"/>
          <w:numId w:val="1048"/>
        </w:numPr>
        <w:pStyle w:val="Compact"/>
      </w:pPr>
      <w:r>
        <w:t xml:space="preserve">Which TLA CMM level claims currently have a dated, named interoperability demonstration behind them?</w:t>
      </w:r>
    </w:p>
    <w:p>
      <w:pPr>
        <w:numPr>
          <w:ilvl w:val="0"/>
          <w:numId w:val="1048"/>
        </w:numPr>
        <w:pStyle w:val="Compact"/>
      </w:pPr>
      <w:r>
        <w:t xml:space="preserve">Who adjudicates a federated data conflict between two commands, and where is that written down?</w:t>
      </w:r>
    </w:p>
    <w:p>
      <w:pPr>
        <w:numPr>
          <w:ilvl w:val="0"/>
          <w:numId w:val="1048"/>
        </w:numPr>
        <w:pStyle w:val="Compact"/>
      </w:pPr>
      <w:r>
        <w:t xml:space="preserve">If the ATO authority rejects a core design element (e.g., the AI evidence flow) at month N, what is the rework blast radius?</w:t>
      </w:r>
    </w:p>
    <w:p>
      <w:pPr>
        <w:numPr>
          <w:ilvl w:val="0"/>
          <w:numId w:val="1048"/>
        </w:numPr>
        <w:pStyle w:val="Compact"/>
      </w:pPr>
      <w:r>
        <w:t xml:space="preserve">What proves the two immersive-lab sites are producing comparable training evidence?</w:t>
      </w:r>
    </w:p>
    <w:p>
      <w:pPr>
        <w:numPr>
          <w:ilvl w:val="0"/>
          <w:numId w:val="1048"/>
        </w:numPr>
        <w:pStyle w:val="Compact"/>
      </w:pPr>
      <w:r>
        <w:t xml:space="preserve">What is the maximum tolerable content-staleness (TO currency) in a disconnected enclave, who set that number, and what happens when it is exceeded?</w:t>
      </w:r>
    </w:p>
    <w:p>
      <w:pPr>
        <w:numPr>
          <w:ilvl w:val="0"/>
          <w:numId w:val="1048"/>
        </w:numPr>
        <w:pStyle w:val="Compact"/>
      </w:pPr>
      <w:r>
        <w:t xml:space="preserve">Which deliverables in the program list currently have no measurable acceptance criterion?</w:t>
      </w:r>
    </w:p>
    <w:p>
      <w:pPr>
        <w:numPr>
          <w:ilvl w:val="0"/>
          <w:numId w:val="1048"/>
        </w:numPr>
        <w:pStyle w:val="Compact"/>
      </w:pPr>
      <w:r>
        <w:t xml:space="preserve">If the Dynamic Content Authoring Tool slips six months, which downstream deliverables slip with it — and does the plan admit that?</w:t>
      </w:r>
    </w:p>
    <w:p>
      <w:pPr>
        <w:numPr>
          <w:ilvl w:val="0"/>
          <w:numId w:val="1048"/>
        </w:numPr>
        <w:pStyle w:val="Compact"/>
      </w:pPr>
      <w:r>
        <w:t xml:space="preserve">For each language the product claims to support: what are the measured AI quality numbers on the local models, are the assessment items re-validated, and what stops a learner from training on a stale translation after the source manual changes?</w:t>
      </w:r>
    </w:p>
    <w:p>
      <w:r>
        <w:pict>
          <v:rect style="width:0;height:1.5pt" o:hralign="center" o:hrstd="t" o:hr="t"/>
        </w:pict>
      </w:r>
    </w:p>
    <w:bookmarkEnd w:id="78"/>
    <w:bookmarkStart w:id="79" w:name="final-verdict-standard"/>
    <w:p>
      <w:pPr>
        <w:pStyle w:val="Heading1"/>
      </w:pPr>
      <w:r>
        <w:t xml:space="preserve">12. FINAL VERDICT STANDARD</w:t>
      </w:r>
    </w:p>
    <w:p>
      <w:pPr>
        <w:pStyle w:val="FirstParagraph"/>
      </w:pPr>
      <w:r>
        <w:t xml:space="preserve">End with one of the following verdicts:</w:t>
      </w:r>
    </w:p>
    <w:p>
      <w:pPr>
        <w:pStyle w:val="BodyText"/>
      </w:pPr>
      <w:r>
        <w:rPr>
          <w:bCs/>
          <w:b/>
        </w:rPr>
        <w:t xml:space="preserve">GREEN — Ready.</w:t>
      </w:r>
      <w:r>
        <w:t xml:space="preserve"> </w:t>
      </w:r>
      <w:r>
        <w:t xml:space="preserve">The architecture, assumptions, controls, test methods, ownership, accreditation path, and delivery plan are sufficiently defined and validated — including in the air-gapped and federated deployment classes.</w:t>
      </w:r>
    </w:p>
    <w:p>
      <w:pPr>
        <w:pStyle w:val="BodyText"/>
      </w:pPr>
      <w:r>
        <w:rPr>
          <w:bCs/>
          <w:b/>
        </w:rPr>
        <w:t xml:space="preserve">YELLOW — Proceed with Conditions.</w:t>
      </w:r>
      <w:r>
        <w:t xml:space="preserve"> </w:t>
      </w:r>
      <w:r>
        <w:t xml:space="preserve">The core direction is viable, but listed changes must be completed before pilot or production.</w:t>
      </w:r>
    </w:p>
    <w:p>
      <w:pPr>
        <w:pStyle w:val="BodyText"/>
      </w:pPr>
      <w:r>
        <w:rPr>
          <w:bCs/>
          <w:b/>
        </w:rPr>
        <w:t xml:space="preserve">ORANGE — Major Redesign Required.</w:t>
      </w:r>
      <w:r>
        <w:t xml:space="preserve"> </w:t>
      </w:r>
      <w:r>
        <w:t xml:space="preserve">Important assumptions, boundaries, or controls are weak enough that implementation would create significant rework or risk.</w:t>
      </w:r>
    </w:p>
    <w:p>
      <w:pPr>
        <w:pStyle w:val="BodyText"/>
      </w:pPr>
      <w:r>
        <w:rPr>
          <w:bCs/>
          <w:b/>
        </w:rPr>
        <w:t xml:space="preserve">RED — Stop and Reframe.</w:t>
      </w:r>
      <w:r>
        <w:t xml:space="preserve"> </w:t>
      </w:r>
      <w:r>
        <w:t xml:space="preserve">The product scope, architecture, data model, security model, accreditation path, or operational assumptions are too incomplete or contradictory to justify continued implementation.</w:t>
      </w:r>
    </w:p>
    <w:p>
      <w:pPr>
        <w:pStyle w:val="BodyText"/>
      </w:pPr>
      <w:r>
        <w:t xml:space="preserve">The verdict must include: evidence; confidence level; conditions; required next decisions; recommended immediate action.</w:t>
      </w:r>
    </w:p>
    <w:p>
      <w:pPr>
        <w:pStyle w:val="BodyText"/>
      </w:pPr>
      <w:r>
        <w:t xml:space="preserve">A verdict may not be more favorable than the worst rating among: tenant isolation, official-record integrity, air-gap readiness (if enclave deployment is committed), MOSA conformance (if recompetition rights are contractual), and accreditation path (if defense deployment is committed).</w:t>
      </w:r>
    </w:p>
    <w:p>
      <w:r>
        <w:pict>
          <v:rect style="width:0;height:1.5pt" o:hralign="center" o:hrstd="t" o:hr="t"/>
        </w:pict>
      </w:r>
    </w:p>
    <w:p>
      <w:pPr>
        <w:pStyle w:val="FirstParagraph"/>
      </w:pPr>
      <w:r>
        <w:rPr>
          <w:iCs/>
          <w:i/>
        </w:rPr>
        <w:t xml:space="preserve">This prompt can be used as the controlling instruction for an architecture-review AI, engineering workshop, external technical audit, or formal design-review process. When used with an AI reviewer, execute Section 0’s loop discipline literally: loops in order, registers carried forward, one consolidation pass, one self-critique gate, then the report in Section 9’s structure.</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EdVidura Master Loop Engineering Prompt v3.1</dc:title>
  <dc:creator/>
  <cp:keywords/>
  <dcterms:created xsi:type="dcterms:W3CDTF">2026-07-27T05:02:22Z</dcterms:created>
  <dcterms:modified xsi:type="dcterms:W3CDTF">2026-07-27T05:02:22Z</dcterms:modified>
</cp:coreProperties>
</file>

<file path=docProps/custom.xml><?xml version="1.0" encoding="utf-8"?>
<Properties xmlns="http://schemas.openxmlformats.org/officeDocument/2006/custom-properties" xmlns:vt="http://schemas.openxmlformats.org/officeDocument/2006/docPropsVTypes"/>
</file>