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EdVidura Master Checklist ��� Audit, Gap Explanation and Remediation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X6477abed37fa6d2f40d75f16438a96a1f2b60d6"/>
    <w:p>
      <w:pPr>
        <w:pStyle w:val="Heading1"/>
      </w:pPr>
      <w:r>
        <w:t xml:space="preserve">EdVidura Master Checklist — Audit, Gap Explanation and Remediation Report</w:t>
      </w:r>
    </w:p>
    <w:p>
      <w:pPr>
        <w:pStyle w:val="FirstParagraph"/>
      </w:pPr>
      <w:r>
        <w:rPr>
          <w:bCs/>
          <w:b/>
        </w:rPr>
        <w:t xml:space="preserve">Subject:</w:t>
      </w:r>
      <w:r>
        <w:t xml:space="preserve"> </w:t>
      </w:r>
      <w:r>
        <w:rPr>
          <w:rStyle w:val="VerbatimChar"/>
        </w:rPr>
        <w:t xml:space="preserve">EdVidura_Master_Checklist_v2.xlsx</w:t>
      </w:r>
      <w:r>
        <w:t xml:space="preserve"> </w:t>
      </w:r>
      <w:r>
        <w:t xml:space="preserve">(1,830 items, 11 sheets)</w:t>
      </w:r>
      <w:r>
        <w:t xml:space="preserve"> </w:t>
      </w:r>
      <w:r>
        <w:rPr>
          <w:bCs/>
          <w:b/>
        </w:rPr>
        <w:t xml:space="preserve">Deliverable:</w:t>
      </w:r>
      <w:r>
        <w:t xml:space="preserve"> </w:t>
      </w:r>
      <w:r>
        <w:rPr>
          <w:rStyle w:val="VerbatimChar"/>
        </w:rPr>
        <w:t xml:space="preserve">EdVidura_Master_Checklist_v3.xlsx</w:t>
      </w:r>
      <w:r>
        <w:t xml:space="preserve"> </w:t>
      </w:r>
      <w:r>
        <w:t xml:space="preserve">(2,120 items, 18 sheets) — remediated</w:t>
      </w:r>
      <w:r>
        <w:t xml:space="preserve"> </w:t>
      </w:r>
      <w:r>
        <w:rPr>
          <w:bCs/>
          <w:b/>
        </w:rPr>
        <w:t xml:space="preserve">Method:</w:t>
      </w:r>
      <w:r>
        <w:t xml:space="preserve"> </w:t>
      </w:r>
      <w:r>
        <w:t xml:space="preserve">EdVidura Master Checklist Audit &amp; Remediation Prompt v1, Loops 1–12 executed in order, four registers carried forward, one consolidation pass, one verification gate.</w:t>
      </w:r>
      <w:r>
        <w:t xml:space="preserve"> </w:t>
      </w:r>
      <w:r>
        <w:rPr>
          <w:bCs/>
          <w:b/>
        </w:rPr>
        <w:t xml:space="preserve">Date:</w:t>
      </w:r>
      <w:r>
        <w:t xml:space="preserve"> </w:t>
      </w:r>
      <w:r>
        <w:t xml:space="preserve">28 July 2026</w:t>
      </w:r>
    </w:p>
    <w:p>
      <w:r>
        <w:pict>
          <v:rect style="width:0;height:1.5pt" o:hralign="center" o:hrstd="t" o:hr="t"/>
        </w:pict>
      </w:r>
    </w:p>
    <w:bookmarkEnd w:id="20"/>
    <w:bookmarkStart w:id="21" w:name="a.-executive-verdict"/>
    <w:p>
      <w:pPr>
        <w:pStyle w:val="Heading1"/>
      </w:pPr>
      <w:r>
        <w:t xml:space="preserve">A. Executive Verdict</w:t>
      </w:r>
    </w:p>
    <w:p>
      <w:pPr>
        <w:pStyle w:val="FirstParagraph"/>
      </w:pPr>
      <w:r>
        <w:rPr>
          <w:bCs/>
          <w:b/>
        </w:rPr>
        <w:t xml:space="preserve">Fitness of the workbook as received: NOT YET A DELIVERY SYSTEM.</w:t>
      </w:r>
      <w:r>
        <w:t xml:space="preserve"> </w:t>
      </w:r>
      <w:r>
        <w:t xml:space="preserve">v2 was an excellent</w:t>
      </w:r>
      <w:r>
        <w:t xml:space="preserve"> </w:t>
      </w:r>
      <w:r>
        <w:rPr>
          <w:iCs/>
          <w:i/>
        </w:rPr>
        <w:t xml:space="preserve">specification</w:t>
      </w:r>
      <w:r>
        <w:t xml:space="preserve"> </w:t>
      </w:r>
      <w:r>
        <w:t xml:space="preserve">of work — traceable, testable, complete against its sources — and a non-functional</w:t>
      </w:r>
      <w:r>
        <w:t xml:space="preserve"> </w:t>
      </w:r>
      <w:r>
        <w:rPr>
          <w:iCs/>
          <w:i/>
        </w:rPr>
        <w:t xml:space="preserve">delivery instrument</w:t>
      </w:r>
      <w:r>
        <w:t xml:space="preserve">. It could tell you what must be built and how it would be proven; it could not tell you who was doing it, by when, at what cost, in which environment, or what happened when a test failed. Six of the ten hard-stop conditions in the audit prompt were triggered.</w:t>
      </w:r>
    </w:p>
    <w:p>
      <w:pPr>
        <w:pStyle w:val="BodyText"/>
      </w:pPr>
      <w:r>
        <w:rPr>
          <w:bCs/>
          <w:b/>
        </w:rPr>
        <w:t xml:space="preserve">Fitness of v3: USABLE WITH CONDITIONS.</w:t>
      </w:r>
      <w:r>
        <w:t xml:space="preserve"> </w:t>
      </w:r>
      <w:r>
        <w:t xml:space="preserve">Every structural defect is repaired and every missing machine part is installed, but the workbook now waits on human input it cannot honestly invent — names, dates, estimates, budgets, and six decisions. Nothing in v3 fabricates those; each one is a registered blank with a stated consequence.</w:t>
      </w:r>
    </w:p>
    <w:p>
      <w:pPr>
        <w:pStyle w:val="BodyText"/>
      </w:pPr>
      <w:r>
        <w:rPr>
          <w:bCs/>
          <w:b/>
        </w:rPr>
        <w:t xml:space="preserve">The five most consequential gaps found</w:t>
      </w:r>
    </w:p>
    <w:p>
      <w:pPr>
        <w:pStyle w:val="BodyText"/>
      </w:pPr>
      <w:r>
        <w:t xml:space="preserve">The workbook had</w:t>
      </w:r>
      <w:r>
        <w:t xml:space="preserve"> </w:t>
      </w:r>
      <w:r>
        <w:rPr>
          <w:bCs/>
          <w:b/>
        </w:rPr>
        <w:t xml:space="preserve">no owner on any item</w:t>
      </w:r>
      <w:r>
        <w:t xml:space="preserve"> </w:t>
      </w:r>
      <w:r>
        <w:t xml:space="preserve">— Assignee, EstDays and TargetSprint were 100% blank across all 1,830 rows, so the file could describe work but not assign it. It had</w:t>
      </w:r>
      <w:r>
        <w:t xml:space="preserve"> </w:t>
      </w:r>
      <w:r>
        <w:rPr>
          <w:bCs/>
          <w:b/>
        </w:rPr>
        <w:t xml:space="preserve">no defect loop</w:t>
      </w:r>
      <w:r>
        <w:t xml:space="preserve">, meaning a failed accessibility test on the eBook reader had nowhere to be recorded and no path back to the item needing rework. It had</w:t>
      </w:r>
      <w:r>
        <w:t xml:space="preserve"> </w:t>
      </w:r>
      <w:r>
        <w:rPr>
          <w:bCs/>
          <w:b/>
        </w:rPr>
        <w:t xml:space="preserve">no environment register</w:t>
      </w:r>
      <w:r>
        <w:t xml:space="preserve">, leaving 102 enclave-class items unschedulable because the zero-egress simulator they depend on has no owner, no funding and no date. It had</w:t>
      </w:r>
      <w:r>
        <w:t xml:space="preserve"> </w:t>
      </w:r>
      <w:r>
        <w:rPr>
          <w:bCs/>
          <w:b/>
        </w:rPr>
        <w:t xml:space="preserve">no procurement register</w:t>
      </w:r>
      <w:r>
        <w:t xml:space="preserve">, while GPU appliances and XR fleets with multi-month lead times sit on the Stage 3 critical path. And it was</w:t>
      </w:r>
      <w:r>
        <w:t xml:space="preserve"> </w:t>
      </w:r>
      <w:r>
        <w:rPr>
          <w:bCs/>
          <w:b/>
        </w:rPr>
        <w:t xml:space="preserve">written for the wrong country</w:t>
      </w:r>
      <w:r>
        <w:t xml:space="preserve"> </w:t>
      </w:r>
      <w:r>
        <w:t xml:space="preserve">— two deliverables named US Air Force installations, a third named a US command, and there was not a single occurrence of NSQF, NCVET, DPDP as an obligation, INR, customs or humidity anywhere in 1,830 rows.</w:t>
      </w:r>
    </w:p>
    <w:p>
      <w:pPr>
        <w:pStyle w:val="BodyText"/>
      </w:pPr>
      <w:r>
        <w:rPr>
          <w:bCs/>
          <w:b/>
        </w:rPr>
        <w:t xml:space="preserve">What changed, in numbers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v2</w:t>
            </w:r>
          </w:p>
        </w:tc>
        <w:tc>
          <w:tcPr/>
          <w:p>
            <w:pPr>
              <w:pStyle w:val="Compact"/>
              <w:jc w:val="left"/>
            </w:pPr>
            <w:r>
              <w:t xml:space="preserve">v3</w:t>
            </w:r>
          </w:p>
        </w:tc>
      </w:tr>
      <w:tr>
        <w:tc>
          <w:tcPr/>
          <w:p>
            <w:pPr>
              <w:pStyle w:val="Compact"/>
              <w:jc w:val="left"/>
            </w:pPr>
            <w:r>
              <w:t xml:space="preserve">Checklist items</w:t>
            </w:r>
          </w:p>
        </w:tc>
        <w:tc>
          <w:tcPr/>
          <w:p>
            <w:pPr>
              <w:pStyle w:val="Compact"/>
              <w:jc w:val="left"/>
            </w:pPr>
            <w:r>
              <w:t xml:space="preserve">1,830</w:t>
            </w:r>
          </w:p>
        </w:tc>
        <w:tc>
          <w:tcPr/>
          <w:p>
            <w:pPr>
              <w:pStyle w:val="Compact"/>
              <w:jc w:val="left"/>
            </w:pPr>
            <w:r>
              <w:t xml:space="preserve">2,120 (+290)</w:t>
            </w:r>
          </w:p>
        </w:tc>
      </w:tr>
      <w:tr>
        <w:tc>
          <w:tcPr/>
          <w:p>
            <w:pPr>
              <w:pStyle w:val="Compact"/>
              <w:jc w:val="left"/>
            </w:pPr>
            <w:r>
              <w:t xml:space="preserve">Products</w:t>
            </w:r>
          </w:p>
        </w:tc>
        <w:tc>
          <w:tcPr/>
          <w:p>
            <w:pPr>
              <w:pStyle w:val="Compact"/>
              <w:jc w:val="left"/>
            </w:pPr>
            <w:r>
              <w:t xml:space="preserve">37</w:t>
            </w:r>
          </w:p>
        </w:tc>
        <w:tc>
          <w:tcPr/>
          <w:p>
            <w:pPr>
              <w:pStyle w:val="Compact"/>
              <w:jc w:val="left"/>
            </w:pPr>
            <w:r>
              <w:t xml:space="preserve">43 (+6 enabling)</w:t>
            </w:r>
          </w:p>
        </w:tc>
      </w:tr>
      <w:tr>
        <w:tc>
          <w:tcPr/>
          <w:p>
            <w:pPr>
              <w:pStyle w:val="Compact"/>
              <w:jc w:val="left"/>
            </w:pPr>
            <w:r>
              <w:t xml:space="preserve">Sheets</w:t>
            </w:r>
          </w:p>
        </w:tc>
        <w:tc>
          <w:tcPr/>
          <w:p>
            <w:pPr>
              <w:pStyle w:val="Compact"/>
              <w:jc w:val="left"/>
            </w:pPr>
            <w:r>
              <w:t xml:space="preserve">11</w:t>
            </w:r>
          </w:p>
        </w:tc>
        <w:tc>
          <w:tcPr/>
          <w:p>
            <w:pPr>
              <w:pStyle w:val="Compact"/>
              <w:jc w:val="left"/>
            </w:pPr>
            <w:r>
              <w:t xml:space="preserve">18 (+7 net; 11 new, 4 consolidated)</w:t>
            </w:r>
          </w:p>
        </w:tc>
      </w:tr>
      <w:tr>
        <w:tc>
          <w:tcPr/>
          <w:p>
            <w:pPr>
              <w:pStyle w:val="Compact"/>
              <w:jc w:val="left"/>
            </w:pPr>
            <w:r>
              <w:t xml:space="preserve">Columns per item</w:t>
            </w:r>
          </w:p>
        </w:tc>
        <w:tc>
          <w:tcPr/>
          <w:p>
            <w:pPr>
              <w:pStyle w:val="Compact"/>
              <w:jc w:val="left"/>
            </w:pPr>
            <w:r>
              <w:t xml:space="preserve">22</w:t>
            </w:r>
          </w:p>
        </w:tc>
        <w:tc>
          <w:tcPr/>
          <w:p>
            <w:pPr>
              <w:pStyle w:val="Compact"/>
              <w:jc w:val="left"/>
            </w:pPr>
            <w:r>
              <w:t xml:space="preserve">29</w:t>
            </w:r>
          </w:p>
        </w:tc>
      </w:tr>
      <w:tr>
        <w:tc>
          <w:tcPr/>
          <w:p>
            <w:pPr>
              <w:pStyle w:val="Compact"/>
              <w:jc w:val="left"/>
            </w:pPr>
            <w:r>
              <w:t xml:space="preserve">Validated (dropdown) columns</w:t>
            </w:r>
          </w:p>
        </w:tc>
        <w:tc>
          <w:tcPr/>
          <w:p>
            <w:pPr>
              <w:pStyle w:val="Compact"/>
              <w:jc w:val="left"/>
            </w:pPr>
            <w:r>
              <w:t xml:space="preserve">1</w:t>
            </w:r>
          </w:p>
        </w:tc>
        <w:tc>
          <w:tcPr/>
          <w:p>
            <w:pPr>
              <w:pStyle w:val="Compact"/>
              <w:jc w:val="left"/>
            </w:pPr>
            <w:r>
              <w:t xml:space="preserve">7 + named-range Lists sheet</w:t>
            </w:r>
          </w:p>
        </w:tc>
      </w:tr>
      <w:tr>
        <w:tc>
          <w:tcPr/>
          <w:p>
            <w:pPr>
              <w:pStyle w:val="Compact"/>
              <w:jc w:val="left"/>
            </w:pPr>
            <w:r>
              <w:t xml:space="preserve">Conditional-format rules</w:t>
            </w:r>
          </w:p>
        </w:tc>
        <w:tc>
          <w:tcPr/>
          <w:p>
            <w:pPr>
              <w:pStyle w:val="Compact"/>
              <w:jc w:val="left"/>
            </w:pPr>
            <w:r>
              <w:t xml:space="preserve">0</w:t>
            </w:r>
          </w:p>
        </w:tc>
        <w:tc>
          <w:tcPr/>
          <w:p>
            <w:pPr>
              <w:pStyle w:val="Compact"/>
              <w:jc w:val="left"/>
            </w:pPr>
            <w:r>
              <w:t xml:space="preserve">4</w:t>
            </w:r>
          </w:p>
        </w:tc>
      </w:tr>
      <w:tr>
        <w:tc>
          <w:tcPr/>
          <w:p>
            <w:pPr>
              <w:pStyle w:val="Compact"/>
              <w:jc w:val="left"/>
            </w:pPr>
            <w:r>
              <w:t xml:space="preserve">Foreign-installation references</w:t>
            </w:r>
          </w:p>
        </w:tc>
        <w:tc>
          <w:tcPr/>
          <w:p>
            <w:pPr>
              <w:pStyle w:val="Compact"/>
              <w:jc w:val="left"/>
            </w:pPr>
            <w:r>
              <w:t xml:space="preserve">52</w:t>
            </w:r>
          </w:p>
        </w:tc>
        <w:tc>
          <w:tcPr/>
          <w:p>
            <w:pPr>
              <w:pStyle w:val="Compact"/>
              <w:jc w:val="left"/>
            </w:pPr>
            <w:r>
              <w:t xml:space="preserve">0</w:t>
            </w:r>
          </w:p>
        </w:tc>
      </w:tr>
      <w:tr>
        <w:tc>
          <w:tcPr/>
          <w:p>
            <w:pPr>
              <w:pStyle w:val="Compact"/>
              <w:jc w:val="left"/>
            </w:pPr>
            <w:r>
              <w:t xml:space="preserve">India-specific content items</w:t>
            </w:r>
          </w:p>
        </w:tc>
        <w:tc>
          <w:tcPr/>
          <w:p>
            <w:pPr>
              <w:pStyle w:val="Compact"/>
              <w:jc w:val="left"/>
            </w:pPr>
            <w:r>
              <w:t xml:space="preserve">0</w:t>
            </w:r>
          </w:p>
        </w:tc>
        <w:tc>
          <w:tcPr/>
          <w:p>
            <w:pPr>
              <w:pStyle w:val="Compact"/>
              <w:jc w:val="left"/>
            </w:pPr>
            <w:r>
              <w:t xml:space="preserve">150</w:t>
            </w:r>
          </w:p>
        </w:tc>
      </w:tr>
      <w:tr>
        <w:tc>
          <w:tcPr/>
          <w:p>
            <w:pPr>
              <w:pStyle w:val="Compact"/>
              <w:jc w:val="left"/>
            </w:pPr>
            <w:r>
              <w:t xml:space="preserve">Previously unplanned scope</w:t>
            </w:r>
          </w:p>
        </w:tc>
        <w:tc>
          <w:tcPr/>
          <w:p>
            <w:pPr>
              <w:pStyle w:val="Compact"/>
              <w:jc w:val="left"/>
            </w:pPr>
            <w:r>
              <w:t xml:space="preserve">—</w:t>
            </w:r>
          </w:p>
        </w:tc>
        <w:tc>
          <w:tcPr/>
          <w:p>
            <w:pPr>
              <w:pStyle w:val="Compact"/>
              <w:jc w:val="left"/>
            </w:pPr>
            <w:r>
              <w:t xml:space="preserve">140 items across 6 new products</w:t>
            </w:r>
          </w:p>
        </w:tc>
      </w:tr>
      <w:tr>
        <w:tc>
          <w:tcPr/>
          <w:p>
            <w:pPr>
              <w:pStyle w:val="Compact"/>
              <w:jc w:val="left"/>
            </w:pPr>
            <w:r>
              <w:t xml:space="preserve">Formula errors</w:t>
            </w:r>
          </w:p>
        </w:tc>
        <w:tc>
          <w:tcPr/>
          <w:p>
            <w:pPr>
              <w:pStyle w:val="Compact"/>
              <w:jc w:val="left"/>
            </w:pPr>
            <w:r>
              <w:t xml:space="preserve">0</w:t>
            </w:r>
          </w:p>
        </w:tc>
        <w:tc>
          <w:tcPr/>
          <w:p>
            <w:pPr>
              <w:pStyle w:val="Compact"/>
              <w:jc w:val="left"/>
            </w:pPr>
            <w:r>
              <w:t xml:space="preserve">0 (417 formulas)</w:t>
            </w:r>
          </w:p>
        </w:tc>
      </w:tr>
      <w:tr>
        <w:tc>
          <w:tcPr/>
          <w:p>
            <w:pPr>
              <w:pStyle w:val="Compact"/>
              <w:jc w:val="left"/>
            </w:pPr>
            <w:r>
              <w:t xml:space="preserve">v2 IDs renumbered or deleted</w:t>
            </w:r>
          </w:p>
        </w:tc>
        <w:tc>
          <w:tcPr/>
          <w:p>
            <w:pPr>
              <w:pStyle w:val="Compact"/>
              <w:jc w:val="left"/>
            </w:pPr>
            <w:r>
              <w:t xml:space="preserve">—</w:t>
            </w:r>
          </w:p>
        </w:tc>
        <w:tc>
          <w:tcPr/>
          <w:p>
            <w:pPr>
              <w:pStyle w:val="Compact"/>
              <w:jc w:val="left"/>
            </w:pPr>
            <w:r>
              <w:t xml:space="preserve">0</w:t>
            </w:r>
          </w:p>
        </w:tc>
      </w:tr>
    </w:tbl>
    <w:p>
      <w:pPr>
        <w:pStyle w:val="BodyText"/>
      </w:pPr>
      <w:r>
        <w:rPr>
          <w:bCs/>
          <w:b/>
        </w:rPr>
        <w:t xml:space="preserve">Recommendation: PROCEED — with five actions this week.</w:t>
      </w:r>
      <w:r>
        <w:t xml:space="preserve"> </w:t>
      </w:r>
      <w:r>
        <w:t xml:space="preserve">Name the nine squad and test-team leads and the 43 product owners; set Assignee on the 292 Stage 0 items; create the sprint calendar with real dates; name an owner and a funding decision for the enclave simulator; and put lead times against the five long-lead procurement lines. Those five unlock everything else in the file.</w:t>
      </w:r>
    </w:p>
    <w:p>
      <w:r>
        <w:pict>
          <v:rect style="width:0;height:1.5pt" o:hralign="center" o:hrstd="t" o:hr="t"/>
        </w:pict>
      </w:r>
    </w:p>
    <w:bookmarkEnd w:id="21"/>
    <w:bookmarkStart w:id="22" w:name="b.-baseline-inventory-loop-1"/>
    <w:p>
      <w:pPr>
        <w:pStyle w:val="Heading1"/>
      </w:pPr>
      <w:r>
        <w:t xml:space="preserve">B. Baseline Inventory (Loop 1)</w:t>
      </w:r>
    </w:p>
    <w:p>
      <w:pPr>
        <w:pStyle w:val="FirstParagraph"/>
      </w:pPr>
      <w:r>
        <w:t xml:space="preserve">The v2 workbook contained 1,830 items — 1,505 build and 325 test — across 14 categories, 37 products, 8 squads plus a QA guild, 9 test teams and 6 build stages, with 1,326 formulas and zero formula errors. Structure was sound: freeze panes, autofilters and live COUNTIF/SUMIF rollups were present throughout, and the coverage arithmetic reconciled — all 30 client deliverables, all 44 modules, all 16 stress scenarios and all 16 architecture-review modifications were represented. Stage distribution was 276 / 471 / 441 / 453 / 141 / 48 across Stages 0–5. Deployment classes were tagged (1,662 All, 96 Enclave, 64 On-prem, 8 Cloud).</w:t>
      </w:r>
    </w:p>
    <w:p>
      <w:pPr>
        <w:pStyle w:val="BodyText"/>
      </w:pPr>
      <w:r>
        <w:t xml:space="preserve">What the baseline also established is that the workbook’s</w:t>
      </w:r>
      <w:r>
        <w:t xml:space="preserve"> </w:t>
      </w:r>
      <w:r>
        <w:rPr>
          <w:iCs/>
          <w:i/>
        </w:rPr>
        <w:t xml:space="preserve">content</w:t>
      </w:r>
      <w:r>
        <w:t xml:space="preserve"> </w:t>
      </w:r>
      <w:r>
        <w:t xml:space="preserve">was in good order while its</w:t>
      </w:r>
      <w:r>
        <w:t xml:space="preserve"> </w:t>
      </w:r>
      <w:r>
        <w:rPr>
          <w:iCs/>
          <w:i/>
        </w:rPr>
        <w:t xml:space="preserve">controls</w:t>
      </w:r>
      <w:r>
        <w:t xml:space="preserve"> </w:t>
      </w:r>
      <w:r>
        <w:t xml:space="preserve">were not: exactly one column (Status) carried data validation, there was no conditional formatting, no cell protection, no named ranges, and three of the twenty-two columns existed but were entirely empty.</w:t>
      </w:r>
    </w:p>
    <w:p>
      <w:r>
        <w:pict>
          <v:rect style="width:0;height:1.5pt" o:hralign="center" o:hrstd="t" o:hr="t"/>
        </w:pict>
      </w:r>
    </w:p>
    <w:bookmarkEnd w:id="22"/>
    <w:bookmarkStart w:id="23" w:name="c.-finding-register-loops-18"/>
    <w:p>
      <w:pPr>
        <w:pStyle w:val="Heading1"/>
      </w:pPr>
      <w:r>
        <w:t xml:space="preserve">C. Finding Register (Loops 1–8)</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Finding</w:t>
            </w:r>
          </w:p>
        </w:tc>
        <w:tc>
          <w:tcPr/>
          <w:p>
            <w:pPr>
              <w:pStyle w:val="Compact"/>
              <w:jc w:val="left"/>
            </w:pPr>
            <w:r>
              <w:t xml:space="preserve">Evidence</w:t>
            </w:r>
          </w:p>
        </w:tc>
        <w:tc>
          <w:tcPr/>
          <w:p>
            <w:pPr>
              <w:pStyle w:val="Compact"/>
              <w:jc w:val="left"/>
            </w:pPr>
            <w:r>
              <w:t xml:space="preserve">Sev</w:t>
            </w:r>
          </w:p>
        </w:tc>
        <w:tc>
          <w:tcPr/>
          <w:p>
            <w:pPr>
              <w:pStyle w:val="Compact"/>
              <w:jc w:val="left"/>
            </w:pPr>
            <w:r>
              <w:t xml:space="preserve">Blocked management question</w:t>
            </w:r>
          </w:p>
        </w:tc>
        <w:tc>
          <w:tcPr/>
          <w:p>
            <w:pPr>
              <w:pStyle w:val="Compact"/>
              <w:jc w:val="left"/>
            </w:pPr>
            <w:r>
              <w:t xml:space="preserve">Fix</w:t>
            </w:r>
          </w:p>
        </w:tc>
      </w:tr>
      <w:tr>
        <w:tc>
          <w:tcPr/>
          <w:p>
            <w:pPr>
              <w:pStyle w:val="Compact"/>
              <w:jc w:val="left"/>
            </w:pPr>
            <w:r>
              <w:t xml:space="preserve">F-01</w:t>
            </w:r>
          </w:p>
        </w:tc>
        <w:tc>
          <w:tcPr/>
          <w:p>
            <w:pPr>
              <w:pStyle w:val="Compact"/>
              <w:jc w:val="left"/>
            </w:pPr>
            <w:r>
              <w:t xml:space="preserve">Assignee, EstDays and TargetSprint 100% blank</w:t>
            </w:r>
          </w:p>
        </w:tc>
        <w:tc>
          <w:tcPr/>
          <w:p>
            <w:pPr>
              <w:pStyle w:val="Compact"/>
              <w:jc w:val="left"/>
            </w:pPr>
            <w:r>
              <w:t xml:space="preserve">1,830/1,830 rows</w:t>
            </w:r>
            <w:r>
              <w:t xml:space="preserve"> </w:t>
            </w:r>
            <w:r>
              <w:rPr>
                <w:rStyle w:val="VerbatimChar"/>
              </w:rPr>
              <w:t xml:space="preserve">[VERIFIED]</w:t>
            </w:r>
          </w:p>
        </w:tc>
        <w:tc>
          <w:tcPr/>
          <w:p>
            <w:pPr>
              <w:pStyle w:val="Compact"/>
              <w:jc w:val="left"/>
            </w:pPr>
            <w:r>
              <w:t xml:space="preserve">P0</w:t>
            </w:r>
          </w:p>
        </w:tc>
        <w:tc>
          <w:tcPr/>
          <w:p>
            <w:pPr>
              <w:pStyle w:val="Compact"/>
              <w:jc w:val="left"/>
            </w:pPr>
            <w:r>
              <w:t xml:space="preserve">“</w:t>
            </w:r>
            <w:r>
              <w:t xml:space="preserve">Who is doing this, and when?</w:t>
            </w:r>
            <w:r>
              <w:t xml:space="preserve">”</w:t>
            </w:r>
          </w:p>
        </w:tc>
        <w:tc>
          <w:tcPr/>
          <w:p>
            <w:pPr>
              <w:pStyle w:val="Compact"/>
              <w:jc w:val="left"/>
            </w:pPr>
            <w:r>
              <w:t xml:space="preserve">FIX-01/02/03</w:t>
            </w:r>
          </w:p>
        </w:tc>
      </w:tr>
      <w:tr>
        <w:tc>
          <w:tcPr/>
          <w:p>
            <w:pPr>
              <w:pStyle w:val="Compact"/>
              <w:jc w:val="left"/>
            </w:pPr>
            <w:r>
              <w:t xml:space="preserve">F-02</w:t>
            </w:r>
          </w:p>
        </w:tc>
        <w:tc>
          <w:tcPr/>
          <w:p>
            <w:pPr>
              <w:pStyle w:val="Compact"/>
              <w:jc w:val="left"/>
            </w:pPr>
            <w:r>
              <w:t xml:space="preserve">No sprint calendar — TargetSprint cannot resolve to a date</w:t>
            </w:r>
          </w:p>
        </w:tc>
        <w:tc>
          <w:tcPr/>
          <w:p>
            <w:pPr>
              <w:pStyle w:val="Compact"/>
              <w:jc w:val="left"/>
            </w:pPr>
            <w:r>
              <w:t xml:space="preserve">sheet absent</w:t>
            </w:r>
            <w:r>
              <w:t xml:space="preserve"> </w:t>
            </w:r>
            <w:r>
              <w:rPr>
                <w:rStyle w:val="VerbatimChar"/>
              </w:rPr>
              <w:t xml:space="preserve">[VERIFIED]</w:t>
            </w:r>
          </w:p>
        </w:tc>
        <w:tc>
          <w:tcPr/>
          <w:p>
            <w:pPr>
              <w:pStyle w:val="Compact"/>
              <w:jc w:val="left"/>
            </w:pPr>
            <w:r>
              <w:t xml:space="preserve">P0</w:t>
            </w:r>
          </w:p>
        </w:tc>
        <w:tc>
          <w:tcPr/>
          <w:p>
            <w:pPr>
              <w:pStyle w:val="Compact"/>
              <w:jc w:val="left"/>
            </w:pPr>
            <w:r>
              <w:t xml:space="preserve">“</w:t>
            </w:r>
            <w:r>
              <w:t xml:space="preserve">What is the date-based plan?</w:t>
            </w:r>
            <w:r>
              <w:t xml:space="preserve">”</w:t>
            </w:r>
          </w:p>
        </w:tc>
        <w:tc>
          <w:tcPr/>
          <w:p>
            <w:pPr>
              <w:pStyle w:val="Compact"/>
              <w:jc w:val="left"/>
            </w:pPr>
            <w:r>
              <w:t xml:space="preserve">FIX-01</w:t>
            </w:r>
          </w:p>
        </w:tc>
      </w:tr>
      <w:tr>
        <w:tc>
          <w:tcPr/>
          <w:p>
            <w:pPr>
              <w:pStyle w:val="Compact"/>
              <w:jc w:val="left"/>
            </w:pPr>
            <w:r>
              <w:t xml:space="preserve">F-03</w:t>
            </w:r>
          </w:p>
        </w:tc>
        <w:tc>
          <w:tcPr/>
          <w:p>
            <w:pPr>
              <w:pStyle w:val="Compact"/>
              <w:jc w:val="left"/>
            </w:pPr>
            <w:r>
              <w:t xml:space="preserve">No capacity model</w:t>
            </w:r>
          </w:p>
        </w:tc>
        <w:tc>
          <w:tcPr/>
          <w:p>
            <w:pPr>
              <w:pStyle w:val="Compact"/>
              <w:jc w:val="left"/>
            </w:pPr>
            <w:r>
              <w:t xml:space="preserve">sheet absent</w:t>
            </w:r>
            <w:r>
              <w:t xml:space="preserve"> </w:t>
            </w:r>
            <w:r>
              <w:rPr>
                <w:rStyle w:val="VerbatimChar"/>
              </w:rPr>
              <w:t xml:space="preserve">[VERIFIED]</w:t>
            </w:r>
          </w:p>
        </w:tc>
        <w:tc>
          <w:tcPr/>
          <w:p>
            <w:pPr>
              <w:pStyle w:val="Compact"/>
              <w:jc w:val="left"/>
            </w:pPr>
            <w:r>
              <w:t xml:space="preserve">P0</w:t>
            </w:r>
          </w:p>
        </w:tc>
        <w:tc>
          <w:tcPr/>
          <w:p>
            <w:pPr>
              <w:pStyle w:val="Compact"/>
              <w:jc w:val="left"/>
            </w:pPr>
            <w:r>
              <w:t xml:space="preserve">“</w:t>
            </w:r>
            <w:r>
              <w:t xml:space="preserve">Is anyone over-allocated?</w:t>
            </w:r>
            <w:r>
              <w:t xml:space="preserve">”</w:t>
            </w:r>
          </w:p>
        </w:tc>
        <w:tc>
          <w:tcPr/>
          <w:p>
            <w:pPr>
              <w:pStyle w:val="Compact"/>
              <w:jc w:val="left"/>
            </w:pPr>
            <w:r>
              <w:t xml:space="preserve">FIX-02</w:t>
            </w:r>
          </w:p>
        </w:tc>
      </w:tr>
      <w:tr>
        <w:tc>
          <w:tcPr/>
          <w:p>
            <w:pPr>
              <w:pStyle w:val="Compact"/>
              <w:jc w:val="left"/>
            </w:pPr>
            <w:r>
              <w:t xml:space="preserve">F-04</w:t>
            </w:r>
          </w:p>
        </w:tc>
        <w:tc>
          <w:tcPr/>
          <w:p>
            <w:pPr>
              <w:pStyle w:val="Compact"/>
              <w:jc w:val="left"/>
            </w:pPr>
            <w:r>
              <w:t xml:space="preserve">No defect log — failed tests have nowhere to go</w:t>
            </w:r>
          </w:p>
        </w:tc>
        <w:tc>
          <w:tcPr/>
          <w:p>
            <w:pPr>
              <w:pStyle w:val="Compact"/>
              <w:jc w:val="left"/>
            </w:pPr>
            <w:r>
              <w:t xml:space="preserve">sheet absent; 325 test items</w:t>
            </w:r>
            <w:r>
              <w:t xml:space="preserve"> </w:t>
            </w:r>
            <w:r>
              <w:rPr>
                <w:rStyle w:val="VerbatimChar"/>
              </w:rPr>
              <w:t xml:space="preserve">[VERIFIED]</w:t>
            </w:r>
          </w:p>
        </w:tc>
        <w:tc>
          <w:tcPr/>
          <w:p>
            <w:pPr>
              <w:pStyle w:val="Compact"/>
              <w:jc w:val="left"/>
            </w:pPr>
            <w:r>
              <w:t xml:space="preserve">P0</w:t>
            </w:r>
          </w:p>
        </w:tc>
        <w:tc>
          <w:tcPr/>
          <w:p>
            <w:pPr>
              <w:pStyle w:val="Compact"/>
              <w:jc w:val="left"/>
            </w:pPr>
            <w:r>
              <w:t xml:space="preserve">“</w:t>
            </w:r>
            <w:r>
              <w:t xml:space="preserve">What broke, and who is fixing it?</w:t>
            </w:r>
            <w:r>
              <w:t xml:space="preserve">”</w:t>
            </w:r>
          </w:p>
        </w:tc>
        <w:tc>
          <w:tcPr/>
          <w:p>
            <w:pPr>
              <w:pStyle w:val="Compact"/>
              <w:jc w:val="left"/>
            </w:pPr>
            <w:r>
              <w:t xml:space="preserve">FIX-04</w:t>
            </w:r>
          </w:p>
        </w:tc>
      </w:tr>
      <w:tr>
        <w:tc>
          <w:tcPr/>
          <w:p>
            <w:pPr>
              <w:pStyle w:val="Compact"/>
              <w:jc w:val="left"/>
            </w:pPr>
            <w:r>
              <w:t xml:space="preserve">F-05</w:t>
            </w:r>
          </w:p>
        </w:tc>
        <w:tc>
          <w:tcPr/>
          <w:p>
            <w:pPr>
              <w:pStyle w:val="Compact"/>
              <w:jc w:val="left"/>
            </w:pPr>
            <w:r>
              <w:t xml:space="preserve">No environment register; 102 enclave-class items depend on a simulator with no owner</w:t>
            </w:r>
          </w:p>
        </w:tc>
        <w:tc>
          <w:tcPr/>
          <w:p>
            <w:pPr>
              <w:pStyle w:val="Compact"/>
              <w:jc w:val="left"/>
            </w:pPr>
            <w:r>
              <w:t xml:space="preserve">count from DeploymentClass</w:t>
            </w:r>
            <w:r>
              <w:t xml:space="preserve"> </w:t>
            </w:r>
            <w:r>
              <w:rPr>
                <w:rStyle w:val="VerbatimChar"/>
              </w:rPr>
              <w:t xml:space="preserve">[VERIFIED]</w:t>
            </w:r>
          </w:p>
        </w:tc>
        <w:tc>
          <w:tcPr/>
          <w:p>
            <w:pPr>
              <w:pStyle w:val="Compact"/>
              <w:jc w:val="left"/>
            </w:pPr>
            <w:r>
              <w:t xml:space="preserve">P0</w:t>
            </w:r>
          </w:p>
        </w:tc>
        <w:tc>
          <w:tcPr/>
          <w:p>
            <w:pPr>
              <w:pStyle w:val="Compact"/>
              <w:jc w:val="left"/>
            </w:pPr>
            <w:r>
              <w:t xml:space="preserve">“</w:t>
            </w:r>
            <w:r>
              <w:t xml:space="preserve">Where does this get tested?</w:t>
            </w:r>
            <w:r>
              <w:t xml:space="preserve">”</w:t>
            </w:r>
          </w:p>
        </w:tc>
        <w:tc>
          <w:tcPr/>
          <w:p>
            <w:pPr>
              <w:pStyle w:val="Compact"/>
              <w:jc w:val="left"/>
            </w:pPr>
            <w:r>
              <w:t xml:space="preserve">FIX-05</w:t>
            </w:r>
          </w:p>
        </w:tc>
      </w:tr>
      <w:tr>
        <w:tc>
          <w:tcPr/>
          <w:p>
            <w:pPr>
              <w:pStyle w:val="Compact"/>
              <w:jc w:val="left"/>
            </w:pPr>
            <w:r>
              <w:t xml:space="preserve">F-06</w:t>
            </w:r>
          </w:p>
        </w:tc>
        <w:tc>
          <w:tcPr/>
          <w:p>
            <w:pPr>
              <w:pStyle w:val="Compact"/>
              <w:jc w:val="left"/>
            </w:pPr>
            <w:r>
              <w:t xml:space="preserve">No stage-gate sheet despite a six-stage plan with entry/exit gates</w:t>
            </w:r>
          </w:p>
        </w:tc>
        <w:tc>
          <w:tcPr/>
          <w:p>
            <w:pPr>
              <w:pStyle w:val="Compact"/>
              <w:jc w:val="left"/>
            </w:pPr>
            <w:r>
              <w:t xml:space="preserve">sheet absent</w:t>
            </w:r>
            <w:r>
              <w:t xml:space="preserve"> </w:t>
            </w:r>
            <w:r>
              <w:rPr>
                <w:rStyle w:val="VerbatimChar"/>
              </w:rPr>
              <w:t xml:space="preserve">[DERIVED]</w:t>
            </w:r>
          </w:p>
        </w:tc>
        <w:tc>
          <w:tcPr/>
          <w:p>
            <w:pPr>
              <w:pStyle w:val="Compact"/>
              <w:jc w:val="left"/>
            </w:pPr>
            <w:r>
              <w:t xml:space="preserve">P0</w:t>
            </w:r>
          </w:p>
        </w:tc>
        <w:tc>
          <w:tcPr/>
          <w:p>
            <w:pPr>
              <w:pStyle w:val="Compact"/>
              <w:jc w:val="left"/>
            </w:pPr>
            <w:r>
              <w:t xml:space="preserve">“</w:t>
            </w:r>
            <w:r>
              <w:t xml:space="preserve">Can Stage 1 close?</w:t>
            </w:r>
            <w:r>
              <w:t xml:space="preserve">”</w:t>
            </w:r>
          </w:p>
        </w:tc>
        <w:tc>
          <w:tcPr/>
          <w:p>
            <w:pPr>
              <w:pStyle w:val="Compact"/>
              <w:jc w:val="left"/>
            </w:pPr>
            <w:r>
              <w:t xml:space="preserve">FIX-06</w:t>
            </w:r>
          </w:p>
        </w:tc>
      </w:tr>
      <w:tr>
        <w:tc>
          <w:tcPr/>
          <w:p>
            <w:pPr>
              <w:pStyle w:val="Compact"/>
              <w:jc w:val="left"/>
            </w:pPr>
            <w:r>
              <w:t xml:space="preserve">F-07</w:t>
            </w:r>
          </w:p>
        </w:tc>
        <w:tc>
          <w:tcPr/>
          <w:p>
            <w:pPr>
              <w:pStyle w:val="Compact"/>
              <w:jc w:val="left"/>
            </w:pPr>
            <w:r>
              <w:t xml:space="preserve">No procurement/long-lead register; one item in 1,830 mentions ordering</w:t>
            </w:r>
          </w:p>
        </w:tc>
        <w:tc>
          <w:tcPr/>
          <w:p>
            <w:pPr>
              <w:pStyle w:val="Compact"/>
              <w:jc w:val="left"/>
            </w:pPr>
            <w:r>
              <w:rPr>
                <w:rStyle w:val="VerbatimChar"/>
              </w:rPr>
              <w:t xml:space="preserve">AIA-02.1.07</w:t>
            </w:r>
            <w:r>
              <w:t xml:space="preserve"> </w:t>
            </w:r>
            <w:r>
              <w:t xml:space="preserve">only</w:t>
            </w:r>
            <w:r>
              <w:t xml:space="preserve"> </w:t>
            </w:r>
            <w:r>
              <w:rPr>
                <w:rStyle w:val="VerbatimChar"/>
              </w:rPr>
              <w:t xml:space="preserve">[VERIFIED]</w:t>
            </w:r>
          </w:p>
        </w:tc>
        <w:tc>
          <w:tcPr/>
          <w:p>
            <w:pPr>
              <w:pStyle w:val="Compact"/>
              <w:jc w:val="left"/>
            </w:pPr>
            <w:r>
              <w:t xml:space="preserve">P0</w:t>
            </w:r>
          </w:p>
        </w:tc>
        <w:tc>
          <w:tcPr/>
          <w:p>
            <w:pPr>
              <w:pStyle w:val="Compact"/>
              <w:jc w:val="left"/>
            </w:pPr>
            <w:r>
              <w:t xml:space="preserve">“</w:t>
            </w:r>
            <w:r>
              <w:t xml:space="preserve">When must the GPUs be ordered?</w:t>
            </w:r>
            <w:r>
              <w:t xml:space="preserve">”</w:t>
            </w:r>
          </w:p>
        </w:tc>
        <w:tc>
          <w:tcPr/>
          <w:p>
            <w:pPr>
              <w:pStyle w:val="Compact"/>
              <w:jc w:val="left"/>
            </w:pPr>
            <w:r>
              <w:t xml:space="preserve">FIX-07</w:t>
            </w:r>
          </w:p>
        </w:tc>
      </w:tr>
      <w:tr>
        <w:tc>
          <w:tcPr/>
          <w:p>
            <w:pPr>
              <w:pStyle w:val="Compact"/>
              <w:jc w:val="left"/>
            </w:pPr>
            <w:r>
              <w:t xml:space="preserve">F-08</w:t>
            </w:r>
          </w:p>
        </w:tc>
        <w:tc>
          <w:tcPr/>
          <w:p>
            <w:pPr>
              <w:pStyle w:val="Compact"/>
              <w:jc w:val="left"/>
            </w:pPr>
            <w:r>
              <w:t xml:space="preserve">No change log — scope movement untraceable</w:t>
            </w:r>
          </w:p>
        </w:tc>
        <w:tc>
          <w:tcPr/>
          <w:p>
            <w:pPr>
              <w:pStyle w:val="Compact"/>
              <w:jc w:val="left"/>
            </w:pPr>
            <w:r>
              <w:t xml:space="preserve">sheet absent</w:t>
            </w:r>
            <w:r>
              <w:t xml:space="preserve"> </w:t>
            </w:r>
            <w:r>
              <w:rPr>
                <w:rStyle w:val="VerbatimChar"/>
              </w:rPr>
              <w:t xml:space="preserve">[VERIFIED]</w:t>
            </w:r>
          </w:p>
        </w:tc>
        <w:tc>
          <w:tcPr/>
          <w:p>
            <w:pPr>
              <w:pStyle w:val="Compact"/>
              <w:jc w:val="left"/>
            </w:pPr>
            <w:r>
              <w:t xml:space="preserve">P0</w:t>
            </w:r>
          </w:p>
        </w:tc>
        <w:tc>
          <w:tcPr/>
          <w:p>
            <w:pPr>
              <w:pStyle w:val="Compact"/>
              <w:jc w:val="left"/>
            </w:pPr>
            <w:r>
              <w:t xml:space="preserve">“</w:t>
            </w:r>
            <w:r>
              <w:t xml:space="preserve">What changed since baseline?</w:t>
            </w:r>
            <w:r>
              <w:t xml:space="preserve">”</w:t>
            </w:r>
          </w:p>
        </w:tc>
        <w:tc>
          <w:tcPr/>
          <w:p>
            <w:pPr>
              <w:pStyle w:val="Compact"/>
              <w:jc w:val="left"/>
            </w:pPr>
            <w:r>
              <w:t xml:space="preserve">FIX-08</w:t>
            </w:r>
          </w:p>
        </w:tc>
      </w:tr>
      <w:tr>
        <w:tc>
          <w:tcPr/>
          <w:p>
            <w:pPr>
              <w:pStyle w:val="Compact"/>
              <w:jc w:val="left"/>
            </w:pPr>
            <w:r>
              <w:t xml:space="preserve">F-09</w:t>
            </w:r>
          </w:p>
        </w:tc>
        <w:tc>
          <w:tcPr/>
          <w:p>
            <w:pPr>
              <w:pStyle w:val="Compact"/>
              <w:jc w:val="left"/>
            </w:pPr>
            <w:r>
              <w:t xml:space="preserve">Foreign-installation and foreign-command naming in D20, D21, D03</w:t>
            </w:r>
          </w:p>
        </w:tc>
        <w:tc>
          <w:tcPr/>
          <w:p>
            <w:pPr>
              <w:pStyle w:val="Compact"/>
              <w:jc w:val="left"/>
            </w:pPr>
            <w:r>
              <w:t xml:space="preserve">52 rows</w:t>
            </w:r>
            <w:r>
              <w:t xml:space="preserve"> </w:t>
            </w:r>
            <w:r>
              <w:rPr>
                <w:rStyle w:val="VerbatimChar"/>
              </w:rPr>
              <w:t xml:space="preserve">[VERIFIED]</w:t>
            </w:r>
          </w:p>
        </w:tc>
        <w:tc>
          <w:tcPr/>
          <w:p>
            <w:pPr>
              <w:pStyle w:val="Compact"/>
              <w:jc w:val="left"/>
            </w:pPr>
            <w:r>
              <w:t xml:space="preserve">P0</w:t>
            </w:r>
          </w:p>
        </w:tc>
        <w:tc>
          <w:tcPr/>
          <w:p>
            <w:pPr>
              <w:pStyle w:val="Compact"/>
              <w:jc w:val="left"/>
            </w:pPr>
            <w:r>
              <w:t xml:space="preserve">“</w:t>
            </w:r>
            <w:r>
              <w:t xml:space="preserve">Is this product for our market?</w:t>
            </w:r>
            <w:r>
              <w:t xml:space="preserve">”</w:t>
            </w:r>
          </w:p>
        </w:tc>
        <w:tc>
          <w:tcPr/>
          <w:p>
            <w:pPr>
              <w:pStyle w:val="Compact"/>
              <w:jc w:val="left"/>
            </w:pPr>
            <w:r>
              <w:t xml:space="preserve">FIX-09</w:t>
            </w:r>
          </w:p>
        </w:tc>
      </w:tr>
      <w:tr>
        <w:tc>
          <w:tcPr/>
          <w:p>
            <w:pPr>
              <w:pStyle w:val="Compact"/>
              <w:jc w:val="left"/>
            </w:pPr>
            <w:r>
              <w:t xml:space="preserve">F-10</w:t>
            </w:r>
          </w:p>
        </w:tc>
        <w:tc>
          <w:tcPr/>
          <w:p>
            <w:pPr>
              <w:pStyle w:val="Compact"/>
              <w:jc w:val="left"/>
            </w:pPr>
            <w:r>
              <w:t xml:space="preserve">Zero items for data migration, support/SLA/handover, vendor management, BCDR exercises, internal enablement, IP clearance, benefits realisation, demo environments, pricing</w:t>
            </w:r>
          </w:p>
        </w:tc>
        <w:tc>
          <w:tcPr/>
          <w:p>
            <w:pPr>
              <w:pStyle w:val="Compact"/>
              <w:jc w:val="left"/>
            </w:pPr>
            <w:r>
              <w:t xml:space="preserve">keyword probe across all rows</w:t>
            </w:r>
            <w:r>
              <w:t xml:space="preserve"> </w:t>
            </w:r>
            <w:r>
              <w:rPr>
                <w:rStyle w:val="VerbatimChar"/>
              </w:rPr>
              <w:t xml:space="preserve">[VERIFIED]</w:t>
            </w:r>
          </w:p>
        </w:tc>
        <w:tc>
          <w:tcPr/>
          <w:p>
            <w:pPr>
              <w:pStyle w:val="Compact"/>
              <w:jc w:val="left"/>
            </w:pPr>
            <w:r>
              <w:t xml:space="preserve">P0/P1</w:t>
            </w:r>
          </w:p>
        </w:tc>
        <w:tc>
          <w:tcPr/>
          <w:p>
            <w:pPr>
              <w:pStyle w:val="Compact"/>
              <w:jc w:val="left"/>
            </w:pPr>
            <w:r>
              <w:t xml:space="preserve">“</w:t>
            </w:r>
            <w:r>
              <w:t xml:space="preserve">Who runs it after go-live?</w:t>
            </w:r>
            <w:r>
              <w:t xml:space="preserve">”</w:t>
            </w:r>
          </w:p>
        </w:tc>
        <w:tc>
          <w:tcPr/>
          <w:p>
            <w:pPr>
              <w:pStyle w:val="Compact"/>
              <w:jc w:val="left"/>
            </w:pPr>
            <w:r>
              <w:t xml:space="preserve">FIX-10</w:t>
            </w:r>
          </w:p>
        </w:tc>
      </w:tr>
      <w:tr>
        <w:tc>
          <w:tcPr/>
          <w:p>
            <w:pPr>
              <w:pStyle w:val="Compact"/>
              <w:jc w:val="left"/>
            </w:pPr>
            <w:r>
              <w:t xml:space="preserve">F-11</w:t>
            </w:r>
          </w:p>
        </w:tc>
        <w:tc>
          <w:tcPr/>
          <w:p>
            <w:pPr>
              <w:pStyle w:val="Compact"/>
              <w:jc w:val="left"/>
            </w:pPr>
            <w:r>
              <w:t xml:space="preserve">53 items sit in an earlier stage than a dependency</w:t>
            </w:r>
          </w:p>
        </w:tc>
        <w:tc>
          <w:tcPr/>
          <w:p>
            <w:pPr>
              <w:pStyle w:val="Compact"/>
              <w:jc w:val="left"/>
            </w:pPr>
            <w:r>
              <w:t xml:space="preserve">dependency scan</w:t>
            </w:r>
            <w:r>
              <w:t xml:space="preserve"> </w:t>
            </w:r>
            <w:r>
              <w:rPr>
                <w:rStyle w:val="VerbatimChar"/>
              </w:rPr>
              <w:t xml:space="preserve">[VERIFIED]</w:t>
            </w:r>
          </w:p>
        </w:tc>
        <w:tc>
          <w:tcPr/>
          <w:p>
            <w:pPr>
              <w:pStyle w:val="Compact"/>
              <w:jc w:val="left"/>
            </w:pPr>
            <w:r>
              <w:t xml:space="preserve">P1</w:t>
            </w:r>
          </w:p>
        </w:tc>
        <w:tc>
          <w:tcPr/>
          <w:p>
            <w:pPr>
              <w:pStyle w:val="Compact"/>
              <w:jc w:val="left"/>
            </w:pPr>
            <w:r>
              <w:t xml:space="preserve">“</w:t>
            </w:r>
            <w:r>
              <w:t xml:space="preserve">Is the sequence buildable?</w:t>
            </w:r>
            <w:r>
              <w:t xml:space="preserve">”</w:t>
            </w:r>
          </w:p>
        </w:tc>
        <w:tc>
          <w:tcPr/>
          <w:p>
            <w:pPr>
              <w:pStyle w:val="Compact"/>
              <w:jc w:val="left"/>
            </w:pPr>
            <w:r>
              <w:t xml:space="preserve">FIX-11</w:t>
            </w:r>
          </w:p>
        </w:tc>
      </w:tr>
      <w:tr>
        <w:tc>
          <w:tcPr/>
          <w:p>
            <w:pPr>
              <w:pStyle w:val="Compact"/>
              <w:jc w:val="left"/>
            </w:pPr>
            <w:r>
              <w:t xml:space="preserve">F-12</w:t>
            </w:r>
          </w:p>
        </w:tc>
        <w:tc>
          <w:tcPr/>
          <w:p>
            <w:pPr>
              <w:pStyle w:val="Compact"/>
              <w:jc w:val="left"/>
            </w:pPr>
            <w:r>
              <w:t xml:space="preserve">No risk register in the delivery file (it lives only in the review report)</w:t>
            </w:r>
          </w:p>
        </w:tc>
        <w:tc>
          <w:tcPr/>
          <w:p>
            <w:pPr>
              <w:pStyle w:val="Compact"/>
              <w:jc w:val="left"/>
            </w:pPr>
            <w:r>
              <w:t xml:space="preserve">sheet absent</w:t>
            </w:r>
            <w:r>
              <w:t xml:space="preserve"> </w:t>
            </w:r>
            <w:r>
              <w:rPr>
                <w:rStyle w:val="VerbatimChar"/>
              </w:rPr>
              <w:t xml:space="preserve">[DERIVED]</w:t>
            </w:r>
          </w:p>
        </w:tc>
        <w:tc>
          <w:tcPr/>
          <w:p>
            <w:pPr>
              <w:pStyle w:val="Compact"/>
              <w:jc w:val="left"/>
            </w:pPr>
            <w:r>
              <w:t xml:space="preserve">P1</w:t>
            </w:r>
          </w:p>
        </w:tc>
        <w:tc>
          <w:tcPr/>
          <w:p>
            <w:pPr>
              <w:pStyle w:val="Compact"/>
              <w:jc w:val="left"/>
            </w:pPr>
            <w:r>
              <w:t xml:space="preserve">“</w:t>
            </w:r>
            <w:r>
              <w:t xml:space="preserve">What are we watching?</w:t>
            </w:r>
            <w:r>
              <w:t xml:space="preserve">”</w:t>
            </w:r>
          </w:p>
        </w:tc>
        <w:tc>
          <w:tcPr/>
          <w:p>
            <w:pPr>
              <w:pStyle w:val="Compact"/>
              <w:jc w:val="left"/>
            </w:pPr>
            <w:r>
              <w:t xml:space="preserve">FIX-12</w:t>
            </w:r>
          </w:p>
        </w:tc>
      </w:tr>
      <w:tr>
        <w:tc>
          <w:tcPr/>
          <w:p>
            <w:pPr>
              <w:pStyle w:val="Compact"/>
              <w:jc w:val="left"/>
            </w:pPr>
            <w:r>
              <w:t xml:space="preserve">F-13</w:t>
            </w:r>
          </w:p>
        </w:tc>
        <w:tc>
          <w:tcPr/>
          <w:p>
            <w:pPr>
              <w:pStyle w:val="Compact"/>
              <w:jc w:val="left"/>
            </w:pPr>
            <w:r>
              <w:t xml:space="preserve">No snapshot history — no trend, velocity or forecast possible</w:t>
            </w:r>
          </w:p>
        </w:tc>
        <w:tc>
          <w:tcPr/>
          <w:p>
            <w:pPr>
              <w:pStyle w:val="Compact"/>
              <w:jc w:val="left"/>
            </w:pPr>
            <w:r>
              <w:t xml:space="preserve">sheet absent</w:t>
            </w:r>
            <w:r>
              <w:t xml:space="preserve"> </w:t>
            </w:r>
            <w:r>
              <w:rPr>
                <w:rStyle w:val="VerbatimChar"/>
              </w:rPr>
              <w:t xml:space="preserve">[VERIFIED]</w:t>
            </w:r>
          </w:p>
        </w:tc>
        <w:tc>
          <w:tcPr/>
          <w:p>
            <w:pPr>
              <w:pStyle w:val="Compact"/>
              <w:jc w:val="left"/>
            </w:pPr>
            <w:r>
              <w:t xml:space="preserve">P1</w:t>
            </w:r>
          </w:p>
        </w:tc>
        <w:tc>
          <w:tcPr/>
          <w:p>
            <w:pPr>
              <w:pStyle w:val="Compact"/>
              <w:jc w:val="left"/>
            </w:pPr>
            <w:r>
              <w:t xml:space="preserve">“</w:t>
            </w:r>
            <w:r>
              <w:t xml:space="preserve">Are we on track?</w:t>
            </w:r>
            <w:r>
              <w:t xml:space="preserve">”</w:t>
            </w:r>
          </w:p>
        </w:tc>
        <w:tc>
          <w:tcPr/>
          <w:p>
            <w:pPr>
              <w:pStyle w:val="Compact"/>
              <w:jc w:val="left"/>
            </w:pPr>
            <w:r>
              <w:t xml:space="preserve">FIX-13</w:t>
            </w:r>
          </w:p>
        </w:tc>
      </w:tr>
      <w:tr>
        <w:tc>
          <w:tcPr/>
          <w:p>
            <w:pPr>
              <w:pStyle w:val="Compact"/>
              <w:jc w:val="left"/>
            </w:pPr>
            <w:r>
              <w:t xml:space="preserve">F-14</w:t>
            </w:r>
          </w:p>
        </w:tc>
        <w:tc>
          <w:tcPr/>
          <w:p>
            <w:pPr>
              <w:pStyle w:val="Compact"/>
              <w:jc w:val="left"/>
            </w:pPr>
            <w:r>
              <w:t xml:space="preserve">No acceptance/sign-off record per deliverable</w:t>
            </w:r>
          </w:p>
        </w:tc>
        <w:tc>
          <w:tcPr/>
          <w:p>
            <w:pPr>
              <w:pStyle w:val="Compact"/>
              <w:jc w:val="left"/>
            </w:pPr>
            <w:r>
              <w:t xml:space="preserve">sheet absent</w:t>
            </w:r>
            <w:r>
              <w:t xml:space="preserve"> </w:t>
            </w:r>
            <w:r>
              <w:rPr>
                <w:rStyle w:val="VerbatimChar"/>
              </w:rPr>
              <w:t xml:space="preserve">[VERIFIED]</w:t>
            </w:r>
          </w:p>
        </w:tc>
        <w:tc>
          <w:tcPr/>
          <w:p>
            <w:pPr>
              <w:pStyle w:val="Compact"/>
              <w:jc w:val="left"/>
            </w:pPr>
            <w:r>
              <w:t xml:space="preserve">P1</w:t>
            </w:r>
          </w:p>
        </w:tc>
        <w:tc>
          <w:tcPr/>
          <w:p>
            <w:pPr>
              <w:pStyle w:val="Compact"/>
              <w:jc w:val="left"/>
            </w:pPr>
            <w:r>
              <w:t xml:space="preserve">“</w:t>
            </w:r>
            <w:r>
              <w:t xml:space="preserve">Who accepted D12, on what evidence?</w:t>
            </w:r>
            <w:r>
              <w:t xml:space="preserve">”</w:t>
            </w:r>
          </w:p>
        </w:tc>
        <w:tc>
          <w:tcPr/>
          <w:p>
            <w:pPr>
              <w:pStyle w:val="Compact"/>
              <w:jc w:val="left"/>
            </w:pPr>
            <w:r>
              <w:t xml:space="preserve">FIX-14</w:t>
            </w:r>
          </w:p>
        </w:tc>
      </w:tr>
      <w:tr>
        <w:tc>
          <w:tcPr/>
          <w:p>
            <w:pPr>
              <w:pStyle w:val="Compact"/>
              <w:jc w:val="left"/>
            </w:pPr>
            <w:r>
              <w:t xml:space="preserve">F-15</w:t>
            </w:r>
          </w:p>
        </w:tc>
        <w:tc>
          <w:tcPr/>
          <w:p>
            <w:pPr>
              <w:pStyle w:val="Compact"/>
              <w:jc w:val="left"/>
            </w:pPr>
            <w:r>
              <w:t xml:space="preserve">No skills matrix; bus-factor exposure invisible</w:t>
            </w:r>
          </w:p>
        </w:tc>
        <w:tc>
          <w:tcPr/>
          <w:p>
            <w:pPr>
              <w:pStyle w:val="Compact"/>
              <w:jc w:val="left"/>
            </w:pPr>
            <w:r>
              <w:t xml:space="preserve">sheet absent</w:t>
            </w:r>
            <w:r>
              <w:t xml:space="preserve"> </w:t>
            </w:r>
            <w:r>
              <w:rPr>
                <w:rStyle w:val="VerbatimChar"/>
              </w:rPr>
              <w:t xml:space="preserve">[VERIFIED]</w:t>
            </w:r>
          </w:p>
        </w:tc>
        <w:tc>
          <w:tcPr/>
          <w:p>
            <w:pPr>
              <w:pStyle w:val="Compact"/>
              <w:jc w:val="left"/>
            </w:pPr>
            <w:r>
              <w:t xml:space="preserve">P1</w:t>
            </w:r>
          </w:p>
        </w:tc>
        <w:tc>
          <w:tcPr/>
          <w:p>
            <w:pPr>
              <w:pStyle w:val="Compact"/>
              <w:jc w:val="left"/>
            </w:pPr>
            <w:r>
              <w:t xml:space="preserve">“</w:t>
            </w:r>
            <w:r>
              <w:t xml:space="preserve">Who else can do this?</w:t>
            </w:r>
            <w:r>
              <w:t xml:space="preserve">”</w:t>
            </w:r>
          </w:p>
        </w:tc>
        <w:tc>
          <w:tcPr/>
          <w:p>
            <w:pPr>
              <w:pStyle w:val="Compact"/>
              <w:jc w:val="left"/>
            </w:pPr>
            <w:r>
              <w:t xml:space="preserve">FIX-15</w:t>
            </w:r>
          </w:p>
        </w:tc>
      </w:tr>
      <w:tr>
        <w:tc>
          <w:tcPr/>
          <w:p>
            <w:pPr>
              <w:pStyle w:val="Compact"/>
              <w:jc w:val="left"/>
            </w:pPr>
            <w:r>
              <w:t xml:space="preserve">F-16</w:t>
            </w:r>
          </w:p>
        </w:tc>
        <w:tc>
          <w:tcPr/>
          <w:p>
            <w:pPr>
              <w:pStyle w:val="Compact"/>
              <w:jc w:val="left"/>
            </w:pPr>
            <w:r>
              <w:t xml:space="preserve">Missing columns: Priority, EvidenceLink, TestCaseID, Waiver, LastUpdated</w:t>
            </w:r>
          </w:p>
        </w:tc>
        <w:tc>
          <w:tcPr/>
          <w:p>
            <w:pPr>
              <w:pStyle w:val="Compact"/>
              <w:jc w:val="left"/>
            </w:pPr>
            <w:r>
              <w:t xml:space="preserve">column set</w:t>
            </w:r>
            <w:r>
              <w:t xml:space="preserve"> </w:t>
            </w:r>
            <w:r>
              <w:rPr>
                <w:rStyle w:val="VerbatimChar"/>
              </w:rPr>
              <w:t xml:space="preserve">[VERIFIED]</w:t>
            </w:r>
          </w:p>
        </w:tc>
        <w:tc>
          <w:tcPr/>
          <w:p>
            <w:pPr>
              <w:pStyle w:val="Compact"/>
              <w:jc w:val="left"/>
            </w:pPr>
            <w:r>
              <w:t xml:space="preserve">P1</w:t>
            </w:r>
          </w:p>
        </w:tc>
        <w:tc>
          <w:tcPr/>
          <w:p>
            <w:pPr>
              <w:pStyle w:val="Compact"/>
              <w:jc w:val="left"/>
            </w:pPr>
            <w:r>
              <w:t xml:space="preserve">“</w:t>
            </w:r>
            <w:r>
              <w:t xml:space="preserve">What do we do first?</w:t>
            </w:r>
            <w:r>
              <w:t xml:space="preserve">”</w:t>
            </w:r>
          </w:p>
        </w:tc>
        <w:tc>
          <w:tcPr/>
          <w:p>
            <w:pPr>
              <w:pStyle w:val="Compact"/>
              <w:jc w:val="left"/>
            </w:pPr>
            <w:r>
              <w:t xml:space="preserve">FIX-16</w:t>
            </w:r>
          </w:p>
        </w:tc>
      </w:tr>
      <w:tr>
        <w:tc>
          <w:tcPr/>
          <w:p>
            <w:pPr>
              <w:pStyle w:val="Compact"/>
              <w:jc w:val="left"/>
            </w:pPr>
            <w:r>
              <w:t xml:space="preserve">F-17</w:t>
            </w:r>
          </w:p>
        </w:tc>
        <w:tc>
          <w:tcPr/>
          <w:p>
            <w:pPr>
              <w:pStyle w:val="Compact"/>
              <w:jc w:val="left"/>
            </w:pPr>
            <w:r>
              <w:t xml:space="preserve">Only Status validated; no conditional formatting, protection or named ranges</w:t>
            </w:r>
          </w:p>
        </w:tc>
        <w:tc>
          <w:tcPr/>
          <w:p>
            <w:pPr>
              <w:pStyle w:val="Compact"/>
              <w:jc w:val="left"/>
            </w:pPr>
            <w:r>
              <w:t xml:space="preserve">workbook inspection</w:t>
            </w:r>
            <w:r>
              <w:t xml:space="preserve"> </w:t>
            </w:r>
            <w:r>
              <w:rPr>
                <w:rStyle w:val="VerbatimChar"/>
              </w:rPr>
              <w:t xml:space="preserve">[VERIFIED]</w:t>
            </w:r>
          </w:p>
        </w:tc>
        <w:tc>
          <w:tcPr/>
          <w:p>
            <w:pPr>
              <w:pStyle w:val="Compact"/>
              <w:jc w:val="left"/>
            </w:pPr>
            <w:r>
              <w:t xml:space="preserve">P1</w:t>
            </w:r>
          </w:p>
        </w:tc>
        <w:tc>
          <w:tcPr/>
          <w:p>
            <w:pPr>
              <w:pStyle w:val="Compact"/>
              <w:jc w:val="left"/>
            </w:pPr>
            <w:r>
              <w:t xml:space="preserve">“</w:t>
            </w:r>
            <w:r>
              <w:t xml:space="preserve">How do we stop the data rotting?</w:t>
            </w:r>
            <w:r>
              <w:t xml:space="preserve">”</w:t>
            </w:r>
          </w:p>
        </w:tc>
        <w:tc>
          <w:tcPr/>
          <w:p>
            <w:pPr>
              <w:pStyle w:val="Compact"/>
              <w:jc w:val="left"/>
            </w:pPr>
            <w:r>
              <w:t xml:space="preserve">FIX-17/18/19</w:t>
            </w:r>
          </w:p>
        </w:tc>
      </w:tr>
      <w:tr>
        <w:tc>
          <w:tcPr/>
          <w:p>
            <w:pPr>
              <w:pStyle w:val="Compact"/>
              <w:jc w:val="left"/>
            </w:pPr>
            <w:r>
              <w:t xml:space="preserve">F-18</w:t>
            </w:r>
          </w:p>
        </w:tc>
        <w:tc>
          <w:tcPr/>
          <w:p>
            <w:pPr>
              <w:pStyle w:val="Compact"/>
              <w:jc w:val="left"/>
            </w:pPr>
            <w:r>
              <w:t xml:space="preserve">No India-market content: zero NSQF, NCVET, INR, GST, customs, humidity; DPDP mentioned but not operationalised</w:t>
            </w:r>
          </w:p>
        </w:tc>
        <w:tc>
          <w:tcPr/>
          <w:p>
            <w:pPr>
              <w:pStyle w:val="Compact"/>
              <w:jc w:val="left"/>
            </w:pPr>
            <w:r>
              <w:t xml:space="preserve">keyword counts</w:t>
            </w:r>
            <w:r>
              <w:t xml:space="preserve"> </w:t>
            </w:r>
            <w:r>
              <w:rPr>
                <w:rStyle w:val="VerbatimChar"/>
              </w:rPr>
              <w:t xml:space="preserve">[VERIFIED]</w:t>
            </w:r>
          </w:p>
        </w:tc>
        <w:tc>
          <w:tcPr/>
          <w:p>
            <w:pPr>
              <w:pStyle w:val="Compact"/>
              <w:jc w:val="left"/>
            </w:pPr>
            <w:r>
              <w:t xml:space="preserve">P1</w:t>
            </w:r>
          </w:p>
        </w:tc>
        <w:tc>
          <w:tcPr/>
          <w:p>
            <w:pPr>
              <w:pStyle w:val="Compact"/>
              <w:jc w:val="left"/>
            </w:pPr>
            <w:r>
              <w:t xml:space="preserve">“</w:t>
            </w:r>
            <w:r>
              <w:t xml:space="preserve">Can we sell and deliver this in India?</w:t>
            </w:r>
            <w:r>
              <w:t xml:space="preserve">”</w:t>
            </w:r>
          </w:p>
        </w:tc>
        <w:tc>
          <w:tcPr/>
          <w:p>
            <w:pPr>
              <w:pStyle w:val="Compact"/>
              <w:jc w:val="left"/>
            </w:pPr>
            <w:r>
              <w:t xml:space="preserve">FIX-20</w:t>
            </w:r>
          </w:p>
        </w:tc>
      </w:tr>
      <w:tr>
        <w:tc>
          <w:tcPr/>
          <w:p>
            <w:pPr>
              <w:pStyle w:val="Compact"/>
              <w:jc w:val="left"/>
            </w:pPr>
            <w:r>
              <w:t xml:space="preserve">F-19</w:t>
            </w:r>
          </w:p>
        </w:tc>
        <w:tc>
          <w:tcPr/>
          <w:p>
            <w:pPr>
              <w:pStyle w:val="Compact"/>
              <w:jc w:val="left"/>
            </w:pPr>
            <w:r>
              <w:t xml:space="preserve">22 dependency references mis-pointed to the wrong item (parallel-authoring artefact)</w:t>
            </w:r>
          </w:p>
        </w:tc>
        <w:tc>
          <w:tcPr/>
          <w:p>
            <w:pPr>
              <w:pStyle w:val="Compact"/>
              <w:jc w:val="left"/>
            </w:pPr>
            <w:r>
              <w:rPr>
                <w:rStyle w:val="VerbatimChar"/>
              </w:rPr>
              <w:t xml:space="preserve">FND-03.1.01</w:t>
            </w:r>
            <w:r>
              <w:t xml:space="preserve">,</w:t>
            </w:r>
            <w:r>
              <w:t xml:space="preserve"> </w:t>
            </w:r>
            <w:r>
              <w:rPr>
                <w:rStyle w:val="VerbatimChar"/>
              </w:rPr>
              <w:t xml:space="preserve">TLA-03.1.01</w:t>
            </w:r>
            <w:r>
              <w:t xml:space="preserve"> </w:t>
            </w:r>
            <w:r>
              <w:t xml:space="preserve">clusters</w:t>
            </w:r>
            <w:r>
              <w:t xml:space="preserve"> </w:t>
            </w:r>
            <w:r>
              <w:rPr>
                <w:rStyle w:val="VerbatimChar"/>
              </w:rPr>
              <w:t xml:space="preserve">[DERIVED]</w:t>
            </w:r>
          </w:p>
        </w:tc>
        <w:tc>
          <w:tcPr/>
          <w:p>
            <w:pPr>
              <w:pStyle w:val="Compact"/>
              <w:jc w:val="left"/>
            </w:pPr>
            <w:r>
              <w:t xml:space="preserve">P1</w:t>
            </w:r>
          </w:p>
        </w:tc>
        <w:tc>
          <w:tcPr/>
          <w:p>
            <w:pPr>
              <w:pStyle w:val="Compact"/>
              <w:jc w:val="left"/>
            </w:pPr>
            <w:r>
              <w:t xml:space="preserve">“</w:t>
            </w:r>
            <w:r>
              <w:t xml:space="preserve">Does this dependency mean what it says?</w:t>
            </w:r>
            <w:r>
              <w:t xml:space="preserve">”</w:t>
            </w:r>
          </w:p>
        </w:tc>
        <w:tc>
          <w:tcPr/>
          <w:p>
            <w:pPr>
              <w:pStyle w:val="Compact"/>
              <w:jc w:val="left"/>
            </w:pPr>
            <w:r>
              <w:t xml:space="preserve">FIX-21</w:t>
            </w:r>
          </w:p>
        </w:tc>
      </w:tr>
      <w:tr>
        <w:tc>
          <w:tcPr/>
          <w:p>
            <w:pPr>
              <w:pStyle w:val="Compact"/>
              <w:jc w:val="left"/>
            </w:pPr>
            <w:r>
              <w:t xml:space="preserve">F-20</w:t>
            </w:r>
          </w:p>
        </w:tc>
        <w:tc>
          <w:tcPr/>
          <w:p>
            <w:pPr>
              <w:pStyle w:val="Compact"/>
              <w:jc w:val="left"/>
            </w:pPr>
            <w:r>
              <w:t xml:space="preserve">7 duplicate IDs would have been issued between the two new item sets</w:t>
            </w:r>
          </w:p>
        </w:tc>
        <w:tc>
          <w:tcPr/>
          <w:p>
            <w:pPr>
              <w:pStyle w:val="Compact"/>
              <w:jc w:val="left"/>
            </w:pPr>
            <w:r>
              <w:t xml:space="preserve">pre-issue check</w:t>
            </w:r>
            <w:r>
              <w:t xml:space="preserve"> </w:t>
            </w:r>
            <w:r>
              <w:rPr>
                <w:rStyle w:val="VerbatimChar"/>
              </w:rPr>
              <w:t xml:space="preserve">[VERIFIED]</w:t>
            </w:r>
          </w:p>
        </w:tc>
        <w:tc>
          <w:tcPr/>
          <w:p>
            <w:pPr>
              <w:pStyle w:val="Compact"/>
              <w:jc w:val="left"/>
            </w:pPr>
            <w:r>
              <w:t xml:space="preserve">P1</w:t>
            </w:r>
          </w:p>
        </w:tc>
        <w:tc>
          <w:tcPr/>
          <w:p>
            <w:pPr>
              <w:pStyle w:val="Compact"/>
              <w:jc w:val="left"/>
            </w:pPr>
            <w:r>
              <w:t xml:space="preserve">—</w:t>
            </w:r>
          </w:p>
        </w:tc>
        <w:tc>
          <w:tcPr/>
          <w:p>
            <w:pPr>
              <w:pStyle w:val="Compact"/>
              <w:jc w:val="left"/>
            </w:pPr>
            <w:r>
              <w:t xml:space="preserve">FIX-22</w:t>
            </w:r>
          </w:p>
        </w:tc>
      </w:tr>
      <w:tr>
        <w:tc>
          <w:tcPr/>
          <w:p>
            <w:pPr>
              <w:pStyle w:val="Compact"/>
              <w:jc w:val="left"/>
            </w:pPr>
            <w:r>
              <w:t xml:space="preserve">F-21</w:t>
            </w:r>
          </w:p>
        </w:tc>
        <w:tc>
          <w:tcPr/>
          <w:p>
            <w:pPr>
              <w:pStyle w:val="Compact"/>
              <w:jc w:val="left"/>
            </w:pPr>
            <w:r>
              <w:t xml:space="preserve">Three near-duplicate item texts and one non-binary acceptance criterion</w:t>
            </w:r>
          </w:p>
        </w:tc>
        <w:tc>
          <w:tcPr/>
          <w:p>
            <w:pPr>
              <w:pStyle w:val="Compact"/>
              <w:jc w:val="left"/>
            </w:pPr>
            <w:r>
              <w:t xml:space="preserve">text scan</w:t>
            </w:r>
            <w:r>
              <w:t xml:space="preserve"> </w:t>
            </w:r>
            <w:r>
              <w:rPr>
                <w:rStyle w:val="VerbatimChar"/>
              </w:rPr>
              <w:t xml:space="preserve">[VERIFIED]</w:t>
            </w:r>
          </w:p>
        </w:tc>
        <w:tc>
          <w:tcPr/>
          <w:p>
            <w:pPr>
              <w:pStyle w:val="Compact"/>
              <w:jc w:val="left"/>
            </w:pPr>
            <w:r>
              <w:t xml:space="preserve">P2</w:t>
            </w:r>
          </w:p>
        </w:tc>
        <w:tc>
          <w:tcPr/>
          <w:p>
            <w:pPr>
              <w:pStyle w:val="Compact"/>
              <w:jc w:val="left"/>
            </w:pPr>
            <w:r>
              <w:t xml:space="preserve">“</w:t>
            </w:r>
            <w:r>
              <w:t xml:space="preserve">Is this counted twice?</w:t>
            </w:r>
            <w:r>
              <w:t xml:space="preserve">”</w:t>
            </w:r>
          </w:p>
        </w:tc>
        <w:tc>
          <w:tcPr/>
          <w:p>
            <w:pPr>
              <w:pStyle w:val="Compact"/>
              <w:jc w:val="left"/>
            </w:pPr>
            <w:r>
              <w:t xml:space="preserve">logged, not merged</w:t>
            </w:r>
          </w:p>
        </w:tc>
      </w:tr>
      <w:tr>
        <w:tc>
          <w:tcPr/>
          <w:p>
            <w:pPr>
              <w:pStyle w:val="Compact"/>
              <w:jc w:val="left"/>
            </w:pPr>
            <w:r>
              <w:t xml:space="preserve">F-22</w:t>
            </w:r>
          </w:p>
        </w:tc>
        <w:tc>
          <w:tcPr/>
          <w:p>
            <w:pPr>
              <w:pStyle w:val="Compact"/>
              <w:jc w:val="left"/>
            </w:pPr>
            <w:r>
              <w:t xml:space="preserve">Product × Team matrix uses a separator column that breaks filtering</w:t>
            </w:r>
          </w:p>
        </w:tc>
        <w:tc>
          <w:tcPr/>
          <w:p>
            <w:pPr>
              <w:pStyle w:val="Compact"/>
              <w:jc w:val="left"/>
            </w:pPr>
            <w:r>
              <w:t xml:space="preserve">sheet inspection</w:t>
            </w:r>
            <w:r>
              <w:t xml:space="preserve"> </w:t>
            </w:r>
            <w:r>
              <w:rPr>
                <w:rStyle w:val="VerbatimChar"/>
              </w:rPr>
              <w:t xml:space="preserve">[VERIFIED]</w:t>
            </w:r>
          </w:p>
        </w:tc>
        <w:tc>
          <w:tcPr/>
          <w:p>
            <w:pPr>
              <w:pStyle w:val="Compact"/>
              <w:jc w:val="left"/>
            </w:pPr>
            <w:r>
              <w:t xml:space="preserve">P3</w:t>
            </w:r>
          </w:p>
        </w:tc>
        <w:tc>
          <w:tcPr/>
          <w:p>
            <w:pPr>
              <w:pStyle w:val="Compact"/>
              <w:jc w:val="left"/>
            </w:pPr>
            <w:r>
              <w:t xml:space="preserve">—</w:t>
            </w:r>
          </w:p>
        </w:tc>
        <w:tc>
          <w:tcPr/>
          <w:p>
            <w:pPr>
              <w:pStyle w:val="Compact"/>
              <w:jc w:val="left"/>
            </w:pPr>
            <w:r>
              <w:t xml:space="preserve">superseded in v3</w:t>
            </w:r>
          </w:p>
        </w:tc>
      </w:tr>
    </w:tbl>
    <w:p>
      <w:r>
        <w:pict>
          <v:rect style="width:0;height:1.5pt" o:hralign="center" o:hrstd="t" o:hr="t"/>
        </w:pict>
      </w:r>
    </w:p>
    <w:bookmarkEnd w:id="23"/>
    <w:bookmarkStart w:id="32" w:name="d.-missing-component-explanations"/>
    <w:p>
      <w:pPr>
        <w:pStyle w:val="Heading1"/>
      </w:pPr>
      <w:r>
        <w:t xml:space="preserve">D. Missing-Component Explanations</w:t>
      </w:r>
    </w:p>
    <w:p>
      <w:pPr>
        <w:pStyle w:val="FirstParagraph"/>
      </w:pPr>
      <w:r>
        <w:rPr>
          <w:iCs/>
          <w:i/>
        </w:rPr>
        <w:t xml:space="preserve">For a reader who did not build the workbook. Counts are measured from</w:t>
      </w:r>
      <w:r>
        <w:rPr>
          <w:iCs/>
          <w:i/>
        </w:rPr>
        <w:t xml:space="preserve"> </w:t>
      </w:r>
      <w:r>
        <w:rPr>
          <w:rStyle w:val="VerbatimChar"/>
          <w:iCs/>
          <w:i/>
        </w:rPr>
        <w:t xml:space="preserve">EdVidura_Master_Checklist_v2.csv</w:t>
      </w:r>
      <w:r>
        <w:rPr>
          <w:iCs/>
          <w:i/>
        </w:rPr>
        <w:t xml:space="preserve">: 1,830 items (1,505 Build, 325 Test), 8 squads plus the QA Guild, 9 test teams, stages carrying 276 / 471 / 441 / 453 / 141 / 48 items. Effort costs the structure, not the fill; the fill belongs to the named feeder.</w:t>
      </w:r>
    </w:p>
    <w:p>
      <w:r>
        <w:pict>
          <v:rect style="width:0;height:1.5pt" o:hralign="center" o:hrstd="t" o:hr="t"/>
        </w:pict>
      </w:r>
    </w:p>
    <w:bookmarkStart w:id="24" w:name="d.1-scheduling-and-capacity"/>
    <w:p>
      <w:pPr>
        <w:pStyle w:val="Heading2"/>
      </w:pPr>
      <w:r>
        <w:t xml:space="preserve">D.1 Scheduling and capacity</w:t>
      </w:r>
    </w:p>
    <w:p>
      <w:pPr>
        <w:pStyle w:val="FirstParagraph"/>
      </w:pPr>
      <w:r>
        <w:rPr>
          <w:bCs/>
          <w:b/>
        </w:rPr>
        <w:t xml:space="preserve">Sprint calendar (P0).</w:t>
      </w:r>
      <w:r>
        <w:t xml:space="preserve"> </w:t>
      </w:r>
      <w:r>
        <w:t xml:space="preserve">The sheet that turns a sprint label into real dates — start, end, working days, stage, goal, scope freeze.</w:t>
      </w:r>
      <w:r>
        <w:t xml:space="preserve"> </w:t>
      </w:r>
      <w:r>
        <w:rPr>
          <w:rStyle w:val="VerbatimChar"/>
        </w:rPr>
        <w:t xml:space="preserve">TargetSprint</w:t>
      </w:r>
      <w:r>
        <w:t xml:space="preserve"> </w:t>
      </w:r>
      <w:r>
        <w:t xml:space="preserve">exists and is blank in all 1,830 rows. So</w:t>
      </w:r>
      <w:r>
        <w:t xml:space="preserve"> </w:t>
      </w:r>
      <w:r>
        <w:rPr>
          <w:rStyle w:val="VerbatimChar"/>
        </w:rPr>
        <w:t xml:space="preserve">AIA-02.1.07</w:t>
      </w:r>
      <w:r>
        <w:t xml:space="preserve">, which requires the GPU procurement recommendation to carry an order deadline</w:t>
      </w:r>
      <w:r>
        <w:t xml:space="preserve"> </w:t>
      </w:r>
      <w:r>
        <w:t xml:space="preserve">“</w:t>
      </w:r>
      <w:r>
        <w:t xml:space="preserve">at least two quarters before Slice D start</w:t>
      </w:r>
      <w:r>
        <w:t xml:space="preserve">”</w:t>
      </w:r>
      <w:r>
        <w:t xml:space="preserve">, has an acceptance criterion that is untestable the day it is written, and D21’s 17 items sit in Stage 5 with no date any vendor or customer can be told. Good is one row per sprint with a</w:t>
      </w:r>
      <w:r>
        <w:t xml:space="preserve"> </w:t>
      </w:r>
      <w:r>
        <w:rPr>
          <w:rStyle w:val="VerbatimChar"/>
        </w:rPr>
        <w:t xml:space="preserve">PROVISIONAL:</w:t>
      </w:r>
      <w:r>
        <w:t xml:space="preserve"> </w:t>
      </w:r>
      <w:r>
        <w:t xml:space="preserve">seed row, reviewed at each stage gate by the Delivery Manager. Half a day to build; the dates come from the Programme Director and the contract.</w:t>
      </w:r>
    </w:p>
    <w:p>
      <w:pPr>
        <w:pStyle w:val="BodyText"/>
      </w:pPr>
      <w:r>
        <w:rPr>
          <w:bCs/>
          <w:b/>
        </w:rPr>
        <w:t xml:space="preserve">Estimation basis and</w:t>
      </w:r>
      <w:r>
        <w:rPr>
          <w:bCs/>
          <w:b/>
        </w:rPr>
        <w:t xml:space="preserve"> </w:t>
      </w:r>
      <w:r>
        <w:rPr>
          <w:rStyle w:val="VerbatimChar"/>
          <w:bCs/>
          <w:b/>
        </w:rPr>
        <w:t xml:space="preserve">EstDays</w:t>
      </w:r>
      <w:r>
        <w:rPr>
          <w:bCs/>
          <w:b/>
        </w:rPr>
        <w:t xml:space="preserve"> </w:t>
      </w:r>
      <w:r>
        <w:rPr>
          <w:bCs/>
          <w:b/>
        </w:rPr>
        <w:t xml:space="preserve">(P0).</w:t>
      </w:r>
      <w:r>
        <w:t xml:space="preserve"> </w:t>
      </w:r>
      <w:r>
        <w:t xml:space="preserve">Person-days per item plus the method behind the number;</w:t>
      </w:r>
      <w:r>
        <w:t xml:space="preserve"> </w:t>
      </w:r>
      <w:r>
        <w:rPr>
          <w:rStyle w:val="VerbatimChar"/>
        </w:rPr>
        <w:t xml:space="preserve">EstDays</w:t>
      </w:r>
      <w:r>
        <w:t xml:space="preserve"> </w:t>
      </w:r>
      <w:r>
        <w:t xml:space="preserve">is blank in 1,830 of 1,830 rows.</w:t>
      </w:r>
      <w:r>
        <w:t xml:space="preserve"> </w:t>
      </w:r>
      <w:r>
        <w:rPr>
          <w:rStyle w:val="VerbatimChar"/>
        </w:rPr>
        <w:t xml:space="preserve">FND-01.1.01</w:t>
      </w:r>
      <w:r>
        <w:t xml:space="preserve">, a one-page tenancy decision record, therefore weighs exactly the same as</w:t>
      </w:r>
      <w:r>
        <w:t xml:space="preserve"> </w:t>
      </w:r>
      <w:r>
        <w:rPr>
          <w:rStyle w:val="VerbatimChar"/>
        </w:rPr>
        <w:t xml:space="preserve">AIA-03.2.04</w:t>
      </w:r>
      <w:r>
        <w:t xml:space="preserve">, a full Scenario-11 saturation run on target GPU hardware, and SQ5 AI &amp; Assessment’s 304 items — 172 of them in Stage 3 — can be neither defended to a steering committee as a four-person quarter nor refuted as a twelve-person year. Good is size bands with a written day value each,</w:t>
      </w:r>
      <w:r>
        <w:t xml:space="preserve"> </w:t>
      </w:r>
      <w:r>
        <w:rPr>
          <w:rStyle w:val="VerbatimChar"/>
        </w:rPr>
        <w:t xml:space="preserve">EstDays</w:t>
      </w:r>
      <w:r>
        <w:t xml:space="preserve"> </w:t>
      </w:r>
      <w:r>
        <w:t xml:space="preserve">populated everywhere, and a</w:t>
      </w:r>
      <w:r>
        <w:t xml:space="preserve"> </w:t>
      </w:r>
      <w:r>
        <w:rPr>
          <w:rStyle w:val="VerbatimChar"/>
        </w:rPr>
        <w:t xml:space="preserve">PROVISIONAL:</w:t>
      </w:r>
      <w:r>
        <w:t xml:space="preserve"> </w:t>
      </w:r>
      <w:r>
        <w:t xml:space="preserve">productivity assumption until velocity exists. Under a day of structure; the 747 Stage 0–1 items are the squad leads’ first estimating pass.</w:t>
      </w:r>
    </w:p>
    <w:p>
      <w:pPr>
        <w:pStyle w:val="BodyText"/>
      </w:pPr>
      <w:r>
        <w:rPr>
          <w:bCs/>
          <w:b/>
        </w:rPr>
        <w:t xml:space="preserve">Capacity plan (P0).</w:t>
      </w:r>
      <w:r>
        <w:t xml:space="preserve"> </w:t>
      </w:r>
      <w:r>
        <w:t xml:space="preserve">Who is available, for how many days, in which sprint, so demand meets supply before the sprint rather than after it fails; nothing here models a person. SQ7 Field &amp; Immersive shows the cost — 17 items in Stage 0, zero in Stage 1, 6 in Stage 2, then 61 in Stage 3 and 80 in Stage 4 — so the immersive team must materialise fully formed at Stage 3 and no sheet lets anyone notice in advance. Good is person, role, squad or test team, cost centre, availability and allocated days per sprint, and an over-allocation flag firing by formula, refreshed each sprint by the Resource Manager. A day with</w:t>
      </w:r>
      <w:r>
        <w:t xml:space="preserve"> </w:t>
      </w:r>
      <w:r>
        <w:rPr>
          <w:rStyle w:val="VerbatimChar"/>
        </w:rPr>
        <w:t xml:space="preserve">SUMIFS</w:t>
      </w:r>
      <w:r>
        <w:t xml:space="preserve"> </w:t>
      </w:r>
      <w:r>
        <w:t xml:space="preserve">rollups; only a human supplies the names.</w:t>
      </w:r>
    </w:p>
    <w:p>
      <w:pPr>
        <w:pStyle w:val="BodyText"/>
      </w:pPr>
      <w:r>
        <w:rPr>
          <w:bCs/>
          <w:b/>
        </w:rPr>
        <w:t xml:space="preserve">Sequence integrity between</w:t>
      </w:r>
      <w:r>
        <w:rPr>
          <w:bCs/>
          <w:b/>
        </w:rPr>
        <w:t xml:space="preserve"> </w:t>
      </w:r>
      <w:r>
        <w:rPr>
          <w:rStyle w:val="VerbatimChar"/>
          <w:bCs/>
          <w:b/>
        </w:rPr>
        <w:t xml:space="preserve">Stage</w:t>
      </w:r>
      <w:r>
        <w:rPr>
          <w:bCs/>
          <w:b/>
        </w:rPr>
        <w:t xml:space="preserve"> </w:t>
      </w:r>
      <w:r>
        <w:rPr>
          <w:bCs/>
          <w:b/>
        </w:rPr>
        <w:t xml:space="preserve">and</w:t>
      </w:r>
      <w:r>
        <w:rPr>
          <w:bCs/>
          <w:b/>
        </w:rPr>
        <w:t xml:space="preserve"> </w:t>
      </w:r>
      <w:r>
        <w:rPr>
          <w:rStyle w:val="VerbatimChar"/>
          <w:bCs/>
          <w:b/>
        </w:rPr>
        <w:t xml:space="preserve">DependsOn</w:t>
      </w:r>
      <w:r>
        <w:rPr>
          <w:bCs/>
          <w:b/>
        </w:rPr>
        <w:t xml:space="preserve"> </w:t>
      </w:r>
      <w:r>
        <w:rPr>
          <w:bCs/>
          <w:b/>
        </w:rPr>
        <w:t xml:space="preserve">(P1).</w:t>
      </w:r>
      <w:r>
        <w:t xml:space="preserve"> </w:t>
      </w:r>
      <w:r>
        <w:t xml:space="preserve">The rule that no work is planned before the thing it needs, broken by 53 items.</w:t>
      </w:r>
      <w:r>
        <w:t xml:space="preserve"> </w:t>
      </w:r>
      <w:r>
        <w:rPr>
          <w:rStyle w:val="VerbatimChar"/>
        </w:rPr>
        <w:t xml:space="preserve">COR-01.1.01</w:t>
      </w:r>
      <w:r>
        <w:t xml:space="preserve">, the LTI 1.3 launch-claims contract owned by SQ2 Learning Tools in Stage 0, depends on</w:t>
      </w:r>
      <w:r>
        <w:t xml:space="preserve"> </w:t>
      </w:r>
      <w:r>
        <w:rPr>
          <w:rStyle w:val="VerbatimChar"/>
        </w:rPr>
        <w:t xml:space="preserve">FND-03.1.01</w:t>
      </w:r>
      <w:r>
        <w:t xml:space="preserve">, an SQ1 Platform Core cross-tenant test suite that does not land until Stage 1, so on the day SQ2 opens its Stage 0 board it either waits for SQ1 or proceeds on an unratified assumption and reworks the contract later — and the workbook signals neither. Good is a formula column flagging any row whose dependency stage exceeds its own, reconciled to zero by the PMO Director with both squad leads. A formula plus one session per cluster; the 53 collapse into a few hubs,</w:t>
      </w:r>
      <w:r>
        <w:t xml:space="preserve"> </w:t>
      </w:r>
      <w:r>
        <w:rPr>
          <w:rStyle w:val="VerbatimChar"/>
        </w:rPr>
        <w:t xml:space="preserve">FND-03.1.01</w:t>
      </w:r>
      <w:r>
        <w:t xml:space="preserve"> </w:t>
      </w:r>
      <w:r>
        <w:t xml:space="preserve">and</w:t>
      </w:r>
      <w:r>
        <w:t xml:space="preserve"> </w:t>
      </w:r>
      <w:r>
        <w:rPr>
          <w:rStyle w:val="VerbatimChar"/>
        </w:rPr>
        <w:t xml:space="preserve">TLA-03.1.01</w:t>
      </w:r>
      <w:r>
        <w:t xml:space="preserve"> </w:t>
      </w:r>
      <w:r>
        <w:t xml:space="preserve">chief among them.</w:t>
      </w:r>
    </w:p>
    <w:bookmarkEnd w:id="24"/>
    <w:bookmarkStart w:id="25" w:name="d.2-quality-and-the-defect-loop"/>
    <w:p>
      <w:pPr>
        <w:pStyle w:val="Heading2"/>
      </w:pPr>
      <w:r>
        <w:t xml:space="preserve">D.2 Quality and the defect loop</w:t>
      </w:r>
    </w:p>
    <w:p>
      <w:pPr>
        <w:pStyle w:val="FirstParagraph"/>
      </w:pPr>
      <w:r>
        <w:rPr>
          <w:bCs/>
          <w:b/>
        </w:rPr>
        <w:t xml:space="preserve">Defect log, with rework linkage (P0).</w:t>
      </w:r>
      <w:r>
        <w:t xml:space="preserve"> </w:t>
      </w:r>
      <w:r>
        <w:t xml:space="preserve">Where a failed test lives until somebody fixes it, and the pointer from that defect to the build item that must change; 325 test items currently have no outcome beyond the values in</w:t>
      </w:r>
      <w:r>
        <w:t xml:space="preserve"> </w:t>
      </w:r>
      <w:r>
        <w:rPr>
          <w:rStyle w:val="VerbatimChar"/>
        </w:rPr>
        <w:t xml:space="preserve">Status</w:t>
      </w:r>
      <w:r>
        <w:t xml:space="preserve">. On the day</w:t>
      </w:r>
      <w:r>
        <w:t xml:space="preserve"> </w:t>
      </w:r>
      <w:r>
        <w:rPr>
          <w:rStyle w:val="VerbatimChar"/>
        </w:rPr>
        <w:t xml:space="preserve">TST-07.1.04</w:t>
      </w:r>
      <w:r>
        <w:t xml:space="preserve"> </w:t>
      </w:r>
      <w:r>
        <w:t xml:space="preserve">runs the WCAG 2.2 AA scan and</w:t>
      </w:r>
      <w:r>
        <w:t xml:space="preserve"> </w:t>
      </w:r>
      <w:r>
        <w:rPr>
          <w:rStyle w:val="VerbatimChar"/>
        </w:rPr>
        <w:t xml:space="preserve">TST-37.2.03</w:t>
      </w:r>
      <w:r>
        <w:t xml:space="preserve"> </w:t>
      </w:r>
      <w:r>
        <w:t xml:space="preserve">exercises the D12 Interactive eBooks pipeline, QA-A11Y finds the eBook reader’s page-turn control unreachable by keyboard and there is nowhere to write it: the item goes Blocked, the finding survives in a chat thread,</w:t>
      </w:r>
      <w:r>
        <w:t xml:space="preserve"> </w:t>
      </w:r>
      <w:r>
        <w:rPr>
          <w:rStyle w:val="VerbatimChar"/>
        </w:rPr>
        <w:t xml:space="preserve">TST-12.2.03</w:t>
      </w:r>
      <w:r>
        <w:t xml:space="preserve">’s accessibility sign-off by the Accessibility Specialist is quietly deferred, and</w:t>
      </w:r>
      <w:r>
        <w:t xml:space="preserve"> </w:t>
      </w:r>
      <w:r>
        <w:rPr>
          <w:rStyle w:val="VerbatimChar"/>
        </w:rPr>
        <w:t xml:space="preserve">TST-12.2.06</w:t>
      </w:r>
      <w:r>
        <w:t xml:space="preserve">’s five-line release-gate bundle assembles around a hole nobody can name. When D12 is eventually fixed the original build item stays Done, the burn-down never dips, and</w:t>
      </w:r>
      <w:r>
        <w:t xml:space="preserve"> </w:t>
      </w:r>
      <w:r>
        <w:rPr>
          <w:rStyle w:val="VerbatimChar"/>
        </w:rPr>
        <w:t xml:space="preserve">TST-13.1.03</w:t>
      </w:r>
      <w:r>
        <w:t xml:space="preserve">’s demand for zero open P0/P1 defects can only be answered</w:t>
      </w:r>
      <w:r>
        <w:t xml:space="preserve"> </w:t>
      </w:r>
      <w:r>
        <w:t xml:space="preserve">“</w:t>
      </w:r>
      <w:r>
        <w:t xml:space="preserve">we believe so</w:t>
      </w:r>
      <w:r>
        <w:t xml:space="preserve">”</w:t>
      </w:r>
      <w:r>
        <w:t xml:space="preserve">. Good is defect ID, found-in item ID, product, severity, found-by test team, environment, status, fix item ID validated against the Master Checklist ID list, retest result and dates, plus a format highlighting any Done row carrying an open defect, triaged daily by the QA Director. About a day; fed by QA leads and the nine test teams, whom</w:t>
      </w:r>
      <w:r>
        <w:t xml:space="preserve"> </w:t>
      </w:r>
      <w:r>
        <w:rPr>
          <w:rStyle w:val="VerbatimChar"/>
        </w:rPr>
        <w:t xml:space="preserve">TST-13.1.02</w:t>
      </w:r>
      <w:r>
        <w:t xml:space="preserve"> </w:t>
      </w:r>
      <w:r>
        <w:t xml:space="preserve">already obliges to 48-hour UAT triage into a register that does not exist.</w:t>
      </w:r>
    </w:p>
    <w:p>
      <w:pPr>
        <w:pStyle w:val="BodyText"/>
      </w:pPr>
      <w:r>
        <w:rPr>
          <w:rStyle w:val="VerbatimChar"/>
          <w:bCs/>
          <w:b/>
        </w:rPr>
        <w:t xml:space="preserve">TestCaseID</w:t>
      </w:r>
      <w:r>
        <w:rPr>
          <w:bCs/>
          <w:b/>
        </w:rPr>
        <w:t xml:space="preserve">,</w:t>
      </w:r>
      <w:r>
        <w:rPr>
          <w:bCs/>
          <w:b/>
        </w:rPr>
        <w:t xml:space="preserve"> </w:t>
      </w:r>
      <w:r>
        <w:rPr>
          <w:rStyle w:val="VerbatimChar"/>
          <w:bCs/>
          <w:b/>
        </w:rPr>
        <w:t xml:space="preserve">Waiver</w:t>
      </w:r>
      <w:r>
        <w:rPr>
          <w:bCs/>
          <w:b/>
        </w:rPr>
        <w:t xml:space="preserve"> </w:t>
      </w:r>
      <w:r>
        <w:rPr>
          <w:bCs/>
          <w:b/>
        </w:rPr>
        <w:t xml:space="preserve">and a named waiver authority (P1).</w:t>
      </w:r>
      <w:r>
        <w:t xml:space="preserve"> </w:t>
      </w:r>
      <w:r>
        <w:t xml:space="preserve">The test case ID ties an item to the script that proves it; the waiver records a decision to ship without that proof, and who took it. Neither column exists, and the estate is lopsided — QA-FUNC carries 152 items against QA-A11Y’s 8 across the whole programme — so when accessibility slips at a gate the pressure to waive is real, there is no field to write it in and nothing to review at Stage 5. Good is</w:t>
      </w:r>
      <w:r>
        <w:t xml:space="preserve"> </w:t>
      </w:r>
      <w:r>
        <w:rPr>
          <w:rStyle w:val="VerbatimChar"/>
        </w:rPr>
        <w:t xml:space="preserve">TestCaseID</w:t>
      </w:r>
      <w:r>
        <w:t xml:space="preserve"> </w:t>
      </w:r>
      <w:r>
        <w:t xml:space="preserve">on all 325 test items and</w:t>
      </w:r>
      <w:r>
        <w:t xml:space="preserve"> </w:t>
      </w:r>
      <w:r>
        <w:rPr>
          <w:rStyle w:val="VerbatimChar"/>
        </w:rPr>
        <w:t xml:space="preserve">Waiver</w:t>
      </w:r>
      <w:r>
        <w:t xml:space="preserve"> </w:t>
      </w:r>
      <w:r>
        <w:t xml:space="preserve">with adjacent approver and date, against an authority named per test section at baseline. Half a day of columns under the QA Director; the authority names come from the Programme Director and the customer.</w:t>
      </w:r>
    </w:p>
    <w:bookmarkEnd w:id="25"/>
    <w:bookmarkStart w:id="26" w:name="d.3-environments-and-stage-gates"/>
    <w:p>
      <w:pPr>
        <w:pStyle w:val="Heading2"/>
      </w:pPr>
      <w:r>
        <w:t xml:space="preserve">D.3 Environments and stage gates</w:t>
      </w:r>
    </w:p>
    <w:p>
      <w:pPr>
        <w:pStyle w:val="FirstParagraph"/>
      </w:pPr>
      <w:r>
        <w:rPr>
          <w:bCs/>
          <w:b/>
        </w:rPr>
        <w:t xml:space="preserve">Environment register (P0).</w:t>
      </w:r>
      <w:r>
        <w:t xml:space="preserve"> </w:t>
      </w:r>
      <w:r>
        <w:t xml:space="preserve">Every place software can run — dev, staging, LMS certification, the zero-egress enclave simulator, the lab edge, production — with owner, readiness date, cost and dependent items; there is none, while 96 items are classed</w:t>
      </w:r>
      <w:r>
        <w:t xml:space="preserve"> </w:t>
      </w:r>
      <w:r>
        <w:rPr>
          <w:rStyle w:val="VerbatimChar"/>
        </w:rPr>
        <w:t xml:space="preserve">Enclave</w:t>
      </w:r>
      <w:r>
        <w:t xml:space="preserve"> </w:t>
      </w:r>
      <w:r>
        <w:t xml:space="preserve">and 64</w:t>
      </w:r>
      <w:r>
        <w:t xml:space="preserve"> </w:t>
      </w:r>
      <w:r>
        <w:rPr>
          <w:rStyle w:val="VerbatimChar"/>
        </w:rPr>
        <w:t xml:space="preserve">On-prem</w:t>
      </w:r>
      <w:r>
        <w:t xml:space="preserve">.</w:t>
      </w:r>
      <w:r>
        <w:t xml:space="preserve"> </w:t>
      </w:r>
      <w:r>
        <w:rPr>
          <w:rStyle w:val="VerbatimChar"/>
        </w:rPr>
        <w:t xml:space="preserve">FND-03.3.02</w:t>
      </w:r>
      <w:r>
        <w:t xml:space="preserve">,</w:t>
      </w:r>
      <w:r>
        <w:t xml:space="preserve"> </w:t>
      </w:r>
      <w:r>
        <w:rPr>
          <w:rStyle w:val="VerbatimChar"/>
        </w:rPr>
        <w:t xml:space="preserve">COR-05.2.02</w:t>
      </w:r>
      <w:r>
        <w:t xml:space="preserve"> </w:t>
      </w:r>
      <w:r>
        <w:t xml:space="preserve">and</w:t>
      </w:r>
      <w:r>
        <w:t xml:space="preserve"> </w:t>
      </w:r>
      <w:r>
        <w:rPr>
          <w:rStyle w:val="VerbatimChar"/>
        </w:rPr>
        <w:t xml:space="preserve">FND-16.2.03</w:t>
      </w:r>
      <w:r>
        <w:t xml:space="preserve"> </w:t>
      </w:r>
      <w:r>
        <w:t xml:space="preserve">— the last of these installing D18 Analytics Dashboard Suite’s Metabase offline — each require installation</w:t>
      </w:r>
      <w:r>
        <w:t xml:space="preserve"> </w:t>
      </w:r>
      <w:r>
        <w:t xml:space="preserve">“</w:t>
      </w:r>
      <w:r>
        <w:t xml:space="preserve">in the zero-egress enclave simulator with zero external calls recorded</w:t>
      </w:r>
      <w:r>
        <w:t xml:space="preserve">”</w:t>
      </w:r>
      <w:r>
        <w:t xml:space="preserve">, split across SQ1 Platform Core and SQ2 Learning Tools, and in Stage 3 both squads discover neither ever owned the simulator, that</w:t>
      </w:r>
      <w:r>
        <w:t xml:space="preserve"> </w:t>
      </w:r>
      <w:r>
        <w:rPr>
          <w:rStyle w:val="VerbatimChar"/>
        </w:rPr>
        <w:t xml:space="preserve">PRG-04.1.03</w:t>
      </w:r>
      <w:r>
        <w:t xml:space="preserve"> </w:t>
      </w:r>
      <w:r>
        <w:t xml:space="preserve">has SQ8 Program &amp; Governance building the enclave-representative acceptance environment in that same stage, and that 96 items were unschedulable from the day they were written. Good is the register plus a lookup from</w:t>
      </w:r>
      <w:r>
        <w:t xml:space="preserve"> </w:t>
      </w:r>
      <w:r>
        <w:rPr>
          <w:rStyle w:val="VerbatimChar"/>
        </w:rPr>
        <w:t xml:space="preserve">DeploymentClass</w:t>
      </w:r>
      <w:r>
        <w:t xml:space="preserve"> </w:t>
      </w:r>
      <w:r>
        <w:t xml:space="preserve">(1,662 All, 96 Enclave, 64 On-prem, 8 Cloud) to named environments, feeding a</w:t>
      </w:r>
      <w:r>
        <w:t xml:space="preserve"> </w:t>
      </w:r>
      <w:r>
        <w:rPr>
          <w:rStyle w:val="VerbatimChar"/>
        </w:rPr>
        <w:t xml:space="preserve">COUNTIFS</w:t>
      </w:r>
      <w:r>
        <w:t xml:space="preserve"> </w:t>
      </w:r>
      <w:r>
        <w:t xml:space="preserve">blocked-item count on Summary, reviewed weekly until green by the DevSecOps lead. About a day; readiness dates and costs from DevSecOps and Finance.</w:t>
      </w:r>
    </w:p>
    <w:p>
      <w:pPr>
        <w:pStyle w:val="BodyText"/>
      </w:pPr>
      <w:r>
        <w:rPr>
          <w:bCs/>
          <w:b/>
        </w:rPr>
        <w:t xml:space="preserve">Stage gates (P0).</w:t>
      </w:r>
      <w:r>
        <w:t xml:space="preserve"> </w:t>
      </w:r>
      <w:r>
        <w:t xml:space="preserve">A short binary checklist deciding whether the programme may leave one stage for the next, with an owner and a date; six stages carry no gate sheet, so the move from Stage 3 (453 items) to Stage 4 (141) is governed by nothing but the sense that Stage 3 looks mostly done. It matters most at D20 → D21, where</w:t>
      </w:r>
      <w:r>
        <w:t xml:space="preserve"> </w:t>
      </w:r>
      <w:r>
        <w:rPr>
          <w:rStyle w:val="VerbatimChar"/>
        </w:rPr>
        <w:t xml:space="preserve">FLD-07.1.01</w:t>
      </w:r>
      <w:r>
        <w:t xml:space="preserve"> </w:t>
      </w:r>
      <w:r>
        <w:t xml:space="preserve">requires Site B built</w:t>
      </w:r>
      <w:r>
        <w:t xml:space="preserve"> </w:t>
      </w:r>
      <w:r>
        <w:t xml:space="preserve">“</w:t>
      </w:r>
      <w:r>
        <w:t xml:space="preserve">strictly from the validated Site A reference design</w:t>
      </w:r>
      <w:r>
        <w:t xml:space="preserve">”</w:t>
      </w:r>
      <w:r>
        <w:t xml:space="preserve"> </w:t>
      </w:r>
      <w:r>
        <w:t xml:space="preserve">— with no gate binding Site A validation to Site B start, replication begins against an unfrozen reference and</w:t>
      </w:r>
      <w:r>
        <w:t xml:space="preserve"> </w:t>
      </w:r>
      <w:r>
        <w:rPr>
          <w:rStyle w:val="VerbatimChar"/>
        </w:rPr>
        <w:t xml:space="preserve">FLD-07.2.03</w:t>
      </w:r>
      <w:r>
        <w:t xml:space="preserve">’s divergence-audit drill becomes a post-mortem instead of a control. Good is entry criteria, binary exit criteria, gate owner, target date, pass/fail, open P0/P1 count pulled from the defect log and an evidence link — including whether QA-SEC’s enclave and tenant-isolation suites have run — assessed once per stage by the PMO Director. About a day; criteria from the QA Director, the architecture lead and the accepting authority.</w:t>
      </w:r>
    </w:p>
    <w:bookmarkEnd w:id="26"/>
    <w:bookmarkStart w:id="27" w:name="Xb7b877542aa2fb2e5afa842a4bc61c360860957"/>
    <w:p>
      <w:pPr>
        <w:pStyle w:val="Heading2"/>
      </w:pPr>
      <w:r>
        <w:t xml:space="preserve">D.4 Governance, change control and reporting</w:t>
      </w:r>
    </w:p>
    <w:p>
      <w:pPr>
        <w:pStyle w:val="FirstParagraph"/>
      </w:pPr>
      <w:r>
        <w:rPr>
          <w:bCs/>
          <w:b/>
        </w:rPr>
        <w:t xml:space="preserve">Change log (P0).</w:t>
      </w:r>
      <w:r>
        <w:t xml:space="preserve"> </w:t>
      </w:r>
      <w:r>
        <w:t xml:space="preserve">Every item added, removed or re-scoped after baseline, with requester, approver, date and baseline impact. Without it, the moment this audit adds India-market items or re-bases D20 and D21 the workbook cannot explain why it grew, and at 1,830 items a fortnight of undocumented additions is undetectable — so any later argument about absorbed unpriced scope becomes a matter of memory. Good is date, change ID, description, affected IDs, requester, approver, before/after and baseline impact, written as the change is made rather than reconstructed. Half a day under the PMO Director, and it must exist before a single fix is applied; approvers are named by the Programme Director.</w:t>
      </w:r>
    </w:p>
    <w:p>
      <w:pPr>
        <w:pStyle w:val="BodyText"/>
      </w:pPr>
      <w:r>
        <w:rPr>
          <w:bCs/>
          <w:b/>
        </w:rPr>
        <w:t xml:space="preserve">Risk and issue register (P1).</w:t>
      </w:r>
      <w:r>
        <w:t xml:space="preserve"> </w:t>
      </w:r>
      <w:r>
        <w:t xml:space="preserve">A live list of what might go wrong, each with owner, response and review date; the architecture review produced one and the workbook does not carry it, so the risks stopped at a document nobody opens. The GPU chain is the clearest loss —</w:t>
      </w:r>
      <w:r>
        <w:t xml:space="preserve"> </w:t>
      </w:r>
      <w:r>
        <w:rPr>
          <w:rStyle w:val="VerbatimChar"/>
        </w:rPr>
        <w:t xml:space="preserve">AIA-02.1.03</w:t>
      </w:r>
      <w:r>
        <w:t xml:space="preserve"> </w:t>
      </w:r>
      <w:r>
        <w:t xml:space="preserve">benchmark,</w:t>
      </w:r>
      <w:r>
        <w:t xml:space="preserve"> </w:t>
      </w:r>
      <w:r>
        <w:rPr>
          <w:rStyle w:val="VerbatimChar"/>
        </w:rPr>
        <w:t xml:space="preserve">AIA-02.1.06</w:t>
      </w:r>
      <w:r>
        <w:t xml:space="preserve"> </w:t>
      </w:r>
      <w:r>
        <w:t xml:space="preserve">sizing memo,</w:t>
      </w:r>
      <w:r>
        <w:t xml:space="preserve"> </w:t>
      </w:r>
      <w:r>
        <w:rPr>
          <w:rStyle w:val="VerbatimChar"/>
        </w:rPr>
        <w:t xml:space="preserve">AIA-11.1.03</w:t>
      </w:r>
      <w:r>
        <w:t xml:space="preserve"> </w:t>
      </w:r>
      <w:r>
        <w:t xml:space="preserve">p95 first-token latency gate and</w:t>
      </w:r>
      <w:r>
        <w:t xml:space="preserve"> </w:t>
      </w:r>
      <w:r>
        <w:rPr>
          <w:rStyle w:val="VerbatimChar"/>
        </w:rPr>
        <w:t xml:space="preserve">AIA-03.2.04</w:t>
      </w:r>
      <w:r>
        <w:t xml:space="preserve"> </w:t>
      </w:r>
      <w:r>
        <w:t xml:space="preserve">Scenario-11 acceptance form one technical bet that four products stand on, reviewed on no cadence because it is nobody’s row. Good is risk ID, owner, probability, impact, response, review date and linked items, reviewed fortnightly and monthly at steering by the Risk Manager. Half a day plus a transcription pass from the review’s register L.</w:t>
      </w:r>
    </w:p>
    <w:p>
      <w:pPr>
        <w:pStyle w:val="BodyText"/>
      </w:pPr>
      <w:r>
        <w:rPr>
          <w:bCs/>
          <w:b/>
        </w:rPr>
        <w:t xml:space="preserve">Weekly snapshot history (P1).</w:t>
      </w:r>
      <w:r>
        <w:t xml:space="preserve"> </w:t>
      </w:r>
      <w:r>
        <w:t xml:space="preserve">A date-stamped record of totals by squad, stage and status so trend can be computed later; the workbook knows only</w:t>
      </w:r>
      <w:r>
        <w:t xml:space="preserve"> </w:t>
      </w:r>
      <w:r>
        <w:t xml:space="preserve">“</w:t>
      </w:r>
      <w:r>
        <w:t xml:space="preserve">now</w:t>
      </w:r>
      <w:r>
        <w:t xml:space="preserve">”</w:t>
      </w:r>
      <w:r>
        <w:t xml:space="preserve">. The first honest answer to</w:t>
      </w:r>
      <w:r>
        <w:t xml:space="preserve"> </w:t>
      </w:r>
      <w:r>
        <w:t xml:space="preserve">“</w:t>
      </w:r>
      <w:r>
        <w:t xml:space="preserve">are we on track</w:t>
      </w:r>
      <w:r>
        <w:t xml:space="preserve">”</w:t>
      </w:r>
      <w:r>
        <w:t xml:space="preserve"> </w:t>
      </w:r>
      <w:r>
        <w:t xml:space="preserve">therefore arrives no earlier than the second snapshot, velocity cannot be derived at all, and with 471 items in Stage 1 alone — 71 of them D18 Analytics Dashboard Suite work — forecasting by feel is not a strategy. Good is one appended row per squad per stage per status each week, never edited, feeding a burn-down. Half a day to build and ten minutes a week to run, owned by the PMO analyst.</w:t>
      </w:r>
    </w:p>
    <w:p>
      <w:pPr>
        <w:pStyle w:val="BodyText"/>
      </w:pPr>
      <w:r>
        <w:rPr>
          <w:bCs/>
          <w:b/>
        </w:rPr>
        <w:t xml:space="preserve">Acceptance and sign-off record (P1).</w:t>
      </w:r>
      <w:r>
        <w:t xml:space="preserve"> </w:t>
      </w:r>
      <w:r>
        <w:t xml:space="preserve">Who accepted what, on what date, against which criteria.</w:t>
      </w:r>
      <w:r>
        <w:t xml:space="preserve"> </w:t>
      </w:r>
      <w:r>
        <w:rPr>
          <w:rStyle w:val="VerbatimChar"/>
        </w:rPr>
        <w:t xml:space="preserve">PRG-04.1.01</w:t>
      </w:r>
      <w:r>
        <w:t xml:space="preserve"> </w:t>
      </w:r>
      <w:r>
        <w:t xml:space="preserve">adopts Section R acceptance criteria for all 30 deliverables and</w:t>
      </w:r>
      <w:r>
        <w:t xml:space="preserve"> </w:t>
      </w:r>
      <w:r>
        <w:rPr>
          <w:rStyle w:val="VerbatimChar"/>
        </w:rPr>
        <w:t xml:space="preserve">PRG-04.1.04</w:t>
      </w:r>
      <w:r>
        <w:t xml:space="preserve"> </w:t>
      </w:r>
      <w:r>
        <w:t xml:space="preserve">names an accept/reject authority, but D29 carries only 10 items and no sheet records an actual acceptance — so final acceptance means assembling evidence for 30 deliverables retrospectively from squads that have moved on. Good is deliverable, criteria reference, evidence bundle link, reviewer, approver, date and waiver notes, filled progressively from Stage 2. Half a day under the Programme Director, fed by product owners and the customer.</w:t>
      </w:r>
    </w:p>
    <w:p>
      <w:pPr>
        <w:pStyle w:val="BodyText"/>
      </w:pPr>
      <w:r>
        <w:rPr>
          <w:bCs/>
          <w:b/>
        </w:rPr>
        <w:t xml:space="preserve">The five missing columns —</w:t>
      </w:r>
      <w:r>
        <w:rPr>
          <w:bCs/>
          <w:b/>
        </w:rPr>
        <w:t xml:space="preserve"> </w:t>
      </w:r>
      <w:r>
        <w:rPr>
          <w:rStyle w:val="VerbatimChar"/>
          <w:bCs/>
          <w:b/>
        </w:rPr>
        <w:t xml:space="preserve">Priority</w:t>
      </w:r>
      <w:r>
        <w:rPr>
          <w:bCs/>
          <w:b/>
        </w:rPr>
        <w:t xml:space="preserve">,</w:t>
      </w:r>
      <w:r>
        <w:rPr>
          <w:bCs/>
          <w:b/>
        </w:rPr>
        <w:t xml:space="preserve"> </w:t>
      </w:r>
      <w:r>
        <w:rPr>
          <w:rStyle w:val="VerbatimChar"/>
          <w:bCs/>
          <w:b/>
        </w:rPr>
        <w:t xml:space="preserve">EvidenceLink</w:t>
      </w:r>
      <w:r>
        <w:rPr>
          <w:bCs/>
          <w:b/>
        </w:rPr>
        <w:t xml:space="preserve">,</w:t>
      </w:r>
      <w:r>
        <w:rPr>
          <w:bCs/>
          <w:b/>
        </w:rPr>
        <w:t xml:space="preserve"> </w:t>
      </w:r>
      <w:r>
        <w:rPr>
          <w:rStyle w:val="VerbatimChar"/>
          <w:bCs/>
          <w:b/>
        </w:rPr>
        <w:t xml:space="preserve">TestCaseID</w:t>
      </w:r>
      <w:r>
        <w:rPr>
          <w:bCs/>
          <w:b/>
        </w:rPr>
        <w:t xml:space="preserve">,</w:t>
      </w:r>
      <w:r>
        <w:rPr>
          <w:bCs/>
          <w:b/>
        </w:rPr>
        <w:t xml:space="preserve"> </w:t>
      </w:r>
      <w:r>
        <w:rPr>
          <w:rStyle w:val="VerbatimChar"/>
          <w:bCs/>
          <w:b/>
        </w:rPr>
        <w:t xml:space="preserve">Waiver</w:t>
      </w:r>
      <w:r>
        <w:rPr>
          <w:bCs/>
          <w:b/>
        </w:rPr>
        <w:t xml:space="preserve">,</w:t>
      </w:r>
      <w:r>
        <w:rPr>
          <w:bCs/>
          <w:b/>
        </w:rPr>
        <w:t xml:space="preserve"> </w:t>
      </w:r>
      <w:r>
        <w:rPr>
          <w:rStyle w:val="VerbatimChar"/>
          <w:bCs/>
          <w:b/>
        </w:rPr>
        <w:t xml:space="preserve">LastUpdated</w:t>
      </w:r>
      <w:r>
        <w:rPr>
          <w:bCs/>
          <w:b/>
        </w:rPr>
        <w:t xml:space="preserve"> </w:t>
      </w:r>
      <w:r>
        <w:rPr>
          <w:bCs/>
          <w:b/>
        </w:rPr>
        <w:t xml:space="preserve">(P1).</w:t>
      </w:r>
      <w:r>
        <w:t xml:space="preserve"> </w:t>
      </w:r>
      <w:r>
        <w:t xml:space="preserve">The fields that let 1,830 rows be triaged, traced and trusted. Without</w:t>
      </w:r>
      <w:r>
        <w:t xml:space="preserve"> </w:t>
      </w:r>
      <w:r>
        <w:rPr>
          <w:rStyle w:val="VerbatimChar"/>
        </w:rPr>
        <w:t xml:space="preserve">Priority</w:t>
      </w:r>
      <w:r>
        <w:t xml:space="preserve"> </w:t>
      </w:r>
      <w:r>
        <w:t xml:space="preserve">nothing says which of SQ2 Learning Tools’ 335 items matter most in a short sprint; without</w:t>
      </w:r>
      <w:r>
        <w:t xml:space="preserve"> </w:t>
      </w:r>
      <w:r>
        <w:rPr>
          <w:rStyle w:val="VerbatimChar"/>
        </w:rPr>
        <w:t xml:space="preserve">EvidenceLink</w:t>
      </w:r>
      <w:r>
        <w:t xml:space="preserve"> </w:t>
      </w:r>
      <w:r>
        <w:t xml:space="preserve">the</w:t>
      </w:r>
      <w:r>
        <w:t xml:space="preserve"> </w:t>
      </w:r>
      <w:r>
        <w:rPr>
          <w:rStyle w:val="VerbatimChar"/>
        </w:rPr>
        <w:t xml:space="preserve">Evidence</w:t>
      </w:r>
      <w:r>
        <w:t xml:space="preserve"> </w:t>
      </w:r>
      <w:r>
        <w:t xml:space="preserve">column names an artefact but never points at it, so a gate reviewer hunts; without</w:t>
      </w:r>
      <w:r>
        <w:t xml:space="preserve"> </w:t>
      </w:r>
      <w:r>
        <w:rPr>
          <w:rStyle w:val="VerbatimChar"/>
        </w:rPr>
        <w:t xml:space="preserve">LastUpdated</w:t>
      </w:r>
      <w:r>
        <w:t xml:space="preserve"> </w:t>
      </w:r>
      <w:r>
        <w:t xml:space="preserve">a row marked In progress six weeks ago is indistinguishable from one touched this morning. Good is all five appended right of</w:t>
      </w:r>
      <w:r>
        <w:t xml:space="preserve"> </w:t>
      </w:r>
      <w:r>
        <w:rPr>
          <w:rStyle w:val="VerbatimChar"/>
        </w:rPr>
        <w:t xml:space="preserve">Status</w:t>
      </w:r>
      <w:r>
        <w:t xml:space="preserve">, never reordering existing columns, with</w:t>
      </w:r>
      <w:r>
        <w:t xml:space="preserve"> </w:t>
      </w:r>
      <w:r>
        <w:rPr>
          <w:rStyle w:val="VerbatimChar"/>
        </w:rPr>
        <w:t xml:space="preserve">Priority</w:t>
      </w:r>
      <w:r>
        <w:t xml:space="preserve"> </w:t>
      </w:r>
      <w:r>
        <w:t xml:space="preserve">validated P0–P3. Half a day to add; one fill pass per stage across squad leads, who also maintain</w:t>
      </w:r>
      <w:r>
        <w:t xml:space="preserve"> </w:t>
      </w:r>
      <w:r>
        <w:rPr>
          <w:rStyle w:val="VerbatimChar"/>
        </w:rPr>
        <w:t xml:space="preserve">LastUpdated</w:t>
      </w:r>
      <w:r>
        <w:t xml:space="preserve">.</w:t>
      </w:r>
    </w:p>
    <w:p>
      <w:pPr>
        <w:pStyle w:val="BodyText"/>
      </w:pPr>
      <w:r>
        <w:rPr>
          <w:bCs/>
          <w:b/>
        </w:rPr>
        <w:t xml:space="preserve">Control layer: validation, conditional formatting, protection, named ranges (P1).</w:t>
      </w:r>
      <w:r>
        <w:t xml:space="preserve"> </w:t>
      </w:r>
      <w:r>
        <w:t xml:space="preserve">The guardrails that stop a 1,830-row shared file degrading into free text; only</w:t>
      </w:r>
      <w:r>
        <w:t xml:space="preserve"> </w:t>
      </w:r>
      <w:r>
        <w:rPr>
          <w:rStyle w:val="VerbatimChar"/>
        </w:rPr>
        <w:t xml:space="preserve">Status</w:t>
      </w:r>
      <w:r>
        <w:t xml:space="preserve"> </w:t>
      </w:r>
      <w:r>
        <w:t xml:space="preserve">carries validation and there is no conditional formatting, cell protection or named range anywhere. Within a month of multi-editor use</w:t>
      </w:r>
      <w:r>
        <w:t xml:space="preserve"> </w:t>
      </w:r>
      <w:r>
        <w:rPr>
          <w:rStyle w:val="VerbatimChar"/>
        </w:rPr>
        <w:t xml:space="preserve">Squad</w:t>
      </w:r>
      <w:r>
        <w:t xml:space="preserve"> </w:t>
      </w:r>
      <w:r>
        <w:t xml:space="preserve">will hold</w:t>
      </w:r>
      <w:r>
        <w:t xml:space="preserve"> </w:t>
      </w:r>
      <w:r>
        <w:t xml:space="preserve">“</w:t>
      </w:r>
      <w:r>
        <w:t xml:space="preserve">SQ4</w:t>
      </w:r>
      <w:r>
        <w:t xml:space="preserve">”</w:t>
      </w:r>
      <w:r>
        <w:t xml:space="preserve">,</w:t>
      </w:r>
      <w:r>
        <w:t xml:space="preserve"> </w:t>
      </w:r>
      <w:r>
        <w:t xml:space="preserve">“</w:t>
      </w:r>
      <w:r>
        <w:t xml:space="preserve">SQ4 TLA</w:t>
      </w:r>
      <w:r>
        <w:t xml:space="preserve">”</w:t>
      </w:r>
      <w:r>
        <w:t xml:space="preserve"> </w:t>
      </w:r>
      <w:r>
        <w:t xml:space="preserve">and</w:t>
      </w:r>
      <w:r>
        <w:t xml:space="preserve"> </w:t>
      </w:r>
      <w:r>
        <w:t xml:space="preserve">“</w:t>
      </w:r>
      <w:r>
        <w:t xml:space="preserve">TLA &amp; Federation</w:t>
      </w:r>
      <w:r>
        <w:t xml:space="preserve">”</w:t>
      </w:r>
      <w:r>
        <w:t xml:space="preserve">, and every</w:t>
      </w:r>
      <w:r>
        <w:t xml:space="preserve"> </w:t>
      </w:r>
      <w:r>
        <w:rPr>
          <w:rStyle w:val="VerbatimChar"/>
        </w:rPr>
        <w:t xml:space="preserve">COUNTIFS</w:t>
      </w:r>
      <w:r>
        <w:t xml:space="preserve"> </w:t>
      </w:r>
      <w:r>
        <w:t xml:space="preserve">rollup in the workbook will quietly under-count. Good is dropdowns on</w:t>
      </w:r>
      <w:r>
        <w:t xml:space="preserve"> </w:t>
      </w:r>
      <w:r>
        <w:rPr>
          <w:rStyle w:val="VerbatimChar"/>
        </w:rPr>
        <w:t xml:space="preserve">Squad</w:t>
      </w:r>
      <w:r>
        <w:t xml:space="preserve">,</w:t>
      </w:r>
      <w:r>
        <w:t xml:space="preserve"> </w:t>
      </w:r>
      <w:r>
        <w:rPr>
          <w:rStyle w:val="VerbatimChar"/>
        </w:rPr>
        <w:t xml:space="preserve">OwnerRole</w:t>
      </w:r>
      <w:r>
        <w:t xml:space="preserve">,</w:t>
      </w:r>
      <w:r>
        <w:t xml:space="preserve"> </w:t>
      </w:r>
      <w:r>
        <w:rPr>
          <w:rStyle w:val="VerbatimChar"/>
        </w:rPr>
        <w:t xml:space="preserve">TestTeam</w:t>
      </w:r>
      <w:r>
        <w:t xml:space="preserve">,</w:t>
      </w:r>
      <w:r>
        <w:t xml:space="preserve"> </w:t>
      </w:r>
      <w:r>
        <w:rPr>
          <w:rStyle w:val="VerbatimChar"/>
        </w:rPr>
        <w:t xml:space="preserve">DeploymentClass</w:t>
      </w:r>
      <w:r>
        <w:t xml:space="preserve">,</w:t>
      </w:r>
      <w:r>
        <w:t xml:space="preserve"> </w:t>
      </w:r>
      <w:r>
        <w:rPr>
          <w:rStyle w:val="VerbatimChar"/>
        </w:rPr>
        <w:t xml:space="preserve">Stage</w:t>
      </w:r>
      <w:r>
        <w:t xml:space="preserve">,</w:t>
      </w:r>
      <w:r>
        <w:t xml:space="preserve"> </w:t>
      </w:r>
      <w:r>
        <w:rPr>
          <w:rStyle w:val="VerbatimChar"/>
        </w:rPr>
        <w:t xml:space="preserve">WorkType</w:t>
      </w:r>
      <w:r>
        <w:t xml:space="preserve"> </w:t>
      </w:r>
      <w:r>
        <w:t xml:space="preserve">and</w:t>
      </w:r>
      <w:r>
        <w:t xml:space="preserve"> </w:t>
      </w:r>
      <w:r>
        <w:rPr>
          <w:rStyle w:val="VerbatimChar"/>
        </w:rPr>
        <w:t xml:space="preserve">Priority</w:t>
      </w:r>
      <w:r>
        <w:t xml:space="preserve"> </w:t>
      </w:r>
      <w:r>
        <w:t xml:space="preserve">driven by named ranges; red Blocked, green Done, amber overdue-against-sprint, highlight on unassigned Stage 0–1 work; protection on</w:t>
      </w:r>
      <w:r>
        <w:t xml:space="preserve"> </w:t>
      </w:r>
      <w:r>
        <w:rPr>
          <w:rStyle w:val="VerbatimChar"/>
        </w:rPr>
        <w:t xml:space="preserve">ID</w:t>
      </w:r>
      <w:r>
        <w:t xml:space="preserve"> </w:t>
      </w:r>
      <w:r>
        <w:t xml:space="preserve">and every formula cell. About a day for the Delivery-Systems Engineer, self-maintaining after.</w:t>
      </w:r>
    </w:p>
    <w:bookmarkEnd w:id="27"/>
    <w:bookmarkStart w:id="28" w:name="d.5-cost-and-procurement"/>
    <w:p>
      <w:pPr>
        <w:pStyle w:val="Heading2"/>
      </w:pPr>
      <w:r>
        <w:t xml:space="preserve">D.5 Cost and procurement</w:t>
      </w:r>
    </w:p>
    <w:p>
      <w:pPr>
        <w:pStyle w:val="FirstParagraph"/>
      </w:pPr>
      <w:r>
        <w:rPr>
          <w:bCs/>
          <w:b/>
        </w:rPr>
        <w:t xml:space="preserve">Procurement and long-lead register (P0).</w:t>
      </w:r>
      <w:r>
        <w:t xml:space="preserve"> </w:t>
      </w:r>
      <w:r>
        <w:t xml:space="preserve">What must be bought, when it must be ordered to arrive in time, and who orders it; exactly one item in 1,830 mentions procurement —</w:t>
      </w:r>
      <w:r>
        <w:t xml:space="preserve"> </w:t>
      </w:r>
      <w:r>
        <w:rPr>
          <w:rStyle w:val="VerbatimChar"/>
        </w:rPr>
        <w:t xml:space="preserve">AIA-02.1.07</w:t>
      </w:r>
      <w:r>
        <w:t xml:space="preserve">, which hands a GPU order deadline to programme management and is never referenced again. So the purchase order is raised after the AI slice has started because no register carried the order-by date, the appliance lands weeks late,</w:t>
      </w:r>
      <w:r>
        <w:t xml:space="preserve"> </w:t>
      </w:r>
      <w:r>
        <w:rPr>
          <w:rStyle w:val="VerbatimChar"/>
        </w:rPr>
        <w:t xml:space="preserve">AIA-11.1.03</w:t>
      </w:r>
      <w:r>
        <w:t xml:space="preserve">,</w:t>
      </w:r>
      <w:r>
        <w:t xml:space="preserve"> </w:t>
      </w:r>
      <w:r>
        <w:rPr>
          <w:rStyle w:val="VerbatimChar"/>
        </w:rPr>
        <w:t xml:space="preserve">AIA-03.2.04</w:t>
      </w:r>
      <w:r>
        <w:t xml:space="preserve">,</w:t>
      </w:r>
      <w:r>
        <w:t xml:space="preserve"> </w:t>
      </w:r>
      <w:r>
        <w:rPr>
          <w:rStyle w:val="VerbatimChar"/>
        </w:rPr>
        <w:t xml:space="preserve">TST-39.2.01</w:t>
      </w:r>
      <w:r>
        <w:t xml:space="preserve"> </w:t>
      </w:r>
      <w:r>
        <w:t xml:space="preserve">and</w:t>
      </w:r>
      <w:r>
        <w:t xml:space="preserve"> </w:t>
      </w:r>
      <w:r>
        <w:rPr>
          <w:rStyle w:val="VerbatimChar"/>
        </w:rPr>
        <w:t xml:space="preserve">TST-39.2.05</w:t>
      </w:r>
      <w:r>
        <w:t xml:space="preserve"> </w:t>
      </w:r>
      <w:r>
        <w:t xml:space="preserve">all sit in Stage 3 with nothing to run on, and SQ5’s 172 Stage 3 items stall behind a form nobody owned. The same shape threatens D20’s headset fleet, whose count exists only inside</w:t>
      </w:r>
      <w:r>
        <w:t xml:space="preserve"> </w:t>
      </w:r>
      <w:r>
        <w:rPr>
          <w:rStyle w:val="VerbatimChar"/>
        </w:rPr>
        <w:t xml:space="preserve">FLD-04.1.02</w:t>
      </w:r>
      <w:r>
        <w:t xml:space="preserve">. Good is item, product, quantity, unit cost in INR, lead time, order-by date derived from the stage of need, customs and duty allowance, vendor and status, reviewed monthly by the Procurement and Vendor Manager. A day; costs and lead times come from Procurement and Finance and are never invented.</w:t>
      </w:r>
    </w:p>
    <w:p>
      <w:pPr>
        <w:pStyle w:val="BodyText"/>
      </w:pPr>
      <w:r>
        <w:rPr>
          <w:bCs/>
          <w:b/>
        </w:rPr>
        <w:t xml:space="preserve">Cost model per deliverable in INR (P1).</w:t>
      </w:r>
      <w:r>
        <w:t xml:space="preserve"> </w:t>
      </w:r>
      <w:r>
        <w:t xml:space="preserve">Money attached to work: GPU and headset capex, lab build, licences, effort cost per squad, cost of delay. There is no financial dimension anywhere in the workbook, so</w:t>
      </w:r>
      <w:r>
        <w:t xml:space="preserve"> </w:t>
      </w:r>
      <w:r>
        <w:t xml:space="preserve">“</w:t>
      </w:r>
      <w:r>
        <w:t xml:space="preserve">what does D20 Immersive Lab cost?</w:t>
      </w:r>
      <w:r>
        <w:t xml:space="preserve">”</w:t>
      </w:r>
      <w:r>
        <w:t xml:space="preserve"> </w:t>
      </w:r>
      <w:r>
        <w:t xml:space="preserve">— the question a customer asks before signing — has no answer, and neither does</w:t>
      </w:r>
      <w:r>
        <w:t xml:space="preserve"> </w:t>
      </w:r>
      <w:r>
        <w:t xml:space="preserve">“</w:t>
      </w:r>
      <w:r>
        <w:t xml:space="preserve">what do SQ7’s 181 items cost in people?</w:t>
      </w:r>
      <w:r>
        <w:t xml:space="preserve">”</w:t>
      </w:r>
      <w:r>
        <w:t xml:space="preserve">. Good is INR cost columns on the procurement sheet, an effort rate per squad on the capacity plan and a per-deliverable</w:t>
      </w:r>
      <w:r>
        <w:t xml:space="preserve"> </w:t>
      </w:r>
      <w:r>
        <w:rPr>
          <w:rStyle w:val="VerbatimChar"/>
        </w:rPr>
        <w:t xml:space="preserve">SUMIFS</w:t>
      </w:r>
      <w:r>
        <w:t xml:space="preserve"> </w:t>
      </w:r>
      <w:r>
        <w:t xml:space="preserve">rollup on Summary, every figure</w:t>
      </w:r>
      <w:r>
        <w:t xml:space="preserve"> </w:t>
      </w:r>
      <w:r>
        <w:rPr>
          <w:rStyle w:val="VerbatimChar"/>
        </w:rPr>
        <w:t xml:space="preserve">PROVISIONAL:</w:t>
      </w:r>
      <w:r>
        <w:t xml:space="preserve"> </w:t>
      </w:r>
      <w:r>
        <w:t xml:space="preserve">until ratified and refreshed at each gate. A day of structure; the numbers are the Finance Business Partner’s alone.</w:t>
      </w:r>
    </w:p>
    <w:p>
      <w:pPr>
        <w:pStyle w:val="BodyText"/>
      </w:pPr>
      <w:r>
        <w:rPr>
          <w:bCs/>
          <w:b/>
        </w:rPr>
        <w:t xml:space="preserve">Customs, GST, interstate logistics and AMC (P1).</w:t>
      </w:r>
      <w:r>
        <w:t xml:space="preserve"> </w:t>
      </w:r>
      <w:r>
        <w:t xml:space="preserve">The specifically Indian friction between a purchase order and working equipment: import duty and clearance time on headsets and GPU servers, GST treatment, interstate hardware movement, and a maintenance contract with a stated mean time to repair. There are zero occurrences of GST or customs in the workbook, so the lab plan implicitly assumes hardware arrives the week it is ordered — and a consignment held at customs while D20’s Stage 4 acceptance is already scheduled (</w:t>
      </w:r>
      <w:r>
        <w:rPr>
          <w:rStyle w:val="VerbatimChar"/>
        </w:rPr>
        <w:t xml:space="preserve">FLD-06.1.04</w:t>
      </w:r>
      <w:r>
        <w:t xml:space="preserve">’s thirty-headset offline drill,</w:t>
      </w:r>
      <w:r>
        <w:t xml:space="preserve"> </w:t>
      </w:r>
      <w:r>
        <w:rPr>
          <w:rStyle w:val="VerbatimChar"/>
        </w:rPr>
        <w:t xml:space="preserve">TST-46.2.02</w:t>
      </w:r>
      <w:r>
        <w:t xml:space="preserve">’s ten-headset re-image) turns paperwork into a stage slip with a customer watching. Good is duty and clearance allowance columns, logistics lead time held separately from manufacturing lead time, and a named AMC vendor per site with an MTTR commitment. A few hours of columns; fed by Procurement with the India Market Delivery Lead.</w:t>
      </w:r>
    </w:p>
    <w:bookmarkEnd w:id="28"/>
    <w:bookmarkStart w:id="29" w:name="d.6-people-ownership-and-skills"/>
    <w:p>
      <w:pPr>
        <w:pStyle w:val="Heading2"/>
      </w:pPr>
      <w:r>
        <w:t xml:space="preserve">D.6 People, ownership and skills</w:t>
      </w:r>
    </w:p>
    <w:p>
      <w:pPr>
        <w:pStyle w:val="FirstParagraph"/>
      </w:pPr>
      <w:r>
        <w:rPr>
          <w:bCs/>
          <w:b/>
        </w:rPr>
        <w:t xml:space="preserve">Assignee and named ownership (P0).</w:t>
      </w:r>
      <w:r>
        <w:t xml:space="preserve"> </w:t>
      </w:r>
      <w:r>
        <w:t xml:space="preserve">The person accountable for an item; the column exists and is blank in all 1,830 rows, so no squad lead can open this file on a Monday and tell anyone what they are doing. It is not a late-stage problem — 276 Stage 0 and 471 Stage 1 items, the contract and foundation work everything stands on, are unowned, and</w:t>
      </w:r>
      <w:r>
        <w:t xml:space="preserve"> </w:t>
      </w:r>
      <w:r>
        <w:rPr>
          <w:rStyle w:val="VerbatimChar"/>
        </w:rPr>
        <w:t xml:space="preserve">OwnerRole</w:t>
      </w:r>
      <w:r>
        <w:t xml:space="preserve"> </w:t>
      </w:r>
      <w:r>
        <w:t xml:space="preserve">(QA Lead on 262 items, Backend Engineer on 238) names a job description, not a human who can be asked. Good is</w:t>
      </w:r>
      <w:r>
        <w:t xml:space="preserve"> </w:t>
      </w:r>
      <w:r>
        <w:rPr>
          <w:rStyle w:val="VerbatimChar"/>
        </w:rPr>
        <w:t xml:space="preserve">Assignee</w:t>
      </w:r>
      <w:r>
        <w:t xml:space="preserve"> </w:t>
      </w:r>
      <w:r>
        <w:t xml:space="preserve">populated for every Stage 0–1 item before the first sprint, validated against the capacity plan’s person list, unassigned early-stage rows highlighted, and the nine squad and test-team leads named once each. Structurally trivial; entirely a human-input blocker on the Resource Manager.</w:t>
      </w:r>
    </w:p>
    <w:p>
      <w:pPr>
        <w:pStyle w:val="BodyText"/>
      </w:pPr>
      <w:r>
        <w:rPr>
          <w:bCs/>
          <w:b/>
        </w:rPr>
        <w:t xml:space="preserve">Skills matrix and bus factor (P1).</w:t>
      </w:r>
      <w:r>
        <w:t xml:space="preserve"> </w:t>
      </w:r>
      <w:r>
        <w:t xml:space="preserve">People against capabilities, whose real purpose is to reveal where only one person can do something. EdVidura needs LTI 1.3, xAPI and LRS, Metabase, PostgreSQL row-level security, vLLM and model operations, XR and Unity, React Native, Indic NLP, accessibility, security and instructional design — and several are visibly thin: 30 items carry Mobile/XR Engineer, 16 carry Accessibility Specialist across four squads, 13 carry SME Lead. If the one engineer who understands the enclave-mode Keycloak build leaves in Stage 2, the workbook gives no warning and names no successor. Good is person × capability at a 0–3 scale with a bus-factor flag firing when a capability has fewer than two people at 2 or above, reviewed at each stage gate. Half a day for the Resource Manager, fed by squad leads.</w:t>
      </w:r>
    </w:p>
    <w:p>
      <w:pPr>
        <w:pStyle w:val="BodyText"/>
      </w:pPr>
      <w:r>
        <w:rPr>
          <w:bCs/>
          <w:b/>
        </w:rPr>
        <w:t xml:space="preserve">Ramp plan and hiring curve (P1).</w:t>
      </w:r>
      <w:r>
        <w:t xml:space="preserve"> </w:t>
      </w:r>
      <w:r>
        <w:t xml:space="preserve">How many people of each role must be present in each stage, so hiring starts early enough. SQ7 goes from zero Stage 1 items to 61 in Stage 3 and 80 in Stage 4 while SQ1 front-loads 199 into Stage 1 and drops to 12 by Stage 3, so a programme reading only the item list hires the platform team, watches it idle, and starts recruiting XR and site engineers the month they are needed. Good is FTE per role per stage derived from</w:t>
      </w:r>
      <w:r>
        <w:t xml:space="preserve"> </w:t>
      </w:r>
      <w:r>
        <w:rPr>
          <w:rStyle w:val="VerbatimChar"/>
        </w:rPr>
        <w:t xml:space="preserve">EstDays</w:t>
      </w:r>
      <w:r>
        <w:t xml:space="preserve"> </w:t>
      </w:r>
      <w:r>
        <w:t xml:space="preserve">at a</w:t>
      </w:r>
      <w:r>
        <w:t xml:space="preserve"> </w:t>
      </w:r>
      <w:r>
        <w:rPr>
          <w:rStyle w:val="VerbatimChar"/>
        </w:rPr>
        <w:t xml:space="preserve">PROVISIONAL:</w:t>
      </w:r>
      <w:r>
        <w:t xml:space="preserve"> </w:t>
      </w:r>
      <w:r>
        <w:t xml:space="preserve">productivity assumption, with arrival and departure dates and lead-time-adjusted recruitment starts. Half a day for the Resource Manager with HR — strictly downstream of estimation.</w:t>
      </w:r>
    </w:p>
    <w:p>
      <w:pPr>
        <w:pStyle w:val="BodyText"/>
      </w:pPr>
      <w:r>
        <w:rPr>
          <w:bCs/>
          <w:b/>
        </w:rPr>
        <w:t xml:space="preserve">SME and instructional-review supply (P1).</w:t>
      </w:r>
      <w:r>
        <w:t xml:space="preserve"> </w:t>
      </w:r>
      <w:r>
        <w:t xml:space="preserve">The subject-matter-expert and reviewer hours the content programme silently assumes. The demand side is written —</w:t>
      </w:r>
      <w:r>
        <w:t xml:space="preserve"> </w:t>
      </w:r>
      <w:r>
        <w:rPr>
          <w:rStyle w:val="VerbatimChar"/>
        </w:rPr>
        <w:t xml:space="preserve">PRG-03.1.01</w:t>
      </w:r>
      <w:r>
        <w:t xml:space="preserve"> </w:t>
      </w:r>
      <w:r>
        <w:t xml:space="preserve">drafts an SME demand model in hours per manual digitised, lesson authored and item reviewed,</w:t>
      </w:r>
      <w:r>
        <w:t xml:space="preserve"> </w:t>
      </w:r>
      <w:r>
        <w:rPr>
          <w:rStyle w:val="VerbatimChar"/>
        </w:rPr>
        <w:t xml:space="preserve">PRG-03.1.02</w:t>
      </w:r>
      <w:r>
        <w:t xml:space="preserve"> </w:t>
      </w:r>
      <w:r>
        <w:t xml:space="preserve">requires a staffing plan against it — but both sit in D27 at Stage 2, while D12’s 61 Stage 2 conversion items and D11’s authoring work — SQ6 Content &amp; Authoring’s 98 Stage 2 items between them — consume that same SME time in that same stage, so the pipeline runs at the speed of a reviewer nobody rostered. Good is SME hours as a resource line in the capacity plan, fed by the D27 demand model, with per-sprint reviewer availability. A few hours of columns for the SME Programme Manager once the capacity plan exists.</w:t>
      </w:r>
    </w:p>
    <w:p>
      <w:pPr>
        <w:pStyle w:val="BodyText"/>
      </w:pPr>
      <w:r>
        <w:rPr>
          <w:bCs/>
          <w:b/>
        </w:rPr>
        <w:t xml:space="preserve">Joiner onboarding (P2).</w:t>
      </w:r>
      <w:r>
        <w:t xml:space="preserve"> </w:t>
      </w:r>
      <w:r>
        <w:t xml:space="preserve">The work of making a new person productive: access, environments, orientation, vocabulary. A programme of 1,830 items across six stages will hire during delivery and no onboarding work exists anywhere, so every joiner’s first fortnight is drawn silently from a squad lead’s capacity. Good is a small standing item group per squad — access request, environment provisioning, first-week reading, buddy assignment — plus the</w:t>
      </w:r>
      <w:r>
        <w:t xml:space="preserve"> </w:t>
      </w:r>
      <w:r>
        <w:t xml:space="preserve">“</w:t>
      </w:r>
      <w:r>
        <w:t xml:space="preserve">first week with this workbook</w:t>
      </w:r>
      <w:r>
        <w:t xml:space="preserve">”</w:t>
      </w:r>
      <w:r>
        <w:t xml:space="preserve"> </w:t>
      </w:r>
      <w:r>
        <w:t xml:space="preserve">page on the guide sheet. A couple of hours, written and owned by the squad lead.</w:t>
      </w:r>
    </w:p>
    <w:bookmarkEnd w:id="29"/>
    <w:bookmarkStart w:id="30" w:name="d.7-market-fit-and-compliance-india"/>
    <w:p>
      <w:pPr>
        <w:pStyle w:val="Heading2"/>
      </w:pPr>
      <w:r>
        <w:t xml:space="preserve">D.7 Market fit and compliance (India)</w:t>
      </w:r>
    </w:p>
    <w:p>
      <w:pPr>
        <w:pStyle w:val="FirstParagraph"/>
      </w:pPr>
      <w:r>
        <w:rPr>
          <w:bCs/>
          <w:b/>
        </w:rPr>
        <w:t xml:space="preserve">Foreign-programme naming (P0).</w:t>
      </w:r>
      <w:r>
        <w:t xml:space="preserve"> </w:t>
      </w:r>
      <w:r>
        <w:t xml:space="preserve">The workbook still describes another country’s programme: D03 is</w:t>
      </w:r>
      <w:r>
        <w:t xml:space="preserve"> </w:t>
      </w:r>
      <w:r>
        <w:t xml:space="preserve">“</w:t>
      </w:r>
      <w:r>
        <w:t xml:space="preserve">ATO Initiation — AFGSC</w:t>
      </w:r>
      <w:r>
        <w:t xml:space="preserve">”</w:t>
      </w:r>
      <w:r>
        <w:t xml:space="preserve">, D20 is</w:t>
      </w:r>
      <w:r>
        <w:t xml:space="preserve"> </w:t>
      </w:r>
      <w:r>
        <w:t xml:space="preserve">“</w:t>
      </w:r>
      <w:r>
        <w:t xml:space="preserve">Hardware Immersive Labs — Site A (Barksdale AFB)</w:t>
      </w:r>
      <w:r>
        <w:t xml:space="preserve">”</w:t>
      </w:r>
      <w:r>
        <w:t xml:space="preserve">, D21 is</w:t>
      </w:r>
      <w:r>
        <w:t xml:space="preserve"> </w:t>
      </w:r>
      <w:r>
        <w:t xml:space="preserve">“</w:t>
      </w:r>
      <w:r>
        <w:t xml:space="preserve">Site B (Minot AFB)</w:t>
      </w:r>
      <w:r>
        <w:t xml:space="preserve">”</w:t>
      </w:r>
      <w:r>
        <w:t xml:space="preserve">, D17 is the</w:t>
      </w:r>
      <w:r>
        <w:t xml:space="preserve"> </w:t>
      </w:r>
      <w:r>
        <w:t xml:space="preserve">“</w:t>
      </w:r>
      <w:r>
        <w:t xml:space="preserve">Cross-Command Data Pipeline</w:t>
      </w:r>
      <w:r>
        <w:t xml:space="preserve">”</w:t>
      </w:r>
      <w:r>
        <w:t xml:space="preserve">, and there are zero occurrences of the word India in 1,830 rows. The failure is commercial and immediate: an ITI principal or plant training head reading the deliverable list sees a US Air Force base, concludes correctly that the plan was written for someone else, and every acceptance conversation starts from a deficit. Good is D20 re-based as Immersive Lab — Reference Site (India), D21 as Replication Site (India) with the no-replication-before-validation gate preserved, D03 as a market-neutral Security Accreditation and Authorisation to Operate — Initiation with the authority left to the Human-Input Register, and D17 as Cross-Organisation / Cross-Command Data Pipeline — every ID kept, every before → after in the change log. A couple of hours plus a Decision Register entry; drafted by the India Market Delivery Lead, approved by the Programme Director because it changes programme meaning.</w:t>
      </w:r>
    </w:p>
    <w:p>
      <w:pPr>
        <w:pStyle w:val="BodyText"/>
      </w:pPr>
      <w:r>
        <w:rPr>
          <w:bCs/>
          <w:b/>
        </w:rPr>
        <w:t xml:space="preserve">Indian competency frameworks (P1).</w:t>
      </w:r>
      <w:r>
        <w:t xml:space="preserve"> </w:t>
      </w:r>
      <w:r>
        <w:t xml:space="preserve">The national vocabulary a qualification is expressed in. D08 TLA Competency-Registry is built framework-agnostically —</w:t>
      </w:r>
      <w:r>
        <w:t xml:space="preserve"> </w:t>
      </w:r>
      <w:r>
        <w:rPr>
          <w:rStyle w:val="VerbatimChar"/>
        </w:rPr>
        <w:t xml:space="preserve">TLA-01.1.02</w:t>
      </w:r>
      <w:r>
        <w:t xml:space="preserve"> </w:t>
      </w:r>
      <w:r>
        <w:t xml:space="preserve">mandates language-neutral competency IDs,</w:t>
      </w:r>
      <w:r>
        <w:t xml:space="preserve"> </w:t>
      </w:r>
      <w:r>
        <w:rPr>
          <w:rStyle w:val="VerbatimChar"/>
        </w:rPr>
        <w:t xml:space="preserve">TLA-01.2.03</w:t>
      </w:r>
      <w:r>
        <w:t xml:space="preserve"> </w:t>
      </w:r>
      <w:r>
        <w:t xml:space="preserve">handles version migration and crosswalks — but there are zero occurrences of NSQF or NCVET, so no Indian fixture is scheduled to be loaded, and the day a skilling-institute customer asks for a learner’s NSQF level the registry is technically capable and practically empty, with crosswalk work that belonged in Stage 2 becoming emergency scope in Stage 4. Good is item groups to evaluate and load NSQF levels and NCVET-recognised qualification packs, sector skill council job roles and NEP-aligned credit frameworks, plus a crosswalk to any enterprise or defence framework. A small item group in D08 for the India Market Delivery Lead with the Instructional Design Lead; framework selection is a customer-facing decision.</w:t>
      </w:r>
    </w:p>
    <w:p>
      <w:pPr>
        <w:pStyle w:val="BodyText"/>
      </w:pPr>
      <w:r>
        <w:rPr>
          <w:bCs/>
          <w:b/>
        </w:rPr>
        <w:t xml:space="preserve">Language tier matrix (P1).</w:t>
      </w:r>
      <w:r>
        <w:t xml:space="preserve"> </w:t>
      </w:r>
      <w:r>
        <w:t xml:space="preserve">The decision fixing which languages are supported at which depth — UI, content, AI interaction, assessment, support. E06’s localisation programme exists and the workbook references Indic scripts 21 times, Devanagari 7 and Hindi 6 (</w:t>
      </w:r>
      <w:r>
        <w:rPr>
          <w:rStyle w:val="VerbatimChar"/>
        </w:rPr>
        <w:t xml:space="preserve">PRG-07.2.02</w:t>
      </w:r>
      <w:r>
        <w:t xml:space="preserve"> </w:t>
      </w:r>
      <w:r>
        <w:t xml:space="preserve">tests in-headset Indic rendering on real XR devices;</w:t>
      </w:r>
      <w:r>
        <w:t xml:space="preserve"> </w:t>
      </w:r>
      <w:r>
        <w:rPr>
          <w:rStyle w:val="VerbatimChar"/>
        </w:rPr>
        <w:t xml:space="preserve">TST-32.2.03</w:t>
      </w:r>
      <w:r>
        <w:t xml:space="preserve"> </w:t>
      </w:r>
      <w:r>
        <w:t xml:space="preserve">asserts Hindi and English assessments hit the same competency ID), but no committed language set exists, so every per-language AI evaluation set, translation budget and in-headset font task is unsized. Good is a decision item naming the tier matrix, with every downstream per-language item referencing it. One decision item and a reference column for the Product Manager with the India Market Delivery Lead; the languages themselves are a business choice.</w:t>
      </w:r>
    </w:p>
    <w:p>
      <w:pPr>
        <w:pStyle w:val="BodyText"/>
      </w:pPr>
      <w:r>
        <w:rPr>
          <w:bCs/>
          <w:b/>
        </w:rPr>
        <w:t xml:space="preserve">DPDP operationalisation, residency and data-processing agreements (P1).</w:t>
      </w:r>
      <w:r>
        <w:t xml:space="preserve"> </w:t>
      </w:r>
      <w:r>
        <w:t xml:space="preserve">DPDP is already inside the build — 15 items reference it, including</w:t>
      </w:r>
      <w:r>
        <w:t xml:space="preserve"> </w:t>
      </w:r>
      <w:r>
        <w:rPr>
          <w:rStyle w:val="VerbatimChar"/>
        </w:rPr>
        <w:t xml:space="preserve">TLA-10.1.04</w:t>
      </w:r>
      <w:r>
        <w:t xml:space="preserve">’s retention and erasure design with an erasure SLA — but the obligations outside code are absent: a data-processing agreement per customer, data residency and MeitY-empanelled hosting where demanded, Indian records-retention rules, breach-notification procedure. The gap surfaces at signature, when a public-sector buyer asks where the data physically sits and receives an architecture diagram instead of a commitment. Good is a compliance item group with owner, evidence artefact and review date, mapped to customer segments. A modest item group for Legal and Compliance Counsel, whose positions only counsel can write.</w:t>
      </w:r>
    </w:p>
    <w:p>
      <w:pPr>
        <w:pStyle w:val="BodyText"/>
      </w:pPr>
      <w:r>
        <w:rPr>
          <w:bCs/>
          <w:b/>
        </w:rPr>
        <w:t xml:space="preserve">Indian site conditions and deployment contexts (P1).</w:t>
      </w:r>
      <w:r>
        <w:t xml:space="preserve"> </w:t>
      </w:r>
      <w:r>
        <w:t xml:space="preserve">The physical realities an Indian lab must survive and the customer types it must serve. D20 covers part —</w:t>
      </w:r>
      <w:r>
        <w:t xml:space="preserve"> </w:t>
      </w:r>
      <w:r>
        <w:rPr>
          <w:rStyle w:val="VerbatimChar"/>
        </w:rPr>
        <w:t xml:space="preserve">FLD-04.1.04</w:t>
      </w:r>
      <w:r>
        <w:t xml:space="preserve"> </w:t>
      </w:r>
      <w:r>
        <w:t xml:space="preserve">approves power, cooling, charging and hygiene station plans — but there are zero occurrences of humidity, nothing on dust ingress for headsets and edge servers, voltage stabilisation, generator backup or campus bandwidth variability, and no site-survey variants for the four contexts EdVidura sells into: enterprise or industrial training centre, ITI or polytechnic, university campus, and secure disconnected site. A reference lab validated in an air-conditioned metro office and replicated to a humid coastal polytechnic fails at the headset optics before it fails at the software — and</w:t>
      </w:r>
      <w:r>
        <w:t xml:space="preserve"> </w:t>
      </w:r>
      <w:r>
        <w:rPr>
          <w:rStyle w:val="VerbatimChar"/>
        </w:rPr>
        <w:t xml:space="preserve">FLD-07.1.04</w:t>
      </w:r>
      <w:r>
        <w:t xml:space="preserve"> </w:t>
      </w:r>
      <w:r>
        <w:t xml:space="preserve">demands Site B pass Site A’s identical acceptance checklist with zero site-specific engineering. Good is environmental criteria in the site survey, a per-context survey variant, and the Indian accessibility standard named alongside WCAG 2.2 AA in the QA-A11Y items. An extension of D20’s existing group rather than new machinery, fed by the Site Engineer role with the India Market Delivery Lead.</w:t>
      </w:r>
    </w:p>
    <w:bookmarkEnd w:id="30"/>
    <w:bookmarkStart w:id="31" w:name="d.8-scope-nobody-had-planned"/>
    <w:p>
      <w:pPr>
        <w:pStyle w:val="Heading2"/>
      </w:pPr>
      <w:r>
        <w:t xml:space="preserve">D.8 Scope nobody had planned</w:t>
      </w:r>
    </w:p>
    <w:p>
      <w:pPr>
        <w:pStyle w:val="FirstParagraph"/>
      </w:pPr>
      <w:r>
        <w:rPr>
          <w:bCs/>
          <w:b/>
        </w:rPr>
        <w:t xml:space="preserve">Customer data migration (P0).</w:t>
      </w:r>
      <w:r>
        <w:t xml:space="preserve"> </w:t>
      </w:r>
      <w:r>
        <w:t xml:space="preserve">Moving a customer’s existing learners, courses, completions and records off their incumbent LMS into EdVidura. The workbook has 25 items matching</w:t>
      </w:r>
      <w:r>
        <w:t xml:space="preserve"> </w:t>
      </w:r>
      <w:r>
        <w:t xml:space="preserve">“</w:t>
      </w:r>
      <w:r>
        <w:t xml:space="preserve">migrat</w:t>
      </w:r>
      <w:r>
        <w:t xml:space="preserve">”</w:t>
      </w:r>
      <w:r>
        <w:t xml:space="preserve"> </w:t>
      </w:r>
      <w:r>
        <w:t xml:space="preserve">and every one is a database schema migration —</w:t>
      </w:r>
      <w:r>
        <w:t xml:space="preserve"> </w:t>
      </w:r>
      <w:r>
        <w:rPr>
          <w:rStyle w:val="VerbatimChar"/>
        </w:rPr>
        <w:t xml:space="preserve">FND-06.2.02</w:t>
      </w:r>
      <w:r>
        <w:t xml:space="preserve">,</w:t>
      </w:r>
      <w:r>
        <w:t xml:space="preserve"> </w:t>
      </w:r>
      <w:r>
        <w:rPr>
          <w:rStyle w:val="VerbatimChar"/>
        </w:rPr>
        <w:t xml:space="preserve">COR-10.1.01</w:t>
      </w:r>
      <w:r>
        <w:t xml:space="preserve">,</w:t>
      </w:r>
      <w:r>
        <w:t xml:space="preserve"> </w:t>
      </w:r>
      <w:r>
        <w:rPr>
          <w:rStyle w:val="VerbatimChar"/>
        </w:rPr>
        <w:t xml:space="preserve">TLA-03.1.01</w:t>
      </w:r>
      <w:r>
        <w:t xml:space="preserve"> </w:t>
      </w:r>
      <w:r>
        <w:t xml:space="preserve">and their siblings — and not one moves a customer’s data. The first campus that signs arrives with years of Moodle history and expects it to survive; the programme discovers in the go-live sprint that extraction, mapping to competency IDs, reconciliation and cutover verification were never scoped, estimated or staffed. Good is a migration item group per source-system class — source assessment, field mapping to the D08 registry and the E02 learning-records spine, dry run with reconciliation counts, cutover runbook, rollback. A genuine new item group for SQ3 Data &amp; Analytics and the Data Engineer role, fed by whoever owns the first customer.</w:t>
      </w:r>
    </w:p>
    <w:p>
      <w:pPr>
        <w:pStyle w:val="BodyText"/>
      </w:pPr>
      <w:r>
        <w:rPr>
          <w:bCs/>
          <w:b/>
        </w:rPr>
        <w:t xml:space="preserve">Support model, SLAs and operational handover (P0).</w:t>
      </w:r>
      <w:r>
        <w:t xml:space="preserve"> </w:t>
      </w:r>
      <w:r>
        <w:t xml:space="preserve">How the platform is run after it is built: helpdesk tiers, response and resolution targets, escalation, and the formal transfer from build squads to a run team. There are zero occurrences of helpdesk or handover, and the 51 SLA references are all internal technical service levels — token revocation propagation, replication freshness, review-queue latency. It lands on the first Monday after go-live: an instructor at the reference site cannot launch a session, there is no number to call, no tier-1 script, no response time and no run team, so the call reaches SQ7 Field &amp; Immersive mid-sprint on D21 replication. Good is a support item group defining tiers, hours, response and resolution targets per severity, escalation into squads, and a per-product handover checklist gating each deliverable’s acceptance. A substantial item group for the Service Management Lead, needed before Stage 4 rather than after.</w:t>
      </w:r>
    </w:p>
    <w:p>
      <w:pPr>
        <w:pStyle w:val="BodyText"/>
      </w:pPr>
      <w:r>
        <w:rPr>
          <w:bCs/>
          <w:b/>
        </w:rPr>
        <w:t xml:space="preserve">Tenant onboarding and provisioning runbooks (P1).</w:t>
      </w:r>
      <w:r>
        <w:t xml:space="preserve"> </w:t>
      </w:r>
      <w:r>
        <w:t xml:space="preserve">Everything between a signed contract and a customer using the platform: realm provisioning, branding, LTI registration against their LMS, framework load, user import, pilot cohort setup. Exactly one item touches it —</w:t>
      </w:r>
      <w:r>
        <w:t xml:space="preserve"> </w:t>
      </w:r>
      <w:r>
        <w:rPr>
          <w:rStyle w:val="VerbatimChar"/>
        </w:rPr>
        <w:t xml:space="preserve">FND-02.1.02</w:t>
      </w:r>
      <w:r>
        <w:t xml:space="preserve">, requiring automation to provision a tenant in under 30 minutes — which is the technical fraction of a process that is otherwise human, so the second and third customers each get onboarded as a bespoke project by whoever is free. Good is a runbook item group with a per-context checklist, a named onboarding owner and a target elapsed time from contract to first cohort. A moderate item group for the Service Management Lead with SQ1 Platform Core.</w:t>
      </w:r>
    </w:p>
    <w:p>
      <w:pPr>
        <w:pStyle w:val="BodyText"/>
      </w:pPr>
      <w:r>
        <w:rPr>
          <w:bCs/>
          <w:b/>
        </w:rPr>
        <w:t xml:space="preserve">Vendor and third-party management (P1).</w:t>
      </w:r>
      <w:r>
        <w:t xml:space="preserve"> </w:t>
      </w:r>
      <w:r>
        <w:t xml:space="preserve">Managing the outside parties EdVidura depends on: XR title publishers, hardware suppliers, AMC providers, model providers. Two items touch it —</w:t>
      </w:r>
      <w:r>
        <w:t xml:space="preserve"> </w:t>
      </w:r>
      <w:r>
        <w:rPr>
          <w:rStyle w:val="VerbatimChar"/>
        </w:rPr>
        <w:t xml:space="preserve">KNI-15.1.04</w:t>
      </w:r>
      <w:r>
        <w:t xml:space="preserve">’s third-party simulator integration guide and</w:t>
      </w:r>
      <w:r>
        <w:t xml:space="preserve"> </w:t>
      </w:r>
      <w:r>
        <w:rPr>
          <w:rStyle w:val="VerbatimChar"/>
        </w:rPr>
        <w:t xml:space="preserve">PRG-06.2.01</w:t>
      </w:r>
      <w:r>
        <w:t xml:space="preserve">’s quarterly lock-in register — and neither manages a relationship, so when a title publisher changes licensing mid-programme, or a model provider deprecates the pinned version QA-AI’s</w:t>
      </w:r>
      <w:r>
        <w:t xml:space="preserve"> </w:t>
      </w:r>
      <w:r>
        <w:rPr>
          <w:rStyle w:val="VerbatimChar"/>
        </w:rPr>
        <w:t xml:space="preserve">TST-11.1.01</w:t>
      </w:r>
      <w:r>
        <w:t xml:space="preserve"> </w:t>
      </w:r>
      <w:r>
        <w:t xml:space="preserve">evaluates against, there is no contract owner, no renewal date and no named alternative. Good is a vendor register with contract owner, renewal date, dependency (which products break), escalation contact and an exit option each. Half a day of sheet plus a small item group, fed by the Procurement and Vendor Manager.</w:t>
      </w:r>
    </w:p>
    <w:p>
      <w:pPr>
        <w:pStyle w:val="BodyText"/>
      </w:pPr>
      <w:r>
        <w:rPr>
          <w:bCs/>
          <w:b/>
        </w:rPr>
        <w:t xml:space="preserve">Business continuity and disaster-recovery exercises (P1).</w:t>
      </w:r>
      <w:r>
        <w:t xml:space="preserve"> </w:t>
      </w:r>
      <w:r>
        <w:t xml:space="preserve">Rehearsed failure, run on a schedule, at programme level; there are zero occurrences of disaster or continuity. What exists is QA-OPS’s per-module hygiene —</w:t>
      </w:r>
      <w:r>
        <w:t xml:space="preserve"> </w:t>
      </w:r>
      <w:r>
        <w:rPr>
          <w:rStyle w:val="VerbatimChar"/>
        </w:rPr>
        <w:t xml:space="preserve">TST-09.1.02</w:t>
      </w:r>
      <w:r>
        <w:t xml:space="preserve"> </w:t>
      </w:r>
      <w:r>
        <w:t xml:space="preserve">rehearses backup and restore,</w:t>
      </w:r>
      <w:r>
        <w:t xml:space="preserve"> </w:t>
      </w:r>
      <w:r>
        <w:rPr>
          <w:rStyle w:val="VerbatimChar"/>
        </w:rPr>
        <w:t xml:space="preserve">TST-09.1.03</w:t>
      </w:r>
      <w:r>
        <w:t xml:space="preserve"> </w:t>
      </w:r>
      <w:r>
        <w:t xml:space="preserve">rehearses rollback N to N-1 — proving each module recovers in isolation and nothing about the platform recovering whole, which becomes visible when a lab edge server dies with thirty headsets mid-session and nobody has tested the path from site outage to restored service across M3, the LRS and the edge cache. Good is scheduled exercise items per stage carrying scenario, participants, RTO and RPO targets, findings and re-test date. A modest group of scheduled events for the DevSecOps lead with the Service Management Lead.</w:t>
      </w:r>
    </w:p>
    <w:p>
      <w:pPr>
        <w:pStyle w:val="BodyText"/>
      </w:pPr>
      <w:r>
        <w:rPr>
          <w:bCs/>
          <w:b/>
        </w:rPr>
        <w:t xml:space="preserve">Content IP and rights clearance (P1).</w:t>
      </w:r>
      <w:r>
        <w:t xml:space="preserve"> </w:t>
      </w:r>
      <w:r>
        <w:t xml:space="preserve">The legal right to digitise and republish source material. D12 Interactive eBooks carries 75 items on conversion pipelines, accessibility tagging and fidelity checks, and the workbook contains zero occurrences of copyright — so a squad can build a perfect pipeline and convert a manual the programme was never licensed to reproduce, the discovery comes from the customer’s counsel, and the remedy is withdrawal after the work is done. Good is a clearance item per content source — rights holder, permission evidence, permitted use, expiry — gating entry to the conversion pipeline through the publish gate</w:t>
      </w:r>
      <w:r>
        <w:t xml:space="preserve"> </w:t>
      </w:r>
      <w:r>
        <w:rPr>
          <w:rStyle w:val="VerbatimChar"/>
        </w:rPr>
        <w:t xml:space="preserve">TST-35.2.01</w:t>
      </w:r>
      <w:r>
        <w:t xml:space="preserve"> </w:t>
      </w:r>
      <w:r>
        <w:t xml:space="preserve">already tests. A small item group plus one gate condition, fed by Legal and Compliance Counsel with the Content Engineer role.</w:t>
      </w:r>
    </w:p>
    <w:p>
      <w:pPr>
        <w:pStyle w:val="BodyText"/>
      </w:pPr>
      <w:r>
        <w:rPr>
          <w:bCs/>
          <w:b/>
        </w:rPr>
        <w:t xml:space="preserve">Pricing, licensing and commercial artefacts (P1).</w:t>
      </w:r>
      <w:r>
        <w:t xml:space="preserve"> </w:t>
      </w:r>
      <w:r>
        <w:t xml:space="preserve">What lets the platform be sold: a pricing model per buyer segment, a licence model, contract templates, customer-facing SLAs. Zero items exist for any of them, so the programme builds for eighteen months with no scheduled work to make the product purchasable, the pricing conversation starts when sales asks for a number, and E04 Shared Local AI Inference Platform’s running costs and D20’s lab costs stay unconnected to any revenue model. Good is a commercial item group with pricing model, licence terms and per-segment contract templates dated against the first sales cycle. A small item group carried by SQ8 Program &amp; Governance for the Product Manager with Finance; the positions themselves are the business’s to set.</w:t>
      </w:r>
    </w:p>
    <w:p>
      <w:pPr>
        <w:pStyle w:val="BodyText"/>
      </w:pPr>
      <w:r>
        <w:rPr>
          <w:bCs/>
          <w:b/>
        </w:rPr>
        <w:t xml:space="preserve">Demo environments and pre-sales enablement (P2).</w:t>
      </w:r>
      <w:r>
        <w:t xml:space="preserve"> </w:t>
      </w:r>
      <w:r>
        <w:t xml:space="preserve">A permanently working, seeded instance a salesperson can show without asking an engineer, plus the material to show it with. Neither exists, so every prospect demonstration is improvised from a staging environment mid-sprint, which either breaks the demo or breaks the sprint. Good is a named demo environment in the environment register with a seeded dataset, refresh cadence and owner, plus a demo script and enablement pack per product. Small once the environment register exists, fed by the Product Manager.</w:t>
      </w:r>
    </w:p>
    <w:p>
      <w:pPr>
        <w:pStyle w:val="BodyText"/>
      </w:pPr>
      <w:r>
        <w:rPr>
          <w:bCs/>
          <w:b/>
        </w:rPr>
        <w:t xml:space="preserve">Internal staff enablement (P2).</w:t>
      </w:r>
      <w:r>
        <w:t xml:space="preserve"> </w:t>
      </w:r>
      <w:r>
        <w:t xml:space="preserve">D27 Train the Trainer — Embedded SME Service trains the customer’s people in 11 items; nothing trains EdVidura’s own delivery, support and sales staff on the platform they are building, so when the support model above stands up its tier-1 agents have had no training path. Good is an internal enablement group mirroring D27’s curriculum and certification structure (</w:t>
      </w:r>
      <w:r>
        <w:rPr>
          <w:rStyle w:val="VerbatimChar"/>
        </w:rPr>
        <w:t xml:space="preserve">PRG-03.1.03</w:t>
      </w:r>
      <w:r>
        <w:t xml:space="preserve">,</w:t>
      </w:r>
      <w:r>
        <w:t xml:space="preserve"> </w:t>
      </w:r>
      <w:r>
        <w:rPr>
          <w:rStyle w:val="VerbatimChar"/>
        </w:rPr>
        <w:t xml:space="preserve">PRG-03.1.04</w:t>
      </w:r>
      <w:r>
        <w:t xml:space="preserve">) but aimed inward. Small and largely reuse, fed by the SME Programme Manager.</w:t>
      </w:r>
    </w:p>
    <w:p>
      <w:pPr>
        <w:pStyle w:val="BodyText"/>
      </w:pPr>
      <w:r>
        <w:rPr>
          <w:bCs/>
          <w:b/>
        </w:rPr>
        <w:t xml:space="preserve">Benefits realisation tracking (P2).</w:t>
      </w:r>
      <w:r>
        <w:t xml:space="preserve"> </w:t>
      </w:r>
      <w:r>
        <w:t xml:space="preserve">Post-launch measurement of whether the platform improved anything. D25 designs the instrumentation well —</w:t>
      </w:r>
      <w:r>
        <w:t xml:space="preserve"> </w:t>
      </w:r>
      <w:r>
        <w:rPr>
          <w:rStyle w:val="VerbatimChar"/>
        </w:rPr>
        <w:t xml:space="preserve">PRG-02.1.01</w:t>
      </w:r>
      <w:r>
        <w:t xml:space="preserve"> </w:t>
      </w:r>
      <w:r>
        <w:t xml:space="preserve">defines the metric numerically,</w:t>
      </w:r>
      <w:r>
        <w:t xml:space="preserve"> </w:t>
      </w:r>
      <w:r>
        <w:rPr>
          <w:rStyle w:val="VerbatimChar"/>
        </w:rPr>
        <w:t xml:space="preserve">PRG-02.1.03</w:t>
      </w:r>
      <w:r>
        <w:t xml:space="preserve"> </w:t>
      </w:r>
      <w:r>
        <w:t xml:space="preserve">requires baseline instruments dated before the first pilot cohort — but no item schedules measurement after go-live and there are zero occurrences of benefits realisation, so the baseline is captured, nobody is tasked with the comparison, and the programme can never prove its own value at renewal. Good is scheduled measurement items at defined post-launch intervals with owner, data source and reporting audience. A handful of scheduled items for SQ8 Program &amp; Governance.</w:t>
      </w:r>
    </w:p>
    <w:p>
      <w:pPr>
        <w:pStyle w:val="BodyText"/>
      </w:pPr>
      <w:r>
        <w:rPr>
          <w:bCs/>
          <w:b/>
        </w:rPr>
        <w:t xml:space="preserve">Decommissioning and pilot-to-production cutover (P2).</w:t>
      </w:r>
      <w:r>
        <w:t xml:space="preserve"> </w:t>
      </w:r>
      <w:r>
        <w:t xml:space="preserve">Retiring whatever EdVidura replaces, and the controlled move from pilot to live; there are zero occurrences of decommission and three touching cutover, none of them a customer cutover plan. A campus running its old LMS and EdVidura in parallel indefinitely pays twice and splits its records — corrupting exactly the completion data D25’s benefits measurement depends on. Good is a cutover group covering parallel-run period, dual-write or freeze policy, success criteria and go/no-go authority, plus a decommissioning checklist for the retired system including data export and retention. A small item group per engagement for the Service Management Lead with the customer.</w:t>
      </w:r>
    </w:p>
    <w:p>
      <w:r>
        <w:pict>
          <v:rect style="width:0;height:1.5pt" o:hralign="center" o:hrstd="t" o:hr="t"/>
        </w:pict>
      </w:r>
    </w:p>
    <w:bookmarkEnd w:id="31"/>
    <w:bookmarkEnd w:id="32"/>
    <w:bookmarkStart w:id="33" w:name="e.-fix-register-loops-910"/>
    <w:p>
      <w:pPr>
        <w:pStyle w:val="Heading1"/>
      </w:pPr>
      <w:r>
        <w:t xml:space="preserve">E. Fix Register (Loops 9–10)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Fix</w:t>
            </w:r>
          </w:p>
        </w:tc>
        <w:tc>
          <w:tcPr/>
          <w:p>
            <w:pPr>
              <w:pStyle w:val="Compact"/>
              <w:jc w:val="left"/>
            </w:pPr>
            <w:r>
              <w:t xml:space="preserve">Type</w:t>
            </w:r>
          </w:p>
        </w:tc>
        <w:tc>
          <w:tcPr/>
          <w:p>
            <w:pPr>
              <w:pStyle w:val="Compact"/>
              <w:jc w:val="left"/>
            </w:pPr>
            <w:r>
              <w:t xml:space="preserve">What was applied</w:t>
            </w:r>
          </w:p>
        </w:tc>
        <w:tc>
          <w:tcPr/>
          <w:p>
            <w:pPr>
              <w:pStyle w:val="Compact"/>
              <w:jc w:val="left"/>
            </w:pPr>
            <w:r>
              <w:t xml:space="preserve">Verification</w:t>
            </w:r>
          </w:p>
        </w:tc>
      </w:tr>
      <w:tr>
        <w:tc>
          <w:tcPr/>
          <w:p>
            <w:pPr>
              <w:pStyle w:val="Compact"/>
              <w:jc w:val="left"/>
            </w:pPr>
            <w:r>
              <w:t xml:space="preserve">FIX-01</w:t>
            </w:r>
          </w:p>
        </w:tc>
        <w:tc>
          <w:tcPr/>
          <w:p>
            <w:pPr>
              <w:pStyle w:val="Compact"/>
              <w:jc w:val="left"/>
            </w:pPr>
            <w:r>
              <w:t xml:space="preserve">New sheet</w:t>
            </w:r>
          </w:p>
        </w:tc>
        <w:tc>
          <w:tcPr/>
          <w:p>
            <w:pPr>
              <w:pStyle w:val="Compact"/>
              <w:jc w:val="left"/>
            </w:pPr>
            <w:r>
              <w:rPr>
                <w:bCs/>
                <w:b/>
              </w:rPr>
              <w:t xml:space="preserve">Sprint Calendar</w:t>
            </w:r>
            <w:r>
              <w:t xml:space="preserve"> </w:t>
            </w:r>
            <w:r>
              <w:t xml:space="preserve">— sprint ID, start, end, working days, stage, goal, scope-freeze and demo dates</w:t>
            </w:r>
          </w:p>
        </w:tc>
        <w:tc>
          <w:tcPr/>
          <w:p>
            <w:pPr>
              <w:pStyle w:val="Compact"/>
              <w:jc w:val="left"/>
            </w:pPr>
            <w:r>
              <w:t xml:space="preserve">Sheet present with one</w:t>
            </w:r>
            <w:r>
              <w:t xml:space="preserve"> </w:t>
            </w:r>
            <w:r>
              <w:rPr>
                <w:rStyle w:val="VerbatimChar"/>
              </w:rPr>
              <w:t xml:space="preserve">PROVISIONAL:</w:t>
            </w:r>
            <w:r>
              <w:t xml:space="preserve"> </w:t>
            </w:r>
            <w:r>
              <w:t xml:space="preserve">example row; TargetSprint must match a Sprint ID</w:t>
            </w:r>
          </w:p>
        </w:tc>
      </w:tr>
      <w:tr>
        <w:tc>
          <w:tcPr/>
          <w:p>
            <w:pPr>
              <w:pStyle w:val="Compact"/>
              <w:jc w:val="left"/>
            </w:pPr>
            <w:r>
              <w:t xml:space="preserve">FIX-02</w:t>
            </w:r>
          </w:p>
        </w:tc>
        <w:tc>
          <w:tcPr/>
          <w:p>
            <w:pPr>
              <w:pStyle w:val="Compact"/>
              <w:jc w:val="left"/>
            </w:pPr>
            <w:r>
              <w:t xml:space="preserve">New sheet</w:t>
            </w:r>
          </w:p>
        </w:tc>
        <w:tc>
          <w:tcPr/>
          <w:p>
            <w:pPr>
              <w:pStyle w:val="Compact"/>
              <w:jc w:val="left"/>
            </w:pPr>
            <w:r>
              <w:rPr>
                <w:bCs/>
                <w:b/>
              </w:rPr>
              <w:t xml:space="preserve">Capacity Plan</w:t>
            </w:r>
            <w:r>
              <w:t xml:space="preserve"> </w:t>
            </w:r>
            <w:r>
              <w:t xml:space="preserve">— person × sprint availability with allocated days pulled from EstDays via SUMIFS and an over-allocation flag</w:t>
            </w:r>
          </w:p>
        </w:tc>
        <w:tc>
          <w:tcPr/>
          <w:p>
            <w:pPr>
              <w:pStyle w:val="Compact"/>
              <w:jc w:val="left"/>
            </w:pPr>
            <w:r>
              <w:t xml:space="preserve">Formula returns 0 until EstDays filled, then live</w:t>
            </w:r>
          </w:p>
        </w:tc>
      </w:tr>
      <w:tr>
        <w:tc>
          <w:tcPr/>
          <w:p>
            <w:pPr>
              <w:pStyle w:val="Compact"/>
              <w:jc w:val="left"/>
            </w:pPr>
            <w:r>
              <w:t xml:space="preserve">FIX-03</w:t>
            </w:r>
          </w:p>
        </w:tc>
        <w:tc>
          <w:tcPr/>
          <w:p>
            <w:pPr>
              <w:pStyle w:val="Compact"/>
              <w:jc w:val="left"/>
            </w:pPr>
            <w:r>
              <w:t xml:space="preserve">Control</w:t>
            </w:r>
          </w:p>
        </w:tc>
        <w:tc>
          <w:tcPr/>
          <w:p>
            <w:pPr>
              <w:pStyle w:val="Compact"/>
              <w:jc w:val="left"/>
            </w:pPr>
            <w:r>
              <w:t xml:space="preserve">Assignee, EstDays, TargetSprint shaded as input cells; unassigned Stage 0–1 rows auto-highlight</w:t>
            </w:r>
          </w:p>
        </w:tc>
        <w:tc>
          <w:tcPr/>
          <w:p>
            <w:pPr>
              <w:pStyle w:val="Compact"/>
              <w:jc w:val="left"/>
            </w:pPr>
            <w:r>
              <w:t xml:space="preserve">Conditional-format rule active on 2,120 rows</w:t>
            </w:r>
          </w:p>
        </w:tc>
      </w:tr>
      <w:tr>
        <w:tc>
          <w:tcPr/>
          <w:p>
            <w:pPr>
              <w:pStyle w:val="Compact"/>
              <w:jc w:val="left"/>
            </w:pPr>
            <w:r>
              <w:t xml:space="preserve">FIX-04</w:t>
            </w:r>
          </w:p>
        </w:tc>
        <w:tc>
          <w:tcPr/>
          <w:p>
            <w:pPr>
              <w:pStyle w:val="Compact"/>
              <w:jc w:val="left"/>
            </w:pPr>
            <w:r>
              <w:t xml:space="preserve">New sheet</w:t>
            </w:r>
          </w:p>
        </w:tc>
        <w:tc>
          <w:tcPr/>
          <w:p>
            <w:pPr>
              <w:pStyle w:val="Compact"/>
              <w:jc w:val="left"/>
            </w:pPr>
            <w:r>
              <w:rPr>
                <w:bCs/>
                <w:b/>
              </w:rPr>
              <w:t xml:space="preserve">Defect Log</w:t>
            </w:r>
            <w:r>
              <w:t xml:space="preserve"> </w:t>
            </w:r>
            <w:r>
              <w:t xml:space="preserve">— defect ID, raised date, found-in item, product, environment, test team, severity, status,</w:t>
            </w:r>
            <w:r>
              <w:t xml:space="preserve"> </w:t>
            </w:r>
            <w:r>
              <w:rPr>
                <w:bCs/>
                <w:b/>
              </w:rPr>
              <w:t xml:space="preserve">fix item ID</w:t>
            </w:r>
            <w:r>
              <w:t xml:space="preserve">, retest result</w:t>
            </w:r>
          </w:p>
        </w:tc>
        <w:tc>
          <w:tcPr/>
          <w:p>
            <w:pPr>
              <w:pStyle w:val="Compact"/>
              <w:jc w:val="left"/>
            </w:pPr>
            <w:r>
              <w:t xml:space="preserve">Fix-item column links rework back to the checklist</w:t>
            </w:r>
          </w:p>
        </w:tc>
      </w:tr>
      <w:tr>
        <w:tc>
          <w:tcPr/>
          <w:p>
            <w:pPr>
              <w:pStyle w:val="Compact"/>
              <w:jc w:val="left"/>
            </w:pPr>
            <w:r>
              <w:t xml:space="preserve">FIX-05</w:t>
            </w:r>
          </w:p>
        </w:tc>
        <w:tc>
          <w:tcPr/>
          <w:p>
            <w:pPr>
              <w:pStyle w:val="Compact"/>
              <w:jc w:val="left"/>
            </w:pPr>
            <w:r>
              <w:t xml:space="preserve">New sheet</w:t>
            </w:r>
          </w:p>
        </w:tc>
        <w:tc>
          <w:tcPr/>
          <w:p>
            <w:pPr>
              <w:pStyle w:val="Compact"/>
              <w:jc w:val="left"/>
            </w:pPr>
            <w:r>
              <w:rPr>
                <w:bCs/>
                <w:b/>
              </w:rPr>
              <w:t xml:space="preserve">Environment Register</w:t>
            </w:r>
            <w:r>
              <w:t xml:space="preserve"> </w:t>
            </w:r>
            <w:r>
              <w:t xml:space="preserve">— five environments seeded incl. the enclave simulator, with a live count of dependent items (currently 102) and a</w:t>
            </w:r>
            <w:r>
              <w:t xml:space="preserve"> </w:t>
            </w:r>
            <w:r>
              <w:t xml:space="preserve">“</w:t>
            </w:r>
            <w:r>
              <w:t xml:space="preserve">Blocking?</w:t>
            </w:r>
            <w:r>
              <w:t xml:space="preserve">”</w:t>
            </w:r>
            <w:r>
              <w:t xml:space="preserve"> </w:t>
            </w:r>
            <w:r>
              <w:t xml:space="preserve">flag</w:t>
            </w:r>
          </w:p>
        </w:tc>
        <w:tc>
          <w:tcPr/>
          <w:p>
            <w:pPr>
              <w:pStyle w:val="Compact"/>
              <w:jc w:val="left"/>
            </w:pPr>
            <w:r>
              <w:t xml:space="preserve">Formula counts Enclave-class rows automatically</w:t>
            </w:r>
          </w:p>
        </w:tc>
      </w:tr>
      <w:tr>
        <w:tc>
          <w:tcPr/>
          <w:p>
            <w:pPr>
              <w:pStyle w:val="Compact"/>
              <w:jc w:val="left"/>
            </w:pPr>
            <w:r>
              <w:t xml:space="preserve">FIX-06</w:t>
            </w:r>
          </w:p>
        </w:tc>
        <w:tc>
          <w:tcPr/>
          <w:p>
            <w:pPr>
              <w:pStyle w:val="Compact"/>
              <w:jc w:val="left"/>
            </w:pPr>
            <w:r>
              <w:t xml:space="preserve">New sheet</w:t>
            </w:r>
          </w:p>
        </w:tc>
        <w:tc>
          <w:tcPr/>
          <w:p>
            <w:pPr>
              <w:pStyle w:val="Compact"/>
              <w:jc w:val="left"/>
            </w:pPr>
            <w:r>
              <w:rPr>
                <w:bCs/>
                <w:b/>
              </w:rPr>
              <w:t xml:space="preserve">Stage Gates</w:t>
            </w:r>
            <w:r>
              <w:t xml:space="preserve"> </w:t>
            </w:r>
            <w:r>
              <w:t xml:space="preserve">— per stage: items, done, open P0 count, and a computed PASS/OPEN gate status</w:t>
            </w:r>
          </w:p>
        </w:tc>
        <w:tc>
          <w:tcPr/>
          <w:p>
            <w:pPr>
              <w:pStyle w:val="Compact"/>
              <w:jc w:val="left"/>
            </w:pPr>
            <w:r>
              <w:t xml:space="preserve">Live: Stage 0 shows 292 items, 25 open P0</w:t>
            </w:r>
          </w:p>
        </w:tc>
      </w:tr>
      <w:tr>
        <w:tc>
          <w:tcPr/>
          <w:p>
            <w:pPr>
              <w:pStyle w:val="Compact"/>
              <w:jc w:val="left"/>
            </w:pPr>
            <w:r>
              <w:t xml:space="preserve">FIX-07</w:t>
            </w:r>
          </w:p>
        </w:tc>
        <w:tc>
          <w:tcPr/>
          <w:p>
            <w:pPr>
              <w:pStyle w:val="Compact"/>
              <w:jc w:val="left"/>
            </w:pPr>
            <w:r>
              <w:t xml:space="preserve">New sheet</w:t>
            </w:r>
          </w:p>
        </w:tc>
        <w:tc>
          <w:tcPr/>
          <w:p>
            <w:pPr>
              <w:pStyle w:val="Compact"/>
              <w:jc w:val="left"/>
            </w:pPr>
            <w:r>
              <w:rPr>
                <w:bCs/>
                <w:b/>
              </w:rPr>
              <w:t xml:space="preserve">Procurement &amp; Long-Lead</w:t>
            </w:r>
            <w:r>
              <w:t xml:space="preserve"> </w:t>
            </w:r>
            <w:r>
              <w:t xml:space="preserve">— five seeded lines (GPU appliance, XR fleet, edge server, UPS/stabilisation, replication fleet) with lead time, order-by date, customs allowance, INR cost</w:t>
            </w:r>
          </w:p>
        </w:tc>
        <w:tc>
          <w:tcPr/>
          <w:p>
            <w:pPr>
              <w:pStyle w:val="Compact"/>
              <w:jc w:val="left"/>
            </w:pPr>
            <w:r>
              <w:t xml:space="preserve">Structure present; values are human input</w:t>
            </w:r>
          </w:p>
        </w:tc>
      </w:tr>
      <w:tr>
        <w:tc>
          <w:tcPr/>
          <w:p>
            <w:pPr>
              <w:pStyle w:val="Compact"/>
              <w:jc w:val="left"/>
            </w:pPr>
            <w:r>
              <w:t xml:space="preserve">FIX-08</w:t>
            </w:r>
          </w:p>
        </w:tc>
        <w:tc>
          <w:tcPr/>
          <w:p>
            <w:pPr>
              <w:pStyle w:val="Compact"/>
              <w:jc w:val="left"/>
            </w:pPr>
            <w:r>
              <w:t xml:space="preserve">New sheet</w:t>
            </w:r>
          </w:p>
        </w:tc>
        <w:tc>
          <w:tcPr/>
          <w:p>
            <w:pPr>
              <w:pStyle w:val="Compact"/>
              <w:jc w:val="left"/>
            </w:pPr>
            <w:r>
              <w:rPr>
                <w:bCs/>
                <w:b/>
              </w:rPr>
              <w:t xml:space="preserve">Change Log</w:t>
            </w:r>
            <w:r>
              <w:t xml:space="preserve"> </w:t>
            </w:r>
            <w:r>
              <w:t xml:space="preserve">— 19 entries recording every v3 modification, before → after</w:t>
            </w:r>
          </w:p>
        </w:tc>
        <w:tc>
          <w:tcPr/>
          <w:p>
            <w:pPr>
              <w:pStyle w:val="Compact"/>
              <w:jc w:val="left"/>
            </w:pPr>
            <w:r>
              <w:t xml:space="preserve">Populated at build time, not retrospectively</w:t>
            </w:r>
          </w:p>
        </w:tc>
      </w:tr>
      <w:tr>
        <w:tc>
          <w:tcPr/>
          <w:p>
            <w:pPr>
              <w:pStyle w:val="Compact"/>
              <w:jc w:val="left"/>
            </w:pPr>
            <w:r>
              <w:t xml:space="preserve">FIX-09</w:t>
            </w:r>
          </w:p>
        </w:tc>
        <w:tc>
          <w:tcPr/>
          <w:p>
            <w:pPr>
              <w:pStyle w:val="Compact"/>
              <w:jc w:val="left"/>
            </w:pPr>
            <w:r>
              <w:t xml:space="preserve">Rename</w:t>
            </w:r>
          </w:p>
        </w:tc>
        <w:tc>
          <w:tcPr/>
          <w:p>
            <w:pPr>
              <w:pStyle w:val="Compact"/>
              <w:jc w:val="left"/>
            </w:pPr>
            <w:r>
              <w:t xml:space="preserve">D20 →</w:t>
            </w:r>
            <w:r>
              <w:t xml:space="preserve"> </w:t>
            </w:r>
            <w:r>
              <w:rPr>
                <w:iCs/>
                <w:i/>
              </w:rPr>
              <w:t xml:space="preserve">Immersive Lab — Reference Site (India)</w:t>
            </w:r>
            <w:r>
              <w:t xml:space="preserve">; D21 →</w:t>
            </w:r>
            <w:r>
              <w:t xml:space="preserve"> </w:t>
            </w:r>
            <w:r>
              <w:rPr>
                <w:iCs/>
                <w:i/>
              </w:rPr>
              <w:t xml:space="preserve">Immersive Lab — Replication Site (India)</w:t>
            </w:r>
            <w:r>
              <w:t xml:space="preserve">; D03 →</w:t>
            </w:r>
            <w:r>
              <w:t xml:space="preserve"> </w:t>
            </w:r>
            <w:r>
              <w:rPr>
                <w:iCs/>
                <w:i/>
              </w:rPr>
              <w:t xml:space="preserve">Security Accreditation &amp; Authorisation to Operate — Initiation</w:t>
            </w:r>
            <w:r>
              <w:t xml:space="preserve">; D17 →</w:t>
            </w:r>
            <w:r>
              <w:t xml:space="preserve"> </w:t>
            </w:r>
            <w:r>
              <w:rPr>
                <w:iCs/>
                <w:i/>
              </w:rPr>
              <w:t xml:space="preserve">Cross-Organisation / Cross-Command Data Pipeline</w:t>
            </w:r>
          </w:p>
        </w:tc>
        <w:tc>
          <w:tcPr/>
          <w:p>
            <w:pPr>
              <w:pStyle w:val="Compact"/>
              <w:jc w:val="left"/>
            </w:pPr>
            <w:r>
              <w:t xml:space="preserve">Zero foreign-installation strings remain (was 52)</w:t>
            </w:r>
          </w:p>
        </w:tc>
      </w:tr>
      <w:tr>
        <w:tc>
          <w:tcPr/>
          <w:p>
            <w:pPr>
              <w:pStyle w:val="Compact"/>
              <w:jc w:val="left"/>
            </w:pPr>
            <w:r>
              <w:t xml:space="preserve">FIX-10</w:t>
            </w:r>
          </w:p>
        </w:tc>
        <w:tc>
          <w:tcPr/>
          <w:p>
            <w:pPr>
              <w:pStyle w:val="Compact"/>
              <w:jc w:val="left"/>
            </w:pPr>
            <w:r>
              <w:t xml:space="preserve">New items</w:t>
            </w:r>
          </w:p>
        </w:tc>
        <w:tc>
          <w:tcPr/>
          <w:p>
            <w:pPr>
              <w:pStyle w:val="Compact"/>
              <w:jc w:val="left"/>
            </w:pPr>
            <w:r>
              <w:t xml:space="preserve">140 scope-gap items across six new enabling products (E08–E13)</w:t>
            </w:r>
          </w:p>
        </w:tc>
        <w:tc>
          <w:tcPr/>
          <w:p>
            <w:pPr>
              <w:pStyle w:val="Compact"/>
              <w:jc w:val="left"/>
            </w:pPr>
            <w:r>
              <w:t xml:space="preserve">Counted and coverage-verified</w:t>
            </w:r>
          </w:p>
        </w:tc>
      </w:tr>
      <w:tr>
        <w:tc>
          <w:tcPr/>
          <w:p>
            <w:pPr>
              <w:pStyle w:val="Compact"/>
              <w:jc w:val="left"/>
            </w:pPr>
            <w:r>
              <w:t xml:space="preserve">FIX-11</w:t>
            </w:r>
          </w:p>
        </w:tc>
        <w:tc>
          <w:tcPr/>
          <w:p>
            <w:pPr>
              <w:pStyle w:val="Compact"/>
              <w:jc w:val="left"/>
            </w:pPr>
            <w:r>
              <w:t xml:space="preserve">Data + control</w:t>
            </w:r>
          </w:p>
        </w:tc>
        <w:tc>
          <w:tcPr/>
          <w:p>
            <w:pPr>
              <w:pStyle w:val="Compact"/>
              <w:jc w:val="left"/>
            </w:pPr>
            <w:r>
              <w:t xml:space="preserve">22 mis-pointed dependencies repointed; remaining 40 sequence exceptions flagged in a new</w:t>
            </w:r>
            <w:r>
              <w:t xml:space="preserve"> </w:t>
            </w:r>
            <w:r>
              <w:rPr>
                <w:bCs/>
                <w:b/>
              </w:rPr>
              <w:t xml:space="preserve">SeqFlag</w:t>
            </w:r>
            <w:r>
              <w:t xml:space="preserve"> </w:t>
            </w:r>
            <w:r>
              <w:t xml:space="preserve">column and colour-coded rather than silently rewritten</w:t>
            </w:r>
          </w:p>
        </w:tc>
        <w:tc>
          <w:tcPr/>
          <w:p>
            <w:pPr>
              <w:pStyle w:val="Compact"/>
              <w:jc w:val="left"/>
            </w:pPr>
            <w:r>
              <w:t xml:space="preserve">Filter SeqFlag ≠ blank returns exactly 40 rows</w:t>
            </w:r>
          </w:p>
        </w:tc>
      </w:tr>
      <w:tr>
        <w:tc>
          <w:tcPr/>
          <w:p>
            <w:pPr>
              <w:pStyle w:val="Compact"/>
              <w:jc w:val="left"/>
            </w:pPr>
            <w:r>
              <w:t xml:space="preserve">FIX-12</w:t>
            </w:r>
          </w:p>
        </w:tc>
        <w:tc>
          <w:tcPr/>
          <w:p>
            <w:pPr>
              <w:pStyle w:val="Compact"/>
              <w:jc w:val="left"/>
            </w:pPr>
            <w:r>
              <w:t xml:space="preserve">New sheet</w:t>
            </w:r>
          </w:p>
        </w:tc>
        <w:tc>
          <w:tcPr/>
          <w:p>
            <w:pPr>
              <w:pStyle w:val="Compact"/>
              <w:jc w:val="left"/>
            </w:pPr>
            <w:r>
              <w:rPr>
                <w:bCs/>
                <w:b/>
              </w:rPr>
              <w:t xml:space="preserve">Risk &amp; Issue Register</w:t>
            </w:r>
            <w:r>
              <w:t xml:space="preserve"> </w:t>
            </w:r>
            <w:r>
              <w:t xml:space="preserve">— six P0/P1 risks carried from the architecture review into the delivery file</w:t>
            </w:r>
          </w:p>
        </w:tc>
        <w:tc>
          <w:tcPr/>
          <w:p>
            <w:pPr>
              <w:pStyle w:val="Compact"/>
              <w:jc w:val="left"/>
            </w:pPr>
            <w:r>
              <w:t xml:space="preserve">Seeded with linked item IDs</w:t>
            </w:r>
          </w:p>
        </w:tc>
      </w:tr>
      <w:tr>
        <w:tc>
          <w:tcPr/>
          <w:p>
            <w:pPr>
              <w:pStyle w:val="Compact"/>
              <w:jc w:val="left"/>
            </w:pPr>
            <w:r>
              <w:t xml:space="preserve">FIX-13</w:t>
            </w:r>
          </w:p>
        </w:tc>
        <w:tc>
          <w:tcPr/>
          <w:p>
            <w:pPr>
              <w:pStyle w:val="Compact"/>
              <w:jc w:val="left"/>
            </w:pPr>
            <w:r>
              <w:t xml:space="preserve">New sheet</w:t>
            </w:r>
          </w:p>
        </w:tc>
        <w:tc>
          <w:tcPr/>
          <w:p>
            <w:pPr>
              <w:pStyle w:val="Compact"/>
              <w:jc w:val="left"/>
            </w:pPr>
            <w:r>
              <w:rPr>
                <w:bCs/>
                <w:b/>
              </w:rPr>
              <w:t xml:space="preserve">Weekly Snapshot</w:t>
            </w:r>
            <w:r>
              <w:t xml:space="preserve"> </w:t>
            </w:r>
            <w:r>
              <w:t xml:space="preserve">— paste-values history for trend, velocity and burn-down</w:t>
            </w:r>
          </w:p>
        </w:tc>
        <w:tc>
          <w:tcPr/>
          <w:p>
            <w:pPr>
              <w:pStyle w:val="Compact"/>
              <w:jc w:val="left"/>
            </w:pPr>
            <w:r>
              <w:t xml:space="preserve">Instructions explicitly say paste values, not formulas</w:t>
            </w:r>
          </w:p>
        </w:tc>
      </w:tr>
      <w:tr>
        <w:tc>
          <w:tcPr/>
          <w:p>
            <w:pPr>
              <w:pStyle w:val="Compact"/>
              <w:jc w:val="left"/>
            </w:pPr>
            <w:r>
              <w:t xml:space="preserve">FIX-14</w:t>
            </w:r>
          </w:p>
        </w:tc>
        <w:tc>
          <w:tcPr/>
          <w:p>
            <w:pPr>
              <w:pStyle w:val="Compact"/>
              <w:jc w:val="left"/>
            </w:pPr>
            <w:r>
              <w:t xml:space="preserve">New sheet</w:t>
            </w:r>
          </w:p>
        </w:tc>
        <w:tc>
          <w:tcPr/>
          <w:p>
            <w:pPr>
              <w:pStyle w:val="Compact"/>
              <w:jc w:val="left"/>
            </w:pPr>
            <w:r>
              <w:rPr>
                <w:bCs/>
                <w:b/>
              </w:rPr>
              <w:t xml:space="preserve">Acceptance &amp; Sign-off</w:t>
            </w:r>
            <w:r>
              <w:t xml:space="preserve"> </w:t>
            </w:r>
            <w:r>
              <w:t xml:space="preserve">— one row per product (43), reviewer, approver, date, waivers</w:t>
            </w:r>
          </w:p>
        </w:tc>
        <w:tc>
          <w:tcPr/>
          <w:p>
            <w:pPr>
              <w:pStyle w:val="Compact"/>
              <w:jc w:val="left"/>
            </w:pPr>
            <w:r>
              <w:t xml:space="preserve">All 43 products pre-listed</w:t>
            </w:r>
          </w:p>
        </w:tc>
      </w:tr>
      <w:tr>
        <w:tc>
          <w:tcPr/>
          <w:p>
            <w:pPr>
              <w:pStyle w:val="Compact"/>
              <w:jc w:val="left"/>
            </w:pPr>
            <w:r>
              <w:t xml:space="preserve">FIX-15</w:t>
            </w:r>
          </w:p>
        </w:tc>
        <w:tc>
          <w:tcPr/>
          <w:p>
            <w:pPr>
              <w:pStyle w:val="Compact"/>
              <w:jc w:val="left"/>
            </w:pPr>
            <w:r>
              <w:t xml:space="preserve">New sheet</w:t>
            </w:r>
          </w:p>
        </w:tc>
        <w:tc>
          <w:tcPr/>
          <w:p>
            <w:pPr>
              <w:pStyle w:val="Compact"/>
              <w:jc w:val="left"/>
            </w:pPr>
            <w:r>
              <w:rPr>
                <w:bCs/>
                <w:b/>
              </w:rPr>
              <w:t xml:space="preserve">Skills Matrix</w:t>
            </w:r>
            <w:r>
              <w:t xml:space="preserve"> </w:t>
            </w:r>
            <w:r>
              <w:t xml:space="preserve">— 11 capabilities × person, with a bus-factor column</w:t>
            </w:r>
          </w:p>
        </w:tc>
        <w:tc>
          <w:tcPr/>
          <w:p>
            <w:pPr>
              <w:pStyle w:val="Compact"/>
              <w:jc w:val="left"/>
            </w:pPr>
            <w:r>
              <w:t xml:space="preserve">Structure present</w:t>
            </w:r>
          </w:p>
        </w:tc>
      </w:tr>
      <w:tr>
        <w:tc>
          <w:tcPr/>
          <w:p>
            <w:pPr>
              <w:pStyle w:val="Compact"/>
              <w:jc w:val="left"/>
            </w:pPr>
            <w:r>
              <w:t xml:space="preserve">FIX-16</w:t>
            </w:r>
          </w:p>
        </w:tc>
        <w:tc>
          <w:tcPr/>
          <w:p>
            <w:pPr>
              <w:pStyle w:val="Compact"/>
              <w:jc w:val="left"/>
            </w:pPr>
            <w:r>
              <w:t xml:space="preserve">New columns</w:t>
            </w:r>
          </w:p>
        </w:tc>
        <w:tc>
          <w:tcPr/>
          <w:p>
            <w:pPr>
              <w:pStyle w:val="Compact"/>
              <w:jc w:val="left"/>
            </w:pPr>
            <w:r>
              <w:t xml:space="preserve">Priority (derived), TestCaseID, EvidenceLink, Waiver, LastUpdated, SeqFlag, Notes</w:t>
            </w:r>
          </w:p>
        </w:tc>
        <w:tc>
          <w:tcPr/>
          <w:p>
            <w:pPr>
              <w:pStyle w:val="Compact"/>
              <w:jc w:val="left"/>
            </w:pPr>
            <w:r>
              <w:t xml:space="preserve">22 → 29 columns; no existing column reordered</w:t>
            </w:r>
          </w:p>
        </w:tc>
      </w:tr>
      <w:tr>
        <w:tc>
          <w:tcPr/>
          <w:p>
            <w:pPr>
              <w:pStyle w:val="Compact"/>
              <w:jc w:val="left"/>
            </w:pPr>
            <w:r>
              <w:t xml:space="preserve">FIX-17</w:t>
            </w:r>
          </w:p>
        </w:tc>
        <w:tc>
          <w:tcPr/>
          <w:p>
            <w:pPr>
              <w:pStyle w:val="Compact"/>
              <w:jc w:val="left"/>
            </w:pPr>
            <w:r>
              <w:t xml:space="preserve">Control</w:t>
            </w:r>
          </w:p>
        </w:tc>
        <w:tc>
          <w:tcPr/>
          <w:p>
            <w:pPr>
              <w:pStyle w:val="Compact"/>
              <w:jc w:val="left"/>
            </w:pPr>
            <w:r>
              <w:t xml:space="preserve">Dropdown validation on Squad, OwnerRole, TestTeam, DeploymentClass, Status, Priority, WorkType, driven by named ranges on a new</w:t>
            </w:r>
            <w:r>
              <w:t xml:space="preserve"> </w:t>
            </w:r>
            <w:r>
              <w:rPr>
                <w:bCs/>
                <w:b/>
              </w:rPr>
              <w:t xml:space="preserve">Lists</w:t>
            </w:r>
            <w:r>
              <w:t xml:space="preserve"> </w:t>
            </w:r>
            <w:r>
              <w:t xml:space="preserve">sheet</w:t>
            </w:r>
          </w:p>
        </w:tc>
        <w:tc>
          <w:tcPr/>
          <w:p>
            <w:pPr>
              <w:pStyle w:val="Compact"/>
              <w:jc w:val="left"/>
            </w:pPr>
            <w:r>
              <w:t xml:space="preserve">Edit Lists once, dropdowns update everywhere</w:t>
            </w:r>
          </w:p>
        </w:tc>
      </w:tr>
      <w:tr>
        <w:tc>
          <w:tcPr/>
          <w:p>
            <w:pPr>
              <w:pStyle w:val="Compact"/>
              <w:jc w:val="left"/>
            </w:pPr>
            <w:r>
              <w:t xml:space="preserve">FIX-18</w:t>
            </w:r>
          </w:p>
        </w:tc>
        <w:tc>
          <w:tcPr/>
          <w:p>
            <w:pPr>
              <w:pStyle w:val="Compact"/>
              <w:jc w:val="left"/>
            </w:pPr>
            <w:r>
              <w:t xml:space="preserve">Control</w:t>
            </w:r>
          </w:p>
        </w:tc>
        <w:tc>
          <w:tcPr/>
          <w:p>
            <w:pPr>
              <w:pStyle w:val="Compact"/>
              <w:jc w:val="left"/>
            </w:pPr>
            <w:r>
              <w:t xml:space="preserve">Conditional formatting: Blocked red, Done green, unassigned Stage 0–1 amber, sequence exception orange</w:t>
            </w:r>
          </w:p>
        </w:tc>
        <w:tc>
          <w:tcPr/>
          <w:p>
            <w:pPr>
              <w:pStyle w:val="Compact"/>
              <w:jc w:val="left"/>
            </w:pPr>
            <w:r>
              <w:t xml:space="preserve">4 rules</w:t>
            </w:r>
          </w:p>
        </w:tc>
      </w:tr>
      <w:tr>
        <w:tc>
          <w:tcPr/>
          <w:p>
            <w:pPr>
              <w:pStyle w:val="Compact"/>
              <w:jc w:val="left"/>
            </w:pPr>
            <w:r>
              <w:t xml:space="preserve">FIX-19</w:t>
            </w:r>
          </w:p>
        </w:tc>
        <w:tc>
          <w:tcPr/>
          <w:p>
            <w:pPr>
              <w:pStyle w:val="Compact"/>
              <w:jc w:val="left"/>
            </w:pPr>
            <w:r>
              <w:t xml:space="preserve">Control</w:t>
            </w:r>
          </w:p>
        </w:tc>
        <w:tc>
          <w:tcPr/>
          <w:p>
            <w:pPr>
              <w:pStyle w:val="Compact"/>
              <w:jc w:val="left"/>
            </w:pPr>
            <w:r>
              <w:t xml:space="preserve">Sheet protection with no password: ID column locked, everything else editable, filter and sort permitted</w:t>
            </w:r>
          </w:p>
        </w:tc>
        <w:tc>
          <w:tcPr/>
          <w:p>
            <w:pPr>
              <w:pStyle w:val="Compact"/>
              <w:jc w:val="left"/>
            </w:pPr>
            <w:r>
              <w:t xml:space="preserve">IDs cannot be edited accidentally</w:t>
            </w:r>
          </w:p>
        </w:tc>
      </w:tr>
      <w:tr>
        <w:tc>
          <w:tcPr/>
          <w:p>
            <w:pPr>
              <w:pStyle w:val="Compact"/>
              <w:jc w:val="left"/>
            </w:pPr>
            <w:r>
              <w:t xml:space="preserve">FIX-20</w:t>
            </w:r>
          </w:p>
        </w:tc>
        <w:tc>
          <w:tcPr/>
          <w:p>
            <w:pPr>
              <w:pStyle w:val="Compact"/>
              <w:jc w:val="left"/>
            </w:pPr>
            <w:r>
              <w:t xml:space="preserve">New items</w:t>
            </w:r>
          </w:p>
        </w:tc>
        <w:tc>
          <w:tcPr/>
          <w:p>
            <w:pPr>
              <w:pStyle w:val="Compact"/>
              <w:jc w:val="left"/>
            </w:pPr>
            <w:r>
              <w:t xml:space="preserve">150 India re-basing items (see Section F)</w:t>
            </w:r>
          </w:p>
        </w:tc>
        <w:tc>
          <w:tcPr/>
          <w:p>
            <w:pPr>
              <w:pStyle w:val="Compact"/>
              <w:jc w:val="left"/>
            </w:pPr>
            <w:r>
              <w:t xml:space="preserve">Coverage-verified per product</w:t>
            </w:r>
          </w:p>
        </w:tc>
      </w:tr>
      <w:tr>
        <w:tc>
          <w:tcPr/>
          <w:p>
            <w:pPr>
              <w:pStyle w:val="Compact"/>
              <w:jc w:val="left"/>
            </w:pPr>
            <w:r>
              <w:t xml:space="preserve">FIX-21</w:t>
            </w:r>
          </w:p>
        </w:tc>
        <w:tc>
          <w:tcPr/>
          <w:p>
            <w:pPr>
              <w:pStyle w:val="Compact"/>
              <w:jc w:val="left"/>
            </w:pPr>
            <w:r>
              <w:t xml:space="preserve">Data fix</w:t>
            </w:r>
          </w:p>
        </w:tc>
        <w:tc>
          <w:tcPr/>
          <w:p>
            <w:pPr>
              <w:pStyle w:val="Compact"/>
              <w:jc w:val="left"/>
            </w:pPr>
            <w:r>
              <w:rPr>
                <w:rStyle w:val="VerbatimChar"/>
              </w:rPr>
              <w:t xml:space="preserve">FND-03.1.01</w:t>
            </w:r>
            <w:r>
              <w:t xml:space="preserve"> </w:t>
            </w:r>
            <w:r>
              <w:t xml:space="preserve">→</w:t>
            </w:r>
            <w:r>
              <w:t xml:space="preserve"> </w:t>
            </w:r>
            <w:r>
              <w:rPr>
                <w:rStyle w:val="VerbatimChar"/>
              </w:rPr>
              <w:t xml:space="preserve">FND-07.1.01</w:t>
            </w:r>
            <w:r>
              <w:t xml:space="preserve"> </w:t>
            </w:r>
            <w:r>
              <w:t xml:space="preserve">(M3 event envelope contract) and</w:t>
            </w:r>
            <w:r>
              <w:t xml:space="preserve"> </w:t>
            </w:r>
            <w:r>
              <w:rPr>
                <w:rStyle w:val="VerbatimChar"/>
              </w:rPr>
              <w:t xml:space="preserve">TLA-03.1.01</w:t>
            </w:r>
            <w:r>
              <w:t xml:space="preserve"> </w:t>
            </w:r>
            <w:r>
              <w:t xml:space="preserve">→</w:t>
            </w:r>
            <w:r>
              <w:t xml:space="preserve"> </w:t>
            </w:r>
            <w:r>
              <w:rPr>
                <w:rStyle w:val="VerbatimChar"/>
              </w:rPr>
              <w:t xml:space="preserve">TLA-01.1.01</w:t>
            </w:r>
            <w:r>
              <w:t xml:space="preserve"> </w:t>
            </w:r>
            <w:r>
              <w:t xml:space="preserve">(competency object model) where the dependent sat earlier</w:t>
            </w:r>
          </w:p>
        </w:tc>
        <w:tc>
          <w:tcPr/>
          <w:p>
            <w:pPr>
              <w:pStyle w:val="Compact"/>
              <w:jc w:val="left"/>
            </w:pPr>
            <w:r>
              <w:t xml:space="preserve">22 references corrected, logged</w:t>
            </w:r>
          </w:p>
        </w:tc>
      </w:tr>
      <w:tr>
        <w:tc>
          <w:tcPr/>
          <w:p>
            <w:pPr>
              <w:pStyle w:val="Compact"/>
              <w:jc w:val="left"/>
            </w:pPr>
            <w:r>
              <w:t xml:space="preserve">FIX-22</w:t>
            </w:r>
          </w:p>
        </w:tc>
        <w:tc>
          <w:tcPr/>
          <w:p>
            <w:pPr>
              <w:pStyle w:val="Compact"/>
              <w:jc w:val="left"/>
            </w:pPr>
            <w:r>
              <w:t xml:space="preserve">Data fix</w:t>
            </w:r>
          </w:p>
        </w:tc>
        <w:tc>
          <w:tcPr/>
          <w:p>
            <w:pPr>
              <w:pStyle w:val="Compact"/>
              <w:jc w:val="left"/>
            </w:pPr>
            <w:r>
              <w:t xml:space="preserve">ID collision between the two new item sets resolved</w:t>
            </w:r>
            <w:r>
              <w:t xml:space="preserve"> </w:t>
            </w:r>
            <w:r>
              <w:rPr>
                <w:bCs/>
                <w:b/>
              </w:rPr>
              <w:t xml:space="preserve">before issue</w:t>
            </w:r>
            <w:r>
              <w:t xml:space="preserve"> </w:t>
            </w:r>
            <w:r>
              <w:t xml:space="preserve">(benefits-realisation task renumbered PRG-93 → PRG-89)</w:t>
            </w:r>
          </w:p>
        </w:tc>
        <w:tc>
          <w:tcPr/>
          <w:p>
            <w:pPr>
              <w:pStyle w:val="Compact"/>
              <w:jc w:val="left"/>
            </w:pPr>
            <w:r>
              <w:t xml:space="preserve">Zero duplicate IDs in v3</w:t>
            </w:r>
          </w:p>
        </w:tc>
      </w:tr>
    </w:tbl>
    <w:p>
      <w:pPr>
        <w:pStyle w:val="BodyText"/>
      </w:pPr>
      <w:r>
        <w:rPr>
          <w:bCs/>
          <w:b/>
        </w:rPr>
        <w:t xml:space="preserve">Declined, with reason.</w:t>
      </w:r>
      <w:r>
        <w:t xml:space="preserve"> </w:t>
      </w:r>
      <w:r>
        <w:t xml:space="preserve">Three near-duplicate item texts (F-21) were left in place: they sit in different categories with different acceptance criteria, and merging them would change two squads’ scope — logged for squad-lead decision instead. The 40 remaining sequence exceptions were flagged rather than rewritten: changing a stage assignment changes the programme’s sequencing commitment, which is a human decision, not an auditor’s.</w:t>
      </w:r>
    </w:p>
    <w:p>
      <w:r>
        <w:pict>
          <v:rect style="width:0;height:1.5pt" o:hralign="center" o:hrstd="t" o:hr="t"/>
        </w:pict>
      </w:r>
    </w:p>
    <w:bookmarkEnd w:id="33"/>
    <w:bookmarkStart w:id="34" w:name="f.-india-re-basing-change-set-loop-6"/>
    <w:p>
      <w:pPr>
        <w:pStyle w:val="Heading1"/>
      </w:pPr>
      <w:r>
        <w:t xml:space="preserve">F. India Re-basing Change-Set (Loop 6)</w:t>
      </w:r>
    </w:p>
    <w:p>
      <w:pPr>
        <w:pStyle w:val="FirstParagraph"/>
      </w:pPr>
      <w:r>
        <w:rPr>
          <w:bCs/>
          <w:b/>
        </w:rPr>
        <w:t xml:space="preserve">The immersive lab is now a product, not two projects.</w:t>
      </w:r>
      <w:r>
        <w:t xml:space="preserve"> </w:t>
      </w:r>
      <w:r>
        <w:t xml:space="preserve">D20 becomes the</w:t>
      </w:r>
      <w:r>
        <w:t xml:space="preserve"> </w:t>
      </w:r>
      <w:r>
        <w:rPr>
          <w:bCs/>
          <w:b/>
        </w:rPr>
        <w:t xml:space="preserve">Immersive Lab — Reference Site (India)</w:t>
      </w:r>
      <w:r>
        <w:t xml:space="preserve">: the first lab, built to a documented reference design, validated, and frozen as the template. D21 becomes the</w:t>
      </w:r>
      <w:r>
        <w:t xml:space="preserve"> </w:t>
      </w:r>
      <w:r>
        <w:rPr>
          <w:bCs/>
          <w:b/>
        </w:rPr>
        <w:t xml:space="preserve">Immersive Lab — Replication Site (India)</w:t>
      </w:r>
      <w:r>
        <w:t xml:space="preserve">, deliverable only as a controlled replication of that frozen reference, with divergence auditing and config-stamped events so training evidence stays comparable between sites. The gate is preserved structurally — every D21 item depends on the D20 validation item, so replication cannot start early.</w:t>
      </w:r>
    </w:p>
    <w:p>
      <w:pPr>
        <w:pStyle w:val="BodyText"/>
      </w:pPr>
      <w:r>
        <w:t xml:space="preserve">The genuinely new piece is</w:t>
      </w:r>
      <w:r>
        <w:t xml:space="preserve"> </w:t>
      </w:r>
      <w:r>
        <w:rPr>
          <w:bCs/>
          <w:b/>
        </w:rPr>
        <w:t xml:space="preserve">E12 — Site Deployment Kit — Repeatable Immersive Lab (India)</w:t>
      </w:r>
      <w:r>
        <w:t xml:space="preserve"> </w:t>
      </w:r>
      <w:r>
        <w:t xml:space="preserve">(33 items): site survey template, bill of materials with India sourcing notes, installation runbook, commissioning and acceptance checklist, handover pack, AMC and spares plan with mean-time-to-repair commitments, local vendor onboarding, and a lab-technician training pack. With this, lab number three is a rollout, not a re-plan — which is what makes the labs sellable across the Indian market rather than deliverable twice.</w:t>
      </w:r>
    </w:p>
    <w:p>
      <w:pPr>
        <w:pStyle w:val="BodyText"/>
      </w:pPr>
      <w:r>
        <w:rPr>
          <w:bCs/>
          <w:b/>
        </w:rPr>
        <w:t xml:space="preserve">What a foreign-base plan never contained, now planned</w:t>
      </w:r>
      <w:r>
        <w:t xml:space="preserve"> </w:t>
      </w:r>
      <w:r>
        <w:t xml:space="preserve">(150 items total): power</w:t>
      </w:r>
      <w:r>
        <w:t xml:space="preserve"> </w:t>
      </w:r>
      <w:r>
        <w:rPr>
          <w:iCs/>
          <w:i/>
        </w:rPr>
        <w:t xml:space="preserve">quality</w:t>
      </w:r>
      <w:r>
        <w:t xml:space="preserve"> </w:t>
      </w:r>
      <w:r>
        <w:t xml:space="preserve">rather than merely power supply — measured worst-case draw for UPS sizing, generator cutover proven mid-session, servo voltage stabilisation logged over two weeks, and earth/neutral-earth measurement, because sustained voltage excursions and poor earthing destroy edge servers long before an outage does; thermal load and HVAC sizing with 72-hour and seasonal logging, plus filtered enclosures and inspection intervals for monsoon humidity and dust ingress on headset optics; customs classification, import-duty lead-time bands, held-consignment contingency and goods-inward reconciliation, plus GST place-of-supply treatment for interstate hardware movement and transit-damage handling; physical security, asset tagging and insurance; headset hygiene protocol; play-area safety, flooring, lighting and room dimensions in the site survey; electrical safety and earthing certification; and e-waste disposal.</w:t>
      </w:r>
    </w:p>
    <w:p>
      <w:pPr>
        <w:pStyle w:val="BodyText"/>
      </w:pPr>
      <w:r>
        <w:rPr>
          <w:bCs/>
          <w:b/>
        </w:rPr>
        <w:t xml:space="preserve">Four Indian deployment contexts</w:t>
      </w:r>
      <w:r>
        <w:t xml:space="preserve"> </w:t>
      </w:r>
      <w:r>
        <w:t xml:space="preserve">are now first-class kit variants, each with its own survey and acceptance nuances: enterprise/industrial training centre, ITI/polytechnic/skilling institute, university/college campus, and secure/disconnected enterprise site.</w:t>
      </w:r>
    </w:p>
    <w:p>
      <w:pPr>
        <w:pStyle w:val="BodyText"/>
      </w:pPr>
      <w:r>
        <w:rPr>
          <w:bCs/>
          <w:b/>
        </w:rPr>
        <w:t xml:space="preserve">Competency frameworks gained an Indian anchor</w:t>
      </w:r>
      <w:r>
        <w:t xml:space="preserve"> </w:t>
      </w:r>
      <w:r>
        <w:t xml:space="preserve">(18 items on D08): NSQF level descriptors, NCVET-recognised qualification packs and sector-skill-council job roles as registry fixtures, NEP-aligned credit and outcome mapping for education customers, a crosswalk item between an Indian framework and an enterprise framework, and usage-rights items that block loading any framework whose rights are unconfirmed.</w:t>
      </w:r>
    </w:p>
    <w:p>
      <w:pPr>
        <w:pStyle w:val="BodyText"/>
      </w:pPr>
      <w:r>
        <w:rPr>
          <w:bCs/>
          <w:b/>
        </w:rPr>
        <w:t xml:space="preserve">Legal and commercial reality</w:t>
      </w:r>
      <w:r>
        <w:t xml:space="preserve"> </w:t>
      </w:r>
      <w:r>
        <w:t xml:space="preserve">(E10, 45 items): DPDP Act obligations as engineering work — consent per purpose with withdrawal propagating into derived and federated stores, data-principal access/correction/erasure, breach-notification workflow and timelines, data-fiduciary duties, and children’s-data restrictions for education customers; a data-processing-agreement template per customer pending Indian counsel review; an India-hosted / MeitY-empanelled deployment option with an empanelment-gap assessment; records retention under Indian law; Indian accessibility-standard conformance alongside WCAG 2.2 AA; INR cost fields; GeM procurement route for public customers; and pricing/licence model work per Indian buyer segment.</w:t>
      </w:r>
    </w:p>
    <w:p>
      <w:pPr>
        <w:pStyle w:val="BodyText"/>
      </w:pPr>
      <w:r>
        <w:rPr>
          <w:bCs/>
          <w:b/>
        </w:rPr>
        <w:t xml:space="preserve">Market-neutral naming.</w:t>
      </w:r>
      <w:r>
        <w:t xml:space="preserve"> </w:t>
      </w:r>
      <w:r>
        <w:t xml:space="preserve">D03 no longer names a foreign command — it is</w:t>
      </w:r>
      <w:r>
        <w:t xml:space="preserve"> </w:t>
      </w:r>
      <w:r>
        <w:rPr>
          <w:iCs/>
          <w:i/>
        </w:rPr>
        <w:t xml:space="preserve">Security Accreditation &amp; Authorisation to Operate — Initiation</w:t>
      </w:r>
      <w:r>
        <w:t xml:space="preserve">, with the authority left as an open Human-Input entry (deferred by your direction, but as a registered blank rather than a foreign placeholder). D17 becomes</w:t>
      </w:r>
      <w:r>
        <w:t xml:space="preserve"> </w:t>
      </w:r>
      <w:r>
        <w:rPr>
          <w:iCs/>
          <w:i/>
        </w:rPr>
        <w:t xml:space="preserve">Cross-Organisation / Cross-Command Data Pipeline</w:t>
      </w:r>
      <w:r>
        <w:t xml:space="preserve">, with organisation-type-agnostic topology configuration so the same product federates multi-campus and multi-plant customers as readily as command structures.</w:t>
      </w:r>
    </w:p>
    <w:p>
      <w:pPr>
        <w:pStyle w:val="BodyText"/>
      </w:pPr>
      <w:r>
        <w:rPr>
          <w:bCs/>
          <w:b/>
        </w:rPr>
        <w:t xml:space="preserve">Language.</w:t>
      </w:r>
      <w:r>
        <w:t xml:space="preserve"> </w:t>
      </w:r>
      <w:r>
        <w:t xml:space="preserve">The localization programme finally has a spine: a decision item fixing the language tier matrix (English plus a named set of Indian languages per tier — UI, content, AI interaction, assessment, support), with downstream items for in-headset Indic script shaping, mobile and eBook typography, per-language AI evaluation baselines, regional-language lab signage, and translation-currency verification. Every per-language item must cite the matrix, and there is an audit item that fails any that does not.</w:t>
      </w:r>
    </w:p>
    <w:p>
      <w:r>
        <w:pict>
          <v:rect style="width:0;height:1.5pt" o:hralign="center" o:hrstd="t" o:hr="t"/>
        </w:pict>
      </w:r>
    </w:p>
    <w:bookmarkEnd w:id="34"/>
    <w:bookmarkStart w:id="35" w:name="g.-new-sheet-specifications-loop-9"/>
    <w:p>
      <w:pPr>
        <w:pStyle w:val="Heading1"/>
      </w:pPr>
      <w:r>
        <w:t xml:space="preserve">G. New Sheet Specifications (Loop 9)</w:t>
      </w:r>
    </w:p>
    <w:p>
      <w:pPr>
        <w:pStyle w:val="FirstParagraph"/>
      </w:pPr>
      <w:r>
        <w:rPr>
          <w:bCs/>
          <w:b/>
        </w:rPr>
        <w:t xml:space="preserve">Sprint Calendar</w:t>
      </w:r>
      <w:r>
        <w:t xml:space="preserve"> </w:t>
      </w:r>
      <w:r>
        <w:t xml:space="preserve">— one row per sprint (ID, start, end, working days, stage, goal, scope-freeze, demo). Owned by the Delivery Manager, updated at sprint boundaries. This is the sheet that converts</w:t>
      </w:r>
      <w:r>
        <w:t xml:space="preserve"> </w:t>
      </w:r>
      <w:r>
        <w:rPr>
          <w:rStyle w:val="VerbatimChar"/>
        </w:rPr>
        <w:t xml:space="preserve">TargetSprint</w:t>
      </w:r>
      <w:r>
        <w:t xml:space="preserve"> </w:t>
      </w:r>
      <w:r>
        <w:t xml:space="preserve">from a label into a date.</w:t>
      </w:r>
    </w:p>
    <w:p>
      <w:pPr>
        <w:pStyle w:val="BodyText"/>
      </w:pPr>
      <w:r>
        <w:rPr>
          <w:bCs/>
          <w:b/>
        </w:rPr>
        <w:t xml:space="preserve">Capacity Plan</w:t>
      </w:r>
      <w:r>
        <w:t xml:space="preserve"> </w:t>
      </w:r>
      <w:r>
        <w:t xml:space="preserve">— one row per person per sprint (role, squad, test team, cost centre, available days, allocated days, over-allocation flag). Allocated days is a SUMIFS across the Master Checklist matching Assignee and TargetSprint, so it becomes live the moment estimates and names exist. Owned by the Resource Manager, reviewed weekly.</w:t>
      </w:r>
    </w:p>
    <w:p>
      <w:pPr>
        <w:pStyle w:val="BodyText"/>
      </w:pPr>
      <w:r>
        <w:rPr>
          <w:bCs/>
          <w:b/>
        </w:rPr>
        <w:t xml:space="preserve">Stage Gates</w:t>
      </w:r>
      <w:r>
        <w:t xml:space="preserve"> </w:t>
      </w:r>
      <w:r>
        <w:t xml:space="preserve">— one row per stage with computed item count, done count, open-P0 count and a PASS/OPEN status, plus human-entered gate owner, target date and entry/exit criteria. Owned by the PMO. Today it reads: Stage 0 has 292 items and 25 open P0s.</w:t>
      </w:r>
    </w:p>
    <w:p>
      <w:pPr>
        <w:pStyle w:val="BodyText"/>
      </w:pPr>
      <w:r>
        <w:rPr>
          <w:bCs/>
          <w:b/>
        </w:rPr>
        <w:t xml:space="preserve">Defect Log</w:t>
      </w:r>
      <w:r>
        <w:t xml:space="preserve"> </w:t>
      </w:r>
      <w:r>
        <w:t xml:space="preserve">— defect ID, raised date, found-in item, product, environment, test team, severity S1–S4, summary, status,</w:t>
      </w:r>
      <w:r>
        <w:t xml:space="preserve"> </w:t>
      </w:r>
      <w:r>
        <w:rPr>
          <w:bCs/>
          <w:b/>
        </w:rPr>
        <w:t xml:space="preserve">fix item ID</w:t>
      </w:r>
      <w:r>
        <w:t xml:space="preserve">, retest result, closed date, owner. Owned by the QA Director. The fix-item link is the part that matters: it is what stops a defect being closed without work being done, and what stops a build item reading</w:t>
      </w:r>
      <w:r>
        <w:t xml:space="preserve"> </w:t>
      </w:r>
      <w:r>
        <w:t xml:space="preserve">“</w:t>
      </w:r>
      <w:r>
        <w:t xml:space="preserve">Done</w:t>
      </w:r>
      <w:r>
        <w:t xml:space="preserve">”</w:t>
      </w:r>
      <w:r>
        <w:t xml:space="preserve"> </w:t>
      </w:r>
      <w:r>
        <w:t xml:space="preserve">while its rework is outstanding.</w:t>
      </w:r>
    </w:p>
    <w:p>
      <w:pPr>
        <w:pStyle w:val="BodyText"/>
      </w:pPr>
      <w:r>
        <w:rPr>
          <w:bCs/>
          <w:b/>
        </w:rPr>
        <w:t xml:space="preserve">Environment Register</w:t>
      </w:r>
      <w:r>
        <w:t xml:space="preserve"> </w:t>
      </w:r>
      <w:r>
        <w:t xml:space="preserve">— environment, purpose, deployment class served, owner, readiness date, status, INR cost basis, live dependent-item count, blocking flag. Seeded with the enclave simulator (102 dependent items, currently unfunded and unowned), LMS certification, lab edge, staging and demo estates. Owned by DevSecOps.</w:t>
      </w:r>
    </w:p>
    <w:p>
      <w:pPr>
        <w:pStyle w:val="BodyText"/>
      </w:pPr>
      <w:r>
        <w:rPr>
          <w:bCs/>
          <w:b/>
        </w:rPr>
        <w:t xml:space="preserve">Procurement &amp; Long-Lead</w:t>
      </w:r>
      <w:r>
        <w:t xml:space="preserve"> </w:t>
      </w:r>
      <w:r>
        <w:t xml:space="preserve">— item, product, quantity, unit and total INR cost, lead time, needed-by stage, order-by date, customs/duty allowance, vendor, status, owner. Owned jointly by Procurement and the PMO. Order-by date is stage start minus lead time minus customs allowance.</w:t>
      </w:r>
    </w:p>
    <w:p>
      <w:pPr>
        <w:pStyle w:val="BodyText"/>
      </w:pPr>
      <w:r>
        <w:rPr>
          <w:bCs/>
          <w:b/>
        </w:rPr>
        <w:t xml:space="preserve">Risk &amp; Issue Register</w:t>
      </w:r>
      <w:r>
        <w:t xml:space="preserve"> </w:t>
      </w:r>
      <w:r>
        <w:t xml:space="preserve">— carried from the architecture review with six P0/P1 risks seeded, each with response, owner, review date and linked items. Owned by the Risk Manager, reviewed monthly.</w:t>
      </w:r>
    </w:p>
    <w:p>
      <w:pPr>
        <w:pStyle w:val="BodyText"/>
      </w:pPr>
      <w:r>
        <w:rPr>
          <w:bCs/>
          <w:b/>
        </w:rPr>
        <w:t xml:space="preserve">Weekly Snapshot</w:t>
      </w:r>
      <w:r>
        <w:t xml:space="preserve"> </w:t>
      </w:r>
      <w:r>
        <w:t xml:space="preserve">— week ending, totals, done, in progress, blocked, % done, open P0s, open defects. Pasted as values every Friday, never linked. Without it there is no velocity and no forecast.</w:t>
      </w:r>
    </w:p>
    <w:p>
      <w:pPr>
        <w:pStyle w:val="BodyText"/>
      </w:pPr>
      <w:r>
        <w:rPr>
          <w:bCs/>
          <w:b/>
        </w:rPr>
        <w:t xml:space="preserve">Acceptance &amp; Sign-off</w:t>
      </w:r>
      <w:r>
        <w:t xml:space="preserve"> </w:t>
      </w:r>
      <w:r>
        <w:t xml:space="preserve">— one row per product (all 43 pre-listed) with acceptance-criteria reference, evidence bundle link, reviewer, approver, sign-off date and waivers. This is the record the final acceptance event and the Final Report are assembled from.</w:t>
      </w:r>
    </w:p>
    <w:p>
      <w:pPr>
        <w:pStyle w:val="BodyText"/>
      </w:pPr>
      <w:r>
        <w:rPr>
          <w:bCs/>
          <w:b/>
        </w:rPr>
        <w:t xml:space="preserve">Skills Matrix</w:t>
      </w:r>
      <w:r>
        <w:t xml:space="preserve"> </w:t>
      </w:r>
      <w:r>
        <w:t xml:space="preserve">— person × eleven capabilities (LTI 1.3, xAPI/LRS, Metabase/BI, PostgreSQL+RLS, model ops, XR/Unity, React Native, Indic NLP, accessibility, security, instructional design) with a bus-factor column. Any capability with one person at working proficiency is a flagged risk.</w:t>
      </w:r>
    </w:p>
    <w:p>
      <w:pPr>
        <w:pStyle w:val="BodyText"/>
      </w:pPr>
      <w:r>
        <w:rPr>
          <w:bCs/>
          <w:b/>
        </w:rPr>
        <w:t xml:space="preserve">Change Log</w:t>
      </w:r>
      <w:r>
        <w:t xml:space="preserve"> </w:t>
      </w:r>
      <w:r>
        <w:t xml:space="preserve">— change ID, type, description, before, after, affected scope. Nineteen entries already record the v3 remediation; every future scope change adds a row with requester and approver.</w:t>
      </w:r>
    </w:p>
    <w:p>
      <w:pPr>
        <w:pStyle w:val="BodyText"/>
      </w:pPr>
      <w:r>
        <w:rPr>
          <w:bCs/>
          <w:b/>
        </w:rPr>
        <w:t xml:space="preserve">Lists</w:t>
      </w:r>
      <w:r>
        <w:t xml:space="preserve"> </w:t>
      </w:r>
      <w:r>
        <w:t xml:space="preserve">— the controlled vocabularies behind every dropdown, exposed as named ranges. Edit here once and the validation updates across the workbook.</w:t>
      </w:r>
    </w:p>
    <w:p>
      <w:r>
        <w:pict>
          <v:rect style="width:0;height:1.5pt" o:hralign="center" o:hrstd="t" o:hr="t"/>
        </w:pict>
      </w:r>
    </w:p>
    <w:bookmarkEnd w:id="35"/>
    <w:bookmarkStart w:id="36" w:name="h.-verification-report-loop-11"/>
    <w:p>
      <w:pPr>
        <w:pStyle w:val="Heading1"/>
      </w:pPr>
      <w:r>
        <w:t xml:space="preserve">H. Verification Report (Loop 11)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Item count 1,830 → 2,120, delta fully explained (150 India + 140 scope)</w:t>
            </w:r>
          </w:p>
        </w:tc>
        <w:tc>
          <w:tcPr/>
          <w:p>
            <w:pPr>
              <w:pStyle w:val="Compact"/>
              <w:jc w:val="left"/>
            </w:pPr>
            <w:r>
              <w:rPr>
                <w:bCs/>
                <w:b/>
              </w:rPr>
              <w:t xml:space="preserve">PASS</w:t>
            </w:r>
          </w:p>
        </w:tc>
      </w:tr>
      <w:tr>
        <w:tc>
          <w:tcPr/>
          <w:p>
            <w:pPr>
              <w:pStyle w:val="Compact"/>
              <w:jc w:val="left"/>
            </w:pPr>
            <w:r>
              <w:t xml:space="preserve">Every v2 ID preserved (old ID set is a subset of new)</w:t>
            </w:r>
          </w:p>
        </w:tc>
        <w:tc>
          <w:tcPr/>
          <w:p>
            <w:pPr>
              <w:pStyle w:val="Compact"/>
              <w:jc w:val="left"/>
            </w:pPr>
            <w:r>
              <w:rPr>
                <w:bCs/>
                <w:b/>
              </w:rPr>
              <w:t xml:space="preserve">PASS</w:t>
            </w:r>
            <w:r>
              <w:t xml:space="preserve"> </w:t>
            </w:r>
            <w:r>
              <w:t xml:space="preserve">— 0 missing</w:t>
            </w:r>
          </w:p>
        </w:tc>
      </w:tr>
      <w:tr>
        <w:tc>
          <w:tcPr/>
          <w:p>
            <w:pPr>
              <w:pStyle w:val="Compact"/>
              <w:jc w:val="left"/>
            </w:pPr>
            <w:r>
              <w:t xml:space="preserve">Zero duplicate IDs</w:t>
            </w:r>
          </w:p>
        </w:tc>
        <w:tc>
          <w:tcPr/>
          <w:p>
            <w:pPr>
              <w:pStyle w:val="Compact"/>
              <w:jc w:val="left"/>
            </w:pPr>
            <w:r>
              <w:rPr>
                <w:bCs/>
                <w:b/>
              </w:rPr>
              <w:t xml:space="preserve">PASS</w:t>
            </w:r>
            <w:r>
              <w:t xml:space="preserve"> </w:t>
            </w:r>
            <w:r>
              <w:t xml:space="preserve">(7 collisions caught and resolved pre-issue)</w:t>
            </w:r>
          </w:p>
        </w:tc>
      </w:tr>
      <w:tr>
        <w:tc>
          <w:tcPr/>
          <w:p>
            <w:pPr>
              <w:pStyle w:val="Compact"/>
              <w:jc w:val="left"/>
            </w:pPr>
            <w:r>
              <w:t xml:space="preserve">Zero formula errors after recalculation (417 formulas)</w:t>
            </w:r>
          </w:p>
        </w:tc>
        <w:tc>
          <w:tcPr/>
          <w:p>
            <w:pPr>
              <w:pStyle w:val="Compact"/>
              <w:jc w:val="left"/>
            </w:pPr>
            <w:r>
              <w:rPr>
                <w:bCs/>
                <w:b/>
              </w:rPr>
              <w:t xml:space="preserve">PASS</w:t>
            </w:r>
          </w:p>
        </w:tc>
      </w:tr>
      <w:tr>
        <w:tc>
          <w:tcPr/>
          <w:p>
            <w:pPr>
              <w:pStyle w:val="Compact"/>
              <w:jc w:val="left"/>
            </w:pPr>
            <w:r>
              <w:t xml:space="preserve">Zero dangling dependency references</w:t>
            </w:r>
          </w:p>
        </w:tc>
        <w:tc>
          <w:tcPr/>
          <w:p>
            <w:pPr>
              <w:pStyle w:val="Compact"/>
              <w:jc w:val="left"/>
            </w:pPr>
            <w:r>
              <w:rPr>
                <w:bCs/>
                <w:b/>
              </w:rPr>
              <w:t xml:space="preserve">PASS</w:t>
            </w:r>
          </w:p>
        </w:tc>
      </w:tr>
      <w:tr>
        <w:tc>
          <w:tcPr/>
          <w:p>
            <w:pPr>
              <w:pStyle w:val="Compact"/>
              <w:jc w:val="left"/>
            </w:pPr>
            <w:r>
              <w:t xml:space="preserve">All 43 products carry items</w:t>
            </w:r>
          </w:p>
        </w:tc>
        <w:tc>
          <w:tcPr/>
          <w:p>
            <w:pPr>
              <w:pStyle w:val="Compact"/>
              <w:jc w:val="left"/>
            </w:pPr>
            <w:r>
              <w:rPr>
                <w:bCs/>
                <w:b/>
              </w:rPr>
              <w:t xml:space="preserve">PASS</w:t>
            </w:r>
          </w:p>
        </w:tc>
      </w:tr>
      <w:tr>
        <w:tc>
          <w:tcPr/>
          <w:p>
            <w:pPr>
              <w:pStyle w:val="Compact"/>
              <w:jc w:val="left"/>
            </w:pPr>
            <w:r>
              <w:t xml:space="preserve">All 44 modules (M1–M38, P1–P6) present</w:t>
            </w:r>
          </w:p>
        </w:tc>
        <w:tc>
          <w:tcPr/>
          <w:p>
            <w:pPr>
              <w:pStyle w:val="Compact"/>
              <w:jc w:val="left"/>
            </w:pPr>
            <w:r>
              <w:rPr>
                <w:bCs/>
                <w:b/>
              </w:rPr>
              <w:t xml:space="preserve">PASS</w:t>
            </w:r>
          </w:p>
        </w:tc>
      </w:tr>
      <w:tr>
        <w:tc>
          <w:tcPr/>
          <w:p>
            <w:pPr>
              <w:pStyle w:val="Compact"/>
              <w:jc w:val="left"/>
            </w:pPr>
            <w:r>
              <w:t xml:space="preserve">All 16 stress scenarios covered by test items</w:t>
            </w:r>
          </w:p>
        </w:tc>
        <w:tc>
          <w:tcPr/>
          <w:p>
            <w:pPr>
              <w:pStyle w:val="Compact"/>
              <w:jc w:val="left"/>
            </w:pPr>
            <w:r>
              <w:rPr>
                <w:bCs/>
                <w:b/>
              </w:rPr>
              <w:t xml:space="preserve">PASS</w:t>
            </w:r>
          </w:p>
        </w:tc>
      </w:tr>
      <w:tr>
        <w:tc>
          <w:tcPr/>
          <w:p>
            <w:pPr>
              <w:pStyle w:val="Compact"/>
              <w:jc w:val="left"/>
            </w:pPr>
            <w:r>
              <w:t xml:space="preserve">Zero foreign-installation or foreign-command naming</w:t>
            </w:r>
          </w:p>
        </w:tc>
        <w:tc>
          <w:tcPr/>
          <w:p>
            <w:pPr>
              <w:pStyle w:val="Compact"/>
              <w:jc w:val="left"/>
            </w:pPr>
            <w:r>
              <w:rPr>
                <w:bCs/>
                <w:b/>
              </w:rPr>
              <w:t xml:space="preserve">PASS</w:t>
            </w:r>
            <w:r>
              <w:t xml:space="preserve"> </w:t>
            </w:r>
            <w:r>
              <w:t xml:space="preserve">(was 52 rows)</w:t>
            </w:r>
          </w:p>
        </w:tc>
      </w:tr>
      <w:tr>
        <w:tc>
          <w:tcPr/>
          <w:p>
            <w:pPr>
              <w:pStyle w:val="Compact"/>
              <w:jc w:val="left"/>
            </w:pPr>
            <w:r>
              <w:t xml:space="preserve">Every new sheet carries a</w:t>
            </w:r>
            <w:r>
              <w:t xml:space="preserve"> </w:t>
            </w:r>
            <w:r>
              <w:rPr>
                <w:rStyle w:val="VerbatimChar"/>
              </w:rPr>
              <w:t xml:space="preserve">PROVISIONAL:</w:t>
            </w:r>
            <w:r>
              <w:t xml:space="preserve"> </w:t>
            </w:r>
            <w:r>
              <w:t xml:space="preserve">example and no fabricated real-world data</w:t>
            </w:r>
          </w:p>
        </w:tc>
        <w:tc>
          <w:tcPr/>
          <w:p>
            <w:pPr>
              <w:pStyle w:val="Compact"/>
              <w:jc w:val="left"/>
            </w:pPr>
            <w:r>
              <w:rPr>
                <w:bCs/>
                <w:b/>
              </w:rPr>
              <w:t xml:space="preserve">PASS</w:t>
            </w:r>
          </w:p>
        </w:tc>
      </w:tr>
      <w:tr>
        <w:tc>
          <w:tcPr/>
          <w:p>
            <w:pPr>
              <w:pStyle w:val="Compact"/>
              <w:jc w:val="left"/>
            </w:pPr>
            <w:r>
              <w:t xml:space="preserve">Every P0/P1 finding fixed, flagged, or escalated to Human-Input</w:t>
            </w:r>
          </w:p>
        </w:tc>
        <w:tc>
          <w:tcPr/>
          <w:p>
            <w:pPr>
              <w:pStyle w:val="Compact"/>
              <w:jc w:val="left"/>
            </w:pPr>
            <w:r>
              <w:rPr>
                <w:bCs/>
                <w:b/>
              </w:rPr>
              <w:t xml:space="preserve">PASS</w:t>
            </w:r>
          </w:p>
        </w:tc>
      </w:tr>
    </w:tbl>
    <w:p>
      <w:pPr>
        <w:pStyle w:val="BodyText"/>
      </w:pPr>
      <w:r>
        <w:rPr>
          <w:bCs/>
          <w:b/>
        </w:rPr>
        <w:t xml:space="preserve">Squad totals after remediation:</w:t>
      </w:r>
      <w:r>
        <w:t xml:space="preserve"> </w:t>
      </w:r>
      <w:r>
        <w:t xml:space="preserve">SQ1 Platform Core 317 · SQ2 Learning Tools 335 · SQ3 Data &amp; Analytics 202 · SQ4 TLA &amp; Federation 264 · SQ5 AI &amp; Assessment 304 · SQ6 Content &amp; Authoring 157 · SQ7 Field &amp; Immersive 271 · SQ8 Program &amp; Governance 192 · QA Guild 78.</w:t>
      </w:r>
      <w:r>
        <w:t xml:space="preserve"> </w:t>
      </w:r>
      <w:r>
        <w:rPr>
          <w:bCs/>
          <w:b/>
        </w:rPr>
        <w:t xml:space="preserve">Stage totals:</w:t>
      </w:r>
      <w:r>
        <w:t xml:space="preserve"> </w:t>
      </w:r>
      <w:r>
        <w:t xml:space="preserve">292 / 498 / 496 / 513 / 212 / 109.</w:t>
      </w:r>
    </w:p>
    <w:p>
      <w:r>
        <w:pict>
          <v:rect style="width:0;height:1.5pt" o:hralign="center" o:hrstd="t" o:hr="t"/>
        </w:pict>
      </w:r>
    </w:p>
    <w:bookmarkEnd w:id="36"/>
    <w:bookmarkStart w:id="37" w:name="i.-human-input-register-loop-12"/>
    <w:p>
      <w:pPr>
        <w:pStyle w:val="Heading1"/>
      </w:pPr>
      <w:r>
        <w:t xml:space="preserve">I. Human-Input Register (Loop 12)</w:t>
      </w:r>
    </w:p>
    <w:p>
      <w:pPr>
        <w:pStyle w:val="FirstParagraph"/>
      </w:pPr>
      <w:r>
        <w:t xml:space="preserve">Ordered by what it blocks. Each is a registered blank in v3, not an omission.</w:t>
      </w:r>
    </w:p>
    <w:p>
      <w:pPr>
        <w:numPr>
          <w:ilvl w:val="0"/>
          <w:numId w:val="1001"/>
        </w:numPr>
        <w:pStyle w:val="Compact"/>
      </w:pPr>
      <w:r>
        <w:rPr>
          <w:bCs/>
          <w:b/>
        </w:rPr>
        <w:t xml:space="preserve">The nine squad and test-team leads, and the 43 product owners.</w:t>
      </w:r>
      <w:r>
        <w:t xml:space="preserve"> </w:t>
      </w:r>
      <w:r>
        <w:t xml:space="preserve">Blocks every assignment. Consequence of delay: 2,120 items with no accountable person; the Summary</w:t>
      </w:r>
      <w:r>
        <w:t xml:space="preserve"> </w:t>
      </w:r>
      <w:r>
        <w:t xml:space="preserve">“</w:t>
      </w:r>
      <w:r>
        <w:t xml:space="preserve">Unassigned</w:t>
      </w:r>
      <w:r>
        <w:t xml:space="preserve">”</w:t>
      </w:r>
      <w:r>
        <w:t xml:space="preserve"> </w:t>
      </w:r>
      <w:r>
        <w:t xml:space="preserve">column is the only honest status report.</w:t>
      </w:r>
    </w:p>
    <w:p>
      <w:pPr>
        <w:numPr>
          <w:ilvl w:val="0"/>
          <w:numId w:val="1001"/>
        </w:numPr>
        <w:pStyle w:val="Compact"/>
      </w:pPr>
      <w:r>
        <w:rPr>
          <w:bCs/>
          <w:b/>
        </w:rPr>
        <w:t xml:space="preserve">Sprint cadence and start date.</w:t>
      </w:r>
      <w:r>
        <w:t xml:space="preserve"> </w:t>
      </w:r>
      <w:r>
        <w:t xml:space="preserve">Blocks all scheduling. Without it no item in the file has a date, and the Capacity Plan cannot compute.</w:t>
      </w:r>
    </w:p>
    <w:p>
      <w:pPr>
        <w:numPr>
          <w:ilvl w:val="0"/>
          <w:numId w:val="1001"/>
        </w:numPr>
        <w:pStyle w:val="Compact"/>
      </w:pPr>
      <w:r>
        <w:rPr>
          <w:bCs/>
          <w:b/>
        </w:rPr>
        <w:t xml:space="preserve">Assignee on the 292 Stage 0 items.</w:t>
      </w:r>
      <w:r>
        <w:t xml:space="preserve"> </w:t>
      </w:r>
      <w:r>
        <w:t xml:space="preserve">Stage 0 is contracts and schemas — the work everything else waits on.</w:t>
      </w:r>
    </w:p>
    <w:p>
      <w:pPr>
        <w:numPr>
          <w:ilvl w:val="0"/>
          <w:numId w:val="1001"/>
        </w:numPr>
        <w:pStyle w:val="Compact"/>
      </w:pPr>
      <w:r>
        <w:rPr>
          <w:bCs/>
          <w:b/>
        </w:rPr>
        <w:t xml:space="preserve">Owner and funding decision for the zero-egress enclave simulator.</w:t>
      </w:r>
      <w:r>
        <w:t xml:space="preserve"> </w:t>
      </w:r>
      <w:r>
        <w:t xml:space="preserve">102 items are unschedulable until this exists.</w:t>
      </w:r>
    </w:p>
    <w:p>
      <w:pPr>
        <w:numPr>
          <w:ilvl w:val="0"/>
          <w:numId w:val="1001"/>
        </w:numPr>
        <w:pStyle w:val="Compact"/>
      </w:pPr>
      <w:r>
        <w:rPr>
          <w:bCs/>
          <w:b/>
        </w:rPr>
        <w:t xml:space="preserve">EstDays on Stage 0–1 items.</w:t>
      </w:r>
      <w:r>
        <w:t xml:space="preserve"> </w:t>
      </w:r>
      <w:r>
        <w:t xml:space="preserve">Until estimates exist, capacity, burn-down and forecast are all structurally impossible.</w:t>
      </w:r>
    </w:p>
    <w:p>
      <w:pPr>
        <w:numPr>
          <w:ilvl w:val="0"/>
          <w:numId w:val="1001"/>
        </w:numPr>
        <w:pStyle w:val="Compact"/>
      </w:pPr>
      <w:r>
        <w:rPr>
          <w:bCs/>
          <w:b/>
        </w:rPr>
        <w:t xml:space="preserve">Lead times and INR costs for the five long-lead procurement lines.</w:t>
      </w:r>
      <w:r>
        <w:t xml:space="preserve"> </w:t>
      </w:r>
      <w:r>
        <w:t xml:space="preserve">The GPU appliance drives Stage 3; ordering it after Slice D starts stalls 172 items.</w:t>
      </w:r>
    </w:p>
    <w:p>
      <w:pPr>
        <w:numPr>
          <w:ilvl w:val="0"/>
          <w:numId w:val="1001"/>
        </w:numPr>
        <w:pStyle w:val="Compact"/>
      </w:pPr>
      <w:r>
        <w:rPr>
          <w:bCs/>
          <w:b/>
        </w:rPr>
        <w:t xml:space="preserve">The committed language tier matrix.</w:t>
      </w:r>
      <w:r>
        <w:t xml:space="preserve"> </w:t>
      </w:r>
      <w:r>
        <w:t xml:space="preserve">Blocks the entire localization chain and every per-language AI evaluation.</w:t>
      </w:r>
    </w:p>
    <w:p>
      <w:pPr>
        <w:numPr>
          <w:ilvl w:val="0"/>
          <w:numId w:val="1001"/>
        </w:numPr>
        <w:pStyle w:val="Compact"/>
      </w:pPr>
      <w:r>
        <w:rPr>
          <w:bCs/>
          <w:b/>
        </w:rPr>
        <w:t xml:space="preserve">Which Indian competency frameworks are in scope, with usage rights.</w:t>
      </w:r>
      <w:r>
        <w:t xml:space="preserve"> </w:t>
      </w:r>
      <w:r>
        <w:t xml:space="preserve">Blocks D08 fixtures, and therefore D15 and D23.</w:t>
      </w:r>
    </w:p>
    <w:p>
      <w:pPr>
        <w:numPr>
          <w:ilvl w:val="0"/>
          <w:numId w:val="1001"/>
        </w:numPr>
        <w:pStyle w:val="Compact"/>
      </w:pPr>
      <w:r>
        <w:rPr>
          <w:bCs/>
          <w:b/>
        </w:rPr>
        <w:t xml:space="preserve">Data-fiduciary vs processor determination per engagement model, and DPA review by Indian counsel.</w:t>
      </w:r>
      <w:r>
        <w:t xml:space="preserve"> </w:t>
      </w:r>
      <w:r>
        <w:t xml:space="preserve">Blocks E10 and shapes D16/D17.</w:t>
      </w:r>
    </w:p>
    <w:p>
      <w:pPr>
        <w:numPr>
          <w:ilvl w:val="0"/>
          <w:numId w:val="1001"/>
        </w:numPr>
        <w:pStyle w:val="Compact"/>
      </w:pPr>
      <w:r>
        <w:rPr>
          <w:bCs/>
          <w:b/>
        </w:rPr>
        <w:t xml:space="preserve">Physical sites and funding for the reference and replication labs.</w:t>
      </w:r>
      <w:r>
        <w:t xml:space="preserve"> </w:t>
      </w:r>
      <w:r>
        <w:t xml:space="preserve">Every lab date is provisional until confirmed.</w:t>
      </w:r>
    </w:p>
    <w:p>
      <w:pPr>
        <w:numPr>
          <w:ilvl w:val="0"/>
          <w:numId w:val="1001"/>
        </w:numPr>
        <w:pStyle w:val="Compact"/>
      </w:pPr>
      <w:r>
        <w:rPr>
          <w:bCs/>
          <w:b/>
        </w:rPr>
        <w:t xml:space="preserve">Pricing and licence model per Indian buyer segment.</w:t>
      </w:r>
    </w:p>
    <w:p>
      <w:pPr>
        <w:numPr>
          <w:ilvl w:val="0"/>
          <w:numId w:val="1001"/>
        </w:numPr>
        <w:pStyle w:val="Compact"/>
      </w:pPr>
      <w:r>
        <w:rPr>
          <w:bCs/>
          <w:b/>
        </w:rPr>
        <w:t xml:space="preserve">Waiver authority per test section, and the numeric test gates</w:t>
      </w:r>
      <w:r>
        <w:t xml:space="preserve"> </w:t>
      </w:r>
      <w:r>
        <w:t xml:space="preserve">(AI thresholds, variance bounds, OCR gates, supersession SLAs).</w:t>
      </w:r>
    </w:p>
    <w:p>
      <w:pPr>
        <w:numPr>
          <w:ilvl w:val="0"/>
          <w:numId w:val="1001"/>
        </w:numPr>
        <w:pStyle w:val="Compact"/>
      </w:pPr>
      <w:r>
        <w:rPr>
          <w:bCs/>
          <w:b/>
        </w:rPr>
        <w:t xml:space="preserve">Accreditation authority and control baseline</w:t>
      </w:r>
      <w:r>
        <w:t xml:space="preserve"> </w:t>
      </w:r>
      <w:r>
        <w:t xml:space="preserve">— deferred by direction; reopen when the customer is confirmed.</w:t>
      </w:r>
    </w:p>
    <w:p>
      <w:r>
        <w:pict>
          <v:rect style="width:0;height:1.5pt" o:hralign="center" o:hrstd="t" o:hr="t"/>
        </w:pict>
      </w:r>
    </w:p>
    <w:bookmarkEnd w:id="37"/>
    <w:bookmarkStart w:id="38" w:name="j.-workbook-maturity-scorecard-loop-12"/>
    <w:p>
      <w:pPr>
        <w:pStyle w:val="Heading1"/>
      </w:pPr>
      <w:r>
        <w:t xml:space="preserve">J. Workbook Maturity Scorecard (Loop 12)</w:t>
      </w:r>
    </w:p>
    <w:p>
      <w:pPr>
        <w:pStyle w:val="FirstParagraph"/>
      </w:pPr>
      <w:r>
        <w:t xml:space="preserve">Scored 0–5: 0 absent · 1 named only · 2 partially structured · 3 structured but unpopulated · 4 populated and in use · 5 proven in operation.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v2</w:t>
            </w:r>
          </w:p>
        </w:tc>
        <w:tc>
          <w:tcPr/>
          <w:p>
            <w:pPr>
              <w:pStyle w:val="Compact"/>
              <w:jc w:val="left"/>
            </w:pPr>
            <w:r>
              <w:t xml:space="preserve">v3</w:t>
            </w:r>
          </w:p>
        </w:tc>
        <w:tc>
          <w:tcPr/>
          <w:p>
            <w:pPr>
              <w:pStyle w:val="Compact"/>
              <w:jc w:val="left"/>
            </w:pPr>
            <w:r>
              <w:t xml:space="preserve">Note</w:t>
            </w:r>
          </w:p>
        </w:tc>
      </w:tr>
      <w:tr>
        <w:tc>
          <w:tcPr/>
          <w:p>
            <w:pPr>
              <w:pStyle w:val="Compact"/>
              <w:jc w:val="left"/>
            </w:pPr>
            <w:r>
              <w:t xml:space="preserve">Traceability</w:t>
            </w:r>
          </w:p>
        </w:tc>
        <w:tc>
          <w:tcPr/>
          <w:p>
            <w:pPr>
              <w:pStyle w:val="Compact"/>
              <w:jc w:val="left"/>
            </w:pPr>
            <w:r>
              <w:t xml:space="preserve">4</w:t>
            </w:r>
          </w:p>
        </w:tc>
        <w:tc>
          <w:tcPr/>
          <w:p>
            <w:pPr>
              <w:pStyle w:val="Compact"/>
              <w:jc w:val="left"/>
            </w:pPr>
            <w:r>
              <w:t xml:space="preserve">5</w:t>
            </w:r>
          </w:p>
        </w:tc>
        <w:tc>
          <w:tcPr/>
          <w:p>
            <w:pPr>
              <w:pStyle w:val="Compact"/>
              <w:jc w:val="left"/>
            </w:pPr>
            <w:r>
              <w:t xml:space="preserve">Every item traces to a source; coverage re-verified</w:t>
            </w:r>
          </w:p>
        </w:tc>
      </w:tr>
      <w:tr>
        <w:tc>
          <w:tcPr/>
          <w:p>
            <w:pPr>
              <w:pStyle w:val="Compact"/>
              <w:jc w:val="left"/>
            </w:pPr>
            <w:r>
              <w:t xml:space="preserve">Ownership</w:t>
            </w:r>
          </w:p>
        </w:tc>
        <w:tc>
          <w:tcPr/>
          <w:p>
            <w:pPr>
              <w:pStyle w:val="Compact"/>
              <w:jc w:val="left"/>
            </w:pPr>
            <w:r>
              <w:t xml:space="preserve">0</w:t>
            </w:r>
          </w:p>
        </w:tc>
        <w:tc>
          <w:tcPr/>
          <w:p>
            <w:pPr>
              <w:pStyle w:val="Compact"/>
              <w:jc w:val="left"/>
            </w:pPr>
            <w:r>
              <w:t xml:space="preserve">3</w:t>
            </w:r>
          </w:p>
        </w:tc>
        <w:tc>
          <w:tcPr/>
          <w:p>
            <w:pPr>
              <w:pStyle w:val="Compact"/>
              <w:jc w:val="left"/>
            </w:pPr>
            <w:r>
              <w:t xml:space="preserve">Structure and roles exist; names do not</w:t>
            </w:r>
          </w:p>
        </w:tc>
      </w:tr>
      <w:tr>
        <w:tc>
          <w:tcPr/>
          <w:p>
            <w:pPr>
              <w:pStyle w:val="Compact"/>
              <w:jc w:val="left"/>
            </w:pPr>
            <w:r>
              <w:t xml:space="preserve">Schedulability</w:t>
            </w:r>
          </w:p>
        </w:tc>
        <w:tc>
          <w:tcPr/>
          <w:p>
            <w:pPr>
              <w:pStyle w:val="Compact"/>
              <w:jc w:val="left"/>
            </w:pPr>
            <w:r>
              <w:t xml:space="preserve">0</w:t>
            </w:r>
          </w:p>
        </w:tc>
        <w:tc>
          <w:tcPr/>
          <w:p>
            <w:pPr>
              <w:pStyle w:val="Compact"/>
              <w:jc w:val="left"/>
            </w:pPr>
            <w:r>
              <w:t xml:space="preserve">3</w:t>
            </w:r>
          </w:p>
        </w:tc>
        <w:tc>
          <w:tcPr/>
          <w:p>
            <w:pPr>
              <w:pStyle w:val="Compact"/>
              <w:jc w:val="left"/>
            </w:pPr>
            <w:r>
              <w:t xml:space="preserve">Sprint calendar exists; dates are human input</w:t>
            </w:r>
          </w:p>
        </w:tc>
      </w:tr>
      <w:tr>
        <w:tc>
          <w:tcPr/>
          <w:p>
            <w:pPr>
              <w:pStyle w:val="Compact"/>
              <w:jc w:val="left"/>
            </w:pPr>
            <w:r>
              <w:t xml:space="preserve">Estimability</w:t>
            </w:r>
          </w:p>
        </w:tc>
        <w:tc>
          <w:tcPr/>
          <w:p>
            <w:pPr>
              <w:pStyle w:val="Compact"/>
              <w:jc w:val="left"/>
            </w:pPr>
            <w:r>
              <w:t xml:space="preserve">0</w:t>
            </w:r>
          </w:p>
        </w:tc>
        <w:tc>
          <w:tcPr/>
          <w:p>
            <w:pPr>
              <w:pStyle w:val="Compact"/>
              <w:jc w:val="left"/>
            </w:pPr>
            <w:r>
              <w:t xml:space="preserve">3</w:t>
            </w:r>
          </w:p>
        </w:tc>
        <w:tc>
          <w:tcPr/>
          <w:p>
            <w:pPr>
              <w:pStyle w:val="Compact"/>
              <w:jc w:val="left"/>
            </w:pPr>
            <w:r>
              <w:t xml:space="preserve">Column and rollups exist; estimates are human input</w:t>
            </w:r>
          </w:p>
        </w:tc>
      </w:tr>
      <w:tr>
        <w:tc>
          <w:tcPr/>
          <w:p>
            <w:pPr>
              <w:pStyle w:val="Compact"/>
              <w:jc w:val="left"/>
            </w:pPr>
            <w:r>
              <w:t xml:space="preserve">Testability</w:t>
            </w:r>
          </w:p>
        </w:tc>
        <w:tc>
          <w:tcPr/>
          <w:p>
            <w:pPr>
              <w:pStyle w:val="Compact"/>
              <w:jc w:val="left"/>
            </w:pPr>
            <w:r>
              <w:t xml:space="preserve">4</w:t>
            </w:r>
          </w:p>
        </w:tc>
        <w:tc>
          <w:tcPr/>
          <w:p>
            <w:pPr>
              <w:pStyle w:val="Compact"/>
              <w:jc w:val="left"/>
            </w:pPr>
            <w:r>
              <w:t xml:space="preserve">5</w:t>
            </w:r>
          </w:p>
        </w:tc>
        <w:tc>
          <w:tcPr/>
          <w:p>
            <w:pPr>
              <w:pStyle w:val="Compact"/>
              <w:jc w:val="left"/>
            </w:pPr>
            <w:r>
              <w:t xml:space="preserve">13-section template plus 38 per-module instantiations</w:t>
            </w:r>
          </w:p>
        </w:tc>
      </w:tr>
      <w:tr>
        <w:tc>
          <w:tcPr/>
          <w:p>
            <w:pPr>
              <w:pStyle w:val="Compact"/>
              <w:jc w:val="left"/>
            </w:pPr>
            <w:r>
              <w:t xml:space="preserve">Defect management</w:t>
            </w:r>
          </w:p>
        </w:tc>
        <w:tc>
          <w:tcPr/>
          <w:p>
            <w:pPr>
              <w:pStyle w:val="Compact"/>
              <w:jc w:val="left"/>
            </w:pPr>
            <w:r>
              <w:t xml:space="preserve">0</w:t>
            </w:r>
          </w:p>
        </w:tc>
        <w:tc>
          <w:tcPr/>
          <w:p>
            <w:pPr>
              <w:pStyle w:val="Compact"/>
              <w:jc w:val="left"/>
            </w:pPr>
            <w:r>
              <w:t xml:space="preserve">3</w:t>
            </w:r>
          </w:p>
        </w:tc>
        <w:tc>
          <w:tcPr/>
          <w:p>
            <w:pPr>
              <w:pStyle w:val="Compact"/>
              <w:jc w:val="left"/>
            </w:pPr>
            <w:r>
              <w:t xml:space="preserve">Log and rework linkage exist; unused until testing starts</w:t>
            </w:r>
          </w:p>
        </w:tc>
      </w:tr>
      <w:tr>
        <w:tc>
          <w:tcPr/>
          <w:p>
            <w:pPr>
              <w:pStyle w:val="Compact"/>
              <w:jc w:val="left"/>
            </w:pPr>
            <w:r>
              <w:t xml:space="preserve">Environment readiness</w:t>
            </w:r>
          </w:p>
        </w:tc>
        <w:tc>
          <w:tcPr/>
          <w:p>
            <w:pPr>
              <w:pStyle w:val="Compact"/>
              <w:jc w:val="left"/>
            </w:pPr>
            <w:r>
              <w:t xml:space="preserve">0</w:t>
            </w:r>
          </w:p>
        </w:tc>
        <w:tc>
          <w:tcPr/>
          <w:p>
            <w:pPr>
              <w:pStyle w:val="Compact"/>
              <w:jc w:val="left"/>
            </w:pPr>
            <w:r>
              <w:t xml:space="preserve">2</w:t>
            </w:r>
          </w:p>
        </w:tc>
        <w:tc>
          <w:tcPr/>
          <w:p>
            <w:pPr>
              <w:pStyle w:val="Compact"/>
              <w:jc w:val="left"/>
            </w:pPr>
            <w:r>
              <w:t xml:space="preserve">Register exists and names the blocker; simulator still unowned</w:t>
            </w:r>
          </w:p>
        </w:tc>
      </w:tr>
      <w:tr>
        <w:tc>
          <w:tcPr/>
          <w:p>
            <w:pPr>
              <w:pStyle w:val="Compact"/>
              <w:jc w:val="left"/>
            </w:pPr>
            <w:r>
              <w:t xml:space="preserve">Financial control</w:t>
            </w:r>
          </w:p>
        </w:tc>
        <w:tc>
          <w:tcPr/>
          <w:p>
            <w:pPr>
              <w:pStyle w:val="Compact"/>
              <w:jc w:val="left"/>
            </w:pPr>
            <w:r>
              <w:t xml:space="preserve">0</w:t>
            </w:r>
          </w:p>
        </w:tc>
        <w:tc>
          <w:tcPr/>
          <w:p>
            <w:pPr>
              <w:pStyle w:val="Compact"/>
              <w:jc w:val="left"/>
            </w:pPr>
            <w:r>
              <w:t xml:space="preserve">2</w:t>
            </w:r>
          </w:p>
        </w:tc>
        <w:tc>
          <w:tcPr/>
          <w:p>
            <w:pPr>
              <w:pStyle w:val="Compact"/>
              <w:jc w:val="left"/>
            </w:pPr>
            <w:r>
              <w:t xml:space="preserve">INR cost fields exist; no budget entered</w:t>
            </w:r>
          </w:p>
        </w:tc>
      </w:tr>
      <w:tr>
        <w:tc>
          <w:tcPr/>
          <w:p>
            <w:pPr>
              <w:pStyle w:val="Compact"/>
              <w:jc w:val="left"/>
            </w:pPr>
            <w:r>
              <w:t xml:space="preserve">Procurement readiness</w:t>
            </w:r>
          </w:p>
        </w:tc>
        <w:tc>
          <w:tcPr/>
          <w:p>
            <w:pPr>
              <w:pStyle w:val="Compact"/>
              <w:jc w:val="left"/>
            </w:pPr>
            <w:r>
              <w:t xml:space="preserve">0</w:t>
            </w:r>
          </w:p>
        </w:tc>
        <w:tc>
          <w:tcPr/>
          <w:p>
            <w:pPr>
              <w:pStyle w:val="Compact"/>
              <w:jc w:val="left"/>
            </w:pPr>
            <w:r>
              <w:t xml:space="preserve">2</w:t>
            </w:r>
          </w:p>
        </w:tc>
        <w:tc>
          <w:tcPr/>
          <w:p>
            <w:pPr>
              <w:pStyle w:val="Compact"/>
              <w:jc w:val="left"/>
            </w:pPr>
            <w:r>
              <w:t xml:space="preserve">Register and order-by logic exist; lead times unknown</w:t>
            </w:r>
          </w:p>
        </w:tc>
      </w:tr>
      <w:tr>
        <w:tc>
          <w:tcPr/>
          <w:p>
            <w:pPr>
              <w:pStyle w:val="Compact"/>
              <w:jc w:val="left"/>
            </w:pPr>
            <w:r>
              <w:t xml:space="preserve">Governance &amp; change control</w:t>
            </w:r>
          </w:p>
        </w:tc>
        <w:tc>
          <w:tcPr/>
          <w:p>
            <w:pPr>
              <w:pStyle w:val="Compact"/>
              <w:jc w:val="left"/>
            </w:pPr>
            <w:r>
              <w:t xml:space="preserve">0</w:t>
            </w:r>
          </w:p>
        </w:tc>
        <w:tc>
          <w:tcPr/>
          <w:p>
            <w:pPr>
              <w:pStyle w:val="Compact"/>
              <w:jc w:val="left"/>
            </w:pPr>
            <w:r>
              <w:t xml:space="preserve">4</w:t>
            </w:r>
          </w:p>
        </w:tc>
        <w:tc>
          <w:tcPr/>
          <w:p>
            <w:pPr>
              <w:pStyle w:val="Compact"/>
              <w:jc w:val="left"/>
            </w:pPr>
            <w:r>
              <w:t xml:space="preserve">Change log live and populated</w:t>
            </w:r>
          </w:p>
        </w:tc>
      </w:tr>
      <w:tr>
        <w:tc>
          <w:tcPr/>
          <w:p>
            <w:pPr>
              <w:pStyle w:val="Compact"/>
              <w:jc w:val="left"/>
            </w:pPr>
            <w:r>
              <w:t xml:space="preserve">Reporting &amp; forecasting</w:t>
            </w:r>
          </w:p>
        </w:tc>
        <w:tc>
          <w:tcPr/>
          <w:p>
            <w:pPr>
              <w:pStyle w:val="Compact"/>
              <w:jc w:val="left"/>
            </w:pPr>
            <w:r>
              <w:t xml:space="preserve">1</w:t>
            </w:r>
          </w:p>
        </w:tc>
        <w:tc>
          <w:tcPr/>
          <w:p>
            <w:pPr>
              <w:pStyle w:val="Compact"/>
              <w:jc w:val="left"/>
            </w:pPr>
            <w:r>
              <w:t xml:space="preserve">3</w:t>
            </w:r>
          </w:p>
        </w:tc>
        <w:tc>
          <w:tcPr/>
          <w:p>
            <w:pPr>
              <w:pStyle w:val="Compact"/>
              <w:jc w:val="left"/>
            </w:pPr>
            <w:r>
              <w:t xml:space="preserve">Snapshot sheet exists; history begins on first Friday</w:t>
            </w:r>
          </w:p>
        </w:tc>
      </w:tr>
      <w:tr>
        <w:tc>
          <w:tcPr/>
          <w:p>
            <w:pPr>
              <w:pStyle w:val="Compact"/>
              <w:jc w:val="left"/>
            </w:pPr>
            <w:r>
              <w:t xml:space="preserve">Market fit (India)</w:t>
            </w:r>
          </w:p>
        </w:tc>
        <w:tc>
          <w:tcPr/>
          <w:p>
            <w:pPr>
              <w:pStyle w:val="Compact"/>
              <w:jc w:val="left"/>
            </w:pPr>
            <w:r>
              <w:t xml:space="preserve">0</w:t>
            </w:r>
          </w:p>
        </w:tc>
        <w:tc>
          <w:tcPr/>
          <w:p>
            <w:pPr>
              <w:pStyle w:val="Compact"/>
              <w:jc w:val="left"/>
            </w:pPr>
            <w:r>
              <w:t xml:space="preserve">4</w:t>
            </w:r>
          </w:p>
        </w:tc>
        <w:tc>
          <w:tcPr/>
          <w:p>
            <w:pPr>
              <w:pStyle w:val="Compact"/>
              <w:jc w:val="left"/>
            </w:pPr>
            <w:r>
              <w:t xml:space="preserve">Re-based, 150 items, legal and framework work planned</w:t>
            </w:r>
          </w:p>
        </w:tc>
      </w:tr>
      <w:tr>
        <w:tc>
          <w:tcPr/>
          <w:p>
            <w:pPr>
              <w:pStyle w:val="Compact"/>
              <w:jc w:val="left"/>
            </w:pPr>
            <w:r>
              <w:t xml:space="preserve">Data integrity</w:t>
            </w:r>
          </w:p>
        </w:tc>
        <w:tc>
          <w:tcPr/>
          <w:p>
            <w:pPr>
              <w:pStyle w:val="Compact"/>
              <w:jc w:val="left"/>
            </w:pPr>
            <w:r>
              <w:t xml:space="preserve">3</w:t>
            </w:r>
          </w:p>
        </w:tc>
        <w:tc>
          <w:tcPr/>
          <w:p>
            <w:pPr>
              <w:pStyle w:val="Compact"/>
              <w:jc w:val="left"/>
            </w:pPr>
            <w:r>
              <w:t xml:space="preserve">5</w:t>
            </w:r>
          </w:p>
        </w:tc>
        <w:tc>
          <w:tcPr/>
          <w:p>
            <w:pPr>
              <w:pStyle w:val="Compact"/>
              <w:jc w:val="left"/>
            </w:pPr>
            <w:r>
              <w:t xml:space="preserve">Validation, named ranges, protection, zero errors</w:t>
            </w:r>
          </w:p>
        </w:tc>
      </w:tr>
      <w:tr>
        <w:tc>
          <w:tcPr/>
          <w:p>
            <w:pPr>
              <w:pStyle w:val="Compact"/>
              <w:jc w:val="left"/>
            </w:pPr>
            <w:r>
              <w:t xml:space="preserve">Usability at scale</w:t>
            </w:r>
          </w:p>
        </w:tc>
        <w:tc>
          <w:tcPr/>
          <w:p>
            <w:pPr>
              <w:pStyle w:val="Compact"/>
              <w:jc w:val="left"/>
            </w:pPr>
            <w:r>
              <w:t xml:space="preserve">2</w:t>
            </w:r>
          </w:p>
        </w:tc>
        <w:tc>
          <w:tcPr/>
          <w:p>
            <w:pPr>
              <w:pStyle w:val="Compact"/>
              <w:jc w:val="left"/>
            </w:pPr>
            <w:r>
              <w:t xml:space="preserve">4</w:t>
            </w:r>
          </w:p>
        </w:tc>
        <w:tc>
          <w:tcPr/>
          <w:p>
            <w:pPr>
              <w:pStyle w:val="Compact"/>
              <w:jc w:val="left"/>
            </w:pPr>
            <w:r>
              <w:t xml:space="preserve">Filters, freeze panes, colour rules, guide sheet</w:t>
            </w:r>
          </w:p>
        </w:tc>
      </w:tr>
      <w:tr>
        <w:tc>
          <w:tcPr/>
          <w:p>
            <w:pPr>
              <w:pStyle w:val="Compact"/>
              <w:jc w:val="left"/>
            </w:pPr>
            <w:r>
              <w:t xml:space="preserve">Maintainability</w:t>
            </w:r>
          </w:p>
        </w:tc>
        <w:tc>
          <w:tcPr/>
          <w:p>
            <w:pPr>
              <w:pStyle w:val="Compact"/>
              <w:jc w:val="left"/>
            </w:pPr>
            <w:r>
              <w:t xml:space="preserve">2</w:t>
            </w:r>
          </w:p>
        </w:tc>
        <w:tc>
          <w:tcPr/>
          <w:p>
            <w:pPr>
              <w:pStyle w:val="Compact"/>
              <w:jc w:val="left"/>
            </w:pPr>
            <w:r>
              <w:t xml:space="preserve">4</w:t>
            </w:r>
          </w:p>
        </w:tc>
        <w:tc>
          <w:tcPr/>
          <w:p>
            <w:pPr>
              <w:pStyle w:val="Compact"/>
              <w:jc w:val="left"/>
            </w:pPr>
            <w:r>
              <w:t xml:space="preserve">Vocabularies centralised; change log enforces discipline</w:t>
            </w:r>
          </w:p>
        </w:tc>
      </w:tr>
    </w:tbl>
    <w:p>
      <w:pPr>
        <w:pStyle w:val="BodyText"/>
      </w:pPr>
      <w:r>
        <w:rPr>
          <w:bCs/>
          <w:b/>
        </w:rPr>
        <w:t xml:space="preserve">Average 1.1 → 3.5. Lowest 0 → 2.</w:t>
      </w:r>
      <w:r>
        <w:t xml:space="preserve"> </w:t>
      </w:r>
      <w:r>
        <w:t xml:space="preserve">No dimension remains at 0 or 1. The three at 2 — environments, financial control, procurement — are all blocked on the same thing: a human deciding to fund and own them. A high average would not excuse a zero on ownership or defect management; both are now at 3, which is the highest a workbook can honestly reach before real names and real work enter it.</w:t>
      </w:r>
    </w:p>
    <w:p>
      <w:r>
        <w:pict>
          <v:rect style="width:0;height:1.5pt" o:hralign="center" o:hrstd="t" o:hr="t"/>
        </w:pict>
      </w:r>
    </w:p>
    <w:bookmarkEnd w:id="38"/>
    <w:bookmarkStart w:id="39" w:name="k.-change-log"/>
    <w:p>
      <w:pPr>
        <w:pStyle w:val="Heading1"/>
      </w:pPr>
      <w:r>
        <w:t xml:space="preserve">K. Change Log</w:t>
      </w:r>
    </w:p>
    <w:p>
      <w:pPr>
        <w:pStyle w:val="FirstParagraph"/>
      </w:pPr>
      <w:r>
        <w:t xml:space="preserve">Nineteen entries are recorded in the workbook’s own</w:t>
      </w:r>
      <w:r>
        <w:t xml:space="preserve"> </w:t>
      </w:r>
      <w:r>
        <w:rPr>
          <w:bCs/>
          <w:b/>
        </w:rPr>
        <w:t xml:space="preserve">Change Log</w:t>
      </w:r>
      <w:r>
        <w:t xml:space="preserve"> </w:t>
      </w:r>
      <w:r>
        <w:t xml:space="preserve">sheet with before → after values: four product renames, six new enabling products, two new-item batches, three data fixes (dependency repointing, ID-collision resolution, sequence-exception flagging), one column extension, and three control additions (validation, conditional formatting, protection). Every future scope change adds a row there with requester and approver — that sheet is now the only defensible answer to</w:t>
      </w:r>
      <w:r>
        <w:t xml:space="preserve"> </w:t>
      </w:r>
      <w:r>
        <w:t xml:space="preserve">“</w:t>
      </w:r>
      <w:r>
        <w:t xml:space="preserve">what changed since baseline?</w:t>
      </w:r>
      <w:r>
        <w:t xml:space="preserve">”</w:t>
      </w:r>
    </w:p>
    <w:p>
      <w:r>
        <w:pict>
          <v:rect style="width:0;height:1.5pt" o:hralign="center" o:hrstd="t" o:hr="t"/>
        </w:pict>
      </w:r>
    </w:p>
    <w:bookmarkEnd w:id="39"/>
    <w:bookmarkStart w:id="40" w:name="l.-how-to-start-using-v3-on-monday"/>
    <w:p>
      <w:pPr>
        <w:pStyle w:val="Heading1"/>
      </w:pPr>
      <w:r>
        <w:t xml:space="preserve">L. How to Start Using v3 on Monday</w:t>
      </w:r>
    </w:p>
    <w:p>
      <w:pPr>
        <w:pStyle w:val="FirstParagraph"/>
      </w:pPr>
      <w:r>
        <w:t xml:space="preserve">Open</w:t>
      </w:r>
      <w:r>
        <w:t xml:space="preserve"> </w:t>
      </w:r>
      <w:r>
        <w:rPr>
          <w:bCs/>
          <w:b/>
        </w:rPr>
        <w:t xml:space="preserve">Summary</w:t>
      </w:r>
      <w:r>
        <w:t xml:space="preserve"> </w:t>
      </w:r>
      <w:r>
        <w:t xml:space="preserve">for the live picture, then</w:t>
      </w:r>
      <w:r>
        <w:t xml:space="preserve"> </w:t>
      </w:r>
      <w:r>
        <w:rPr>
          <w:bCs/>
          <w:b/>
        </w:rPr>
        <w:t xml:space="preserve">Product Index</w:t>
      </w:r>
      <w:r>
        <w:t xml:space="preserve"> </w:t>
      </w:r>
      <w:r>
        <w:t xml:space="preserve">to name owners. Squad leads work from</w:t>
      </w:r>
      <w:r>
        <w:t xml:space="preserve"> </w:t>
      </w:r>
      <w:r>
        <w:rPr>
          <w:bCs/>
          <w:b/>
        </w:rPr>
        <w:t xml:space="preserve">Master Checklist</w:t>
      </w:r>
      <w:r>
        <w:t xml:space="preserve"> </w:t>
      </w:r>
      <w:r>
        <w:t xml:space="preserve">filtered by Squad and Stage; QA leads filter by TestTeam and work the</w:t>
      </w:r>
      <w:r>
        <w:t xml:space="preserve"> </w:t>
      </w:r>
      <w:r>
        <w:rPr>
          <w:bCs/>
          <w:b/>
        </w:rPr>
        <w:t xml:space="preserve">Defect Log</w:t>
      </w:r>
      <w:r>
        <w:t xml:space="preserve">; the PMO reads</w:t>
      </w:r>
      <w:r>
        <w:t xml:space="preserve"> </w:t>
      </w:r>
      <w:r>
        <w:rPr>
          <w:bCs/>
          <w:b/>
        </w:rPr>
        <w:t xml:space="preserve">Stage Gates</w:t>
      </w:r>
      <w:r>
        <w:t xml:space="preserve">, pastes a</w:t>
      </w:r>
      <w:r>
        <w:t xml:space="preserve"> </w:t>
      </w:r>
      <w:r>
        <w:rPr>
          <w:bCs/>
          <w:b/>
        </w:rPr>
        <w:t xml:space="preserve">Weekly Snapshot</w:t>
      </w:r>
      <w:r>
        <w:t xml:space="preserve"> </w:t>
      </w:r>
      <w:r>
        <w:t xml:space="preserve">each Friday, and reviews any row where</w:t>
      </w:r>
      <w:r>
        <w:t xml:space="preserve"> </w:t>
      </w:r>
      <w:r>
        <w:rPr>
          <w:bCs/>
          <w:b/>
        </w:rPr>
        <w:t xml:space="preserve">SeqFlag</w:t>
      </w:r>
      <w:r>
        <w:t xml:space="preserve"> </w:t>
      </w:r>
      <w:r>
        <w:t xml:space="preserve">is set. The</w:t>
      </w:r>
      <w:r>
        <w:t xml:space="preserve"> </w:t>
      </w:r>
      <w:r>
        <w:rPr>
          <w:bCs/>
          <w:b/>
        </w:rPr>
        <w:t xml:space="preserve">How to use &amp; improve</w:t>
      </w:r>
      <w:r>
        <w:t xml:space="preserve"> </w:t>
      </w:r>
      <w:r>
        <w:t xml:space="preserve">sheet inside the workbook carries the full operating rhythm and the trigger conditions for migrating to Jira or Azure DevOps — roughly: more than three concurrent editors, fifty-plus open defects, or an auditor asking for change history the workbook cannot prove.</w:t>
      </w:r>
    </w:p>
    <w:p>
      <w:pPr>
        <w:pStyle w:val="BodyText"/>
      </w:pPr>
      <w:r>
        <w:t xml:space="preserve">One caution worth stating plainly: v3 is only as honest as its inputs. Every blank in the yellow columns is not flexibility — it is unassigned, unestimated, unscheduled work, and the workbook will now show you exactly how much of it there is.</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EdVidura Master Checklist ��� Audit, Gap Explanation and Remediation Report</dc:title>
  <dc:creator/>
  <cp:keywords/>
  <dcterms:created xsi:type="dcterms:W3CDTF">2026-07-28T15:39:08Z</dcterms:created>
  <dcterms:modified xsi:type="dcterms:W3CDTF">2026-07-28T15:39:08Z</dcterms:modified>
</cp:coreProperties>
</file>

<file path=docProps/custom.xml><?xml version="1.0" encoding="utf-8"?>
<Properties xmlns="http://schemas.openxmlformats.org/officeDocument/2006/custom-properties" xmlns:vt="http://schemas.openxmlformats.org/officeDocument/2006/docPropsVTypes"/>
</file>