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4"/>
        </w:rPr>
        <w:t>PII Redaction Tool</w:t>
      </w:r>
    </w:p>
    <w:p>
      <w:pPr>
        <w:spacing w:after="280"/>
      </w:pPr>
      <w:r>
        <w:rPr>
          <w:color w:val="5A5A5A"/>
          <w:sz w:val="25"/>
        </w:rPr>
        <w:t>Evaluation Strategy and Metrics Report</w:t>
      </w:r>
    </w:p>
    <w:p>
      <w:pPr>
        <w:spacing w:before="280" w:after="80"/>
      </w:pPr>
      <w:r>
        <w:rPr>
          <w:b/>
          <w:color w:val="1A1A1A"/>
          <w:sz w:val="26"/>
        </w:rPr>
        <w:t>1. Objective</w:t>
      </w:r>
    </w:p>
    <w:p>
      <w:pPr>
        <w:spacing w:after="120"/>
      </w:pPr>
      <w:r>
        <w:rPr>
          <w:i w:val="0"/>
          <w:color w:val="1A1A1A"/>
          <w:sz w:val="20"/>
        </w:rPr>
        <w:t>This report describes how the PII redaction system was evaluated and what the measurements show. The evaluation was designed to answer three questions: does the system catch genuine PII, does it avoid redacting text that is not PII, and how does its behaviour differ across the nine required PII categories. Redacting a document is only useful if both failure directions are quantified, so recall and precision are reported separately for every category rather than collapsed into a single score.</w:t>
      </w:r>
    </w:p>
    <w:p>
      <w:pPr>
        <w:spacing w:before="280" w:after="80"/>
      </w:pPr>
      <w:r>
        <w:rPr>
          <w:b/>
          <w:color w:val="1A1A1A"/>
          <w:sz w:val="26"/>
        </w:rPr>
        <w:t>2. Evaluation dataset preparation</w:t>
      </w:r>
    </w:p>
    <w:p>
      <w:pPr>
        <w:spacing w:after="120"/>
      </w:pPr>
      <w:r>
        <w:rPr>
          <w:i w:val="0"/>
          <w:color w:val="1A1A1A"/>
          <w:sz w:val="20"/>
        </w:rPr>
        <w:t>Evaluation data was built from the supplied Red Herring Prospectus. The document was parsed into addressable containers — individual paragraphs, table cells, headers, footers, and text boxes — and containers were sampled across the content types where detection behaviour differs: management and person sections, company and legal prose, address variants, structured contact tables, financial and legal text expected to contain no PII, capitalized headings, and text boxes.</w:t>
      </w:r>
    </w:p>
    <w:p>
      <w:pPr>
        <w:spacing w:after="120"/>
      </w:pPr>
      <w:r>
        <w:rPr>
          <w:i w:val="0"/>
          <w:color w:val="1A1A1A"/>
          <w:sz w:val="20"/>
        </w:rPr>
        <w:t>Every sampled container was reviewed exhaustively by hand. Each PII span was recorded as an entity type, a container identifier, and an exact character span. Reviewed containers containing no PII were retained as negative examples, so that a detection in genuinely clean text is correctly counted as a false positive. The datasets are mutually disjoint: no container appears in more than one of them.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Dataset</w:t>
            </w:r>
          </w:p>
        </w:tc>
        <w:tc>
          <w:tcPr>
            <w:tcW w:type="dxa" w:w="1080"/>
          </w:tcPr>
          <w:p>
            <w:r/>
            <w:r>
              <w:rPr>
                <w:b/>
                <w:sz w:val="18"/>
              </w:rPr>
              <w:t>Containers</w:t>
            </w:r>
          </w:p>
        </w:tc>
        <w:tc>
          <w:tcPr>
            <w:tcW w:type="dxa" w:w="1080"/>
          </w:tcPr>
          <w:p>
            <w:r/>
            <w:r>
              <w:rPr>
                <w:b/>
                <w:sz w:val="18"/>
              </w:rPr>
              <w:t>Annotations</w:t>
            </w:r>
          </w:p>
        </w:tc>
        <w:tc>
          <w:tcPr>
            <w:tcW w:type="dxa" w:w="1080"/>
          </w:tcPr>
          <w:p>
            <w:r/>
            <w:r>
              <w:rPr>
                <w:b/>
                <w:sz w:val="18"/>
              </w:rPr>
              <w:t>PERSON</w:t>
            </w:r>
          </w:p>
        </w:tc>
        <w:tc>
          <w:tcPr>
            <w:tcW w:type="dxa" w:w="1080"/>
          </w:tcPr>
          <w:p>
            <w:r/>
            <w:r>
              <w:rPr>
                <w:b/>
                <w:sz w:val="18"/>
              </w:rPr>
              <w:t>COMPANY</w:t>
            </w:r>
          </w:p>
        </w:tc>
        <w:tc>
          <w:tcPr>
            <w:tcW w:type="dxa" w:w="1080"/>
          </w:tcPr>
          <w:p>
            <w:r/>
            <w:r>
              <w:rPr>
                <w:b/>
                <w:sz w:val="18"/>
              </w:rPr>
              <w:t>ADDRESS</w:t>
            </w:r>
          </w:p>
        </w:tc>
        <w:tc>
          <w:tcPr>
            <w:tcW w:type="dxa" w:w="1080"/>
          </w:tcPr>
          <w:p>
            <w:r/>
            <w:r>
              <w:rPr>
                <w:b/>
                <w:sz w:val="18"/>
              </w:rPr>
              <w:t>EMAIL</w:t>
            </w:r>
          </w:p>
        </w:tc>
        <w:tc>
          <w:tcPr>
            <w:tcW w:type="dxa" w:w="1080"/>
          </w:tcPr>
          <w:p>
            <w:r/>
            <w:r>
              <w:rPr>
                <w:b/>
                <w:sz w:val="18"/>
              </w:rPr>
              <w:t>PHONE</w:t>
            </w:r>
          </w:p>
        </w:tc>
      </w:tr>
      <w:tr>
        <w:tc>
          <w:tcPr>
            <w:tcW w:type="dxa" w:w="1080"/>
          </w:tcPr>
          <w:p>
            <w:r/>
            <w:r>
              <w:rPr>
                <w:sz w:val="18"/>
              </w:rPr>
              <w:t>Development (calibration)</w:t>
            </w:r>
          </w:p>
        </w:tc>
        <w:tc>
          <w:tcPr>
            <w:tcW w:type="dxa" w:w="1080"/>
          </w:tcPr>
          <w:p>
            <w:pPr>
              <w:jc w:val="right"/>
            </w:pPr>
            <w:r/>
            <w:r>
              <w:rPr>
                <w:sz w:val="18"/>
              </w:rPr>
              <w:t>53</w:t>
            </w:r>
          </w:p>
        </w:tc>
        <w:tc>
          <w:tcPr>
            <w:tcW w:type="dxa" w:w="1080"/>
          </w:tcPr>
          <w:p>
            <w:pPr>
              <w:jc w:val="right"/>
            </w:pPr>
            <w:r/>
            <w:r>
              <w:rPr>
                <w:sz w:val="18"/>
              </w:rPr>
              <w:t>44</w:t>
            </w:r>
          </w:p>
        </w:tc>
        <w:tc>
          <w:tcPr>
            <w:tcW w:type="dxa" w:w="1080"/>
          </w:tcPr>
          <w:p>
            <w:pPr>
              <w:jc w:val="right"/>
            </w:pPr>
            <w:r/>
            <w:r>
              <w:rPr>
                <w:sz w:val="18"/>
              </w:rPr>
              <w:t>14</w:t>
            </w:r>
          </w:p>
        </w:tc>
        <w:tc>
          <w:tcPr>
            <w:tcW w:type="dxa" w:w="1080"/>
          </w:tcPr>
          <w:p>
            <w:pPr>
              <w:jc w:val="right"/>
            </w:pPr>
            <w:r/>
            <w:r>
              <w:rPr>
                <w:sz w:val="18"/>
              </w:rPr>
              <w:t>13</w:t>
            </w:r>
          </w:p>
        </w:tc>
        <w:tc>
          <w:tcPr>
            <w:tcW w:type="dxa" w:w="1080"/>
          </w:tcPr>
          <w:p>
            <w:pPr>
              <w:jc w:val="right"/>
            </w:pPr>
            <w:r/>
            <w:r>
              <w:rPr>
                <w:sz w:val="18"/>
              </w:rPr>
              <w:t>6</w:t>
            </w:r>
          </w:p>
        </w:tc>
        <w:tc>
          <w:tcPr>
            <w:tcW w:type="dxa" w:w="1080"/>
          </w:tcPr>
          <w:p>
            <w:pPr>
              <w:jc w:val="right"/>
            </w:pPr>
            <w:r/>
            <w:r>
              <w:rPr>
                <w:sz w:val="18"/>
              </w:rPr>
              <w:t>6</w:t>
            </w:r>
          </w:p>
        </w:tc>
        <w:tc>
          <w:tcPr>
            <w:tcW w:type="dxa" w:w="1080"/>
          </w:tcPr>
          <w:p>
            <w:pPr>
              <w:jc w:val="right"/>
            </w:pPr>
            <w:r/>
            <w:r>
              <w:rPr>
                <w:sz w:val="18"/>
              </w:rPr>
              <w:t>5</w:t>
            </w:r>
          </w:p>
        </w:tc>
      </w:tr>
      <w:tr>
        <w:tc>
          <w:tcPr>
            <w:tcW w:type="dxa" w:w="1080"/>
          </w:tcPr>
          <w:p>
            <w:r/>
            <w:r>
              <w:rPr>
                <w:sz w:val="18"/>
              </w:rPr>
              <w:t>Phase 2C holdout</w:t>
            </w:r>
          </w:p>
        </w:tc>
        <w:tc>
          <w:tcPr>
            <w:tcW w:type="dxa" w:w="1080"/>
          </w:tcPr>
          <w:p>
            <w:pPr>
              <w:jc w:val="right"/>
            </w:pPr>
            <w:r/>
            <w:r>
              <w:rPr>
                <w:sz w:val="18"/>
              </w:rPr>
              <w:t>120</w:t>
            </w:r>
          </w:p>
        </w:tc>
        <w:tc>
          <w:tcPr>
            <w:tcW w:type="dxa" w:w="1080"/>
          </w:tcPr>
          <w:p>
            <w:pPr>
              <w:jc w:val="right"/>
            </w:pPr>
            <w:r/>
            <w:r>
              <w:rPr>
                <w:sz w:val="18"/>
              </w:rPr>
              <w:t>101</w:t>
            </w:r>
          </w:p>
        </w:tc>
        <w:tc>
          <w:tcPr>
            <w:tcW w:type="dxa" w:w="1080"/>
          </w:tcPr>
          <w:p>
            <w:pPr>
              <w:jc w:val="right"/>
            </w:pPr>
            <w:r/>
            <w:r>
              <w:rPr>
                <w:sz w:val="18"/>
              </w:rPr>
              <w:t>34</w:t>
            </w:r>
          </w:p>
        </w:tc>
        <w:tc>
          <w:tcPr>
            <w:tcW w:type="dxa" w:w="1080"/>
          </w:tcPr>
          <w:p>
            <w:pPr>
              <w:jc w:val="right"/>
            </w:pPr>
            <w:r/>
            <w:r>
              <w:rPr>
                <w:sz w:val="18"/>
              </w:rPr>
              <w:t>24</w:t>
            </w:r>
          </w:p>
        </w:tc>
        <w:tc>
          <w:tcPr>
            <w:tcW w:type="dxa" w:w="1080"/>
          </w:tcPr>
          <w:p>
            <w:pPr>
              <w:jc w:val="right"/>
            </w:pPr>
            <w:r/>
            <w:r>
              <w:rPr>
                <w:sz w:val="18"/>
              </w:rPr>
              <w:t>19</w:t>
            </w:r>
          </w:p>
        </w:tc>
        <w:tc>
          <w:tcPr>
            <w:tcW w:type="dxa" w:w="1080"/>
          </w:tcPr>
          <w:p>
            <w:pPr>
              <w:jc w:val="right"/>
            </w:pPr>
            <w:r/>
            <w:r>
              <w:rPr>
                <w:sz w:val="18"/>
              </w:rPr>
              <w:t>19</w:t>
            </w:r>
          </w:p>
        </w:tc>
        <w:tc>
          <w:tcPr>
            <w:tcW w:type="dxa" w:w="1080"/>
          </w:tcPr>
          <w:p>
            <w:pPr>
              <w:jc w:val="right"/>
            </w:pPr>
            <w:r/>
            <w:r>
              <w:rPr>
                <w:sz w:val="18"/>
              </w:rPr>
              <w:t>5</w:t>
            </w:r>
          </w:p>
        </w:tc>
      </w:tr>
      <w:tr>
        <w:tc>
          <w:tcPr>
            <w:tcW w:type="dxa" w:w="1080"/>
          </w:tcPr>
          <w:p>
            <w:r/>
            <w:r>
              <w:rPr>
                <w:sz w:val="18"/>
              </w:rPr>
              <w:t>Blind final set</w:t>
            </w:r>
          </w:p>
        </w:tc>
        <w:tc>
          <w:tcPr>
            <w:tcW w:type="dxa" w:w="1080"/>
          </w:tcPr>
          <w:p>
            <w:pPr>
              <w:jc w:val="right"/>
            </w:pPr>
            <w:r/>
            <w:r>
              <w:rPr>
                <w:sz w:val="18"/>
              </w:rPr>
              <w:t>180</w:t>
            </w:r>
          </w:p>
        </w:tc>
        <w:tc>
          <w:tcPr>
            <w:tcW w:type="dxa" w:w="1080"/>
          </w:tcPr>
          <w:p>
            <w:pPr>
              <w:jc w:val="right"/>
            </w:pPr>
            <w:r/>
            <w:r>
              <w:rPr>
                <w:sz w:val="18"/>
              </w:rPr>
              <w:t>168</w:t>
            </w:r>
          </w:p>
        </w:tc>
        <w:tc>
          <w:tcPr>
            <w:tcW w:type="dxa" w:w="1080"/>
          </w:tcPr>
          <w:p>
            <w:pPr>
              <w:jc w:val="right"/>
            </w:pPr>
            <w:r/>
            <w:r>
              <w:rPr>
                <w:sz w:val="18"/>
              </w:rPr>
              <w:t>14</w:t>
            </w:r>
          </w:p>
        </w:tc>
        <w:tc>
          <w:tcPr>
            <w:tcW w:type="dxa" w:w="1080"/>
          </w:tcPr>
          <w:p>
            <w:pPr>
              <w:jc w:val="right"/>
            </w:pPr>
            <w:r/>
            <w:r>
              <w:rPr>
                <w:sz w:val="18"/>
              </w:rPr>
              <w:t>89</w:t>
            </w:r>
          </w:p>
        </w:tc>
        <w:tc>
          <w:tcPr>
            <w:tcW w:type="dxa" w:w="1080"/>
          </w:tcPr>
          <w:p>
            <w:pPr>
              <w:jc w:val="right"/>
            </w:pPr>
            <w:r/>
            <w:r>
              <w:rPr>
                <w:sz w:val="18"/>
              </w:rPr>
              <w:t>25</w:t>
            </w:r>
          </w:p>
        </w:tc>
        <w:tc>
          <w:tcPr>
            <w:tcW w:type="dxa" w:w="1080"/>
          </w:tcPr>
          <w:p>
            <w:pPr>
              <w:jc w:val="right"/>
            </w:pPr>
            <w:r/>
            <w:r>
              <w:rPr>
                <w:sz w:val="18"/>
              </w:rPr>
              <w:t>18</w:t>
            </w:r>
          </w:p>
        </w:tc>
        <w:tc>
          <w:tcPr>
            <w:tcW w:type="dxa" w:w="1080"/>
          </w:tcPr>
          <w:p>
            <w:pPr>
              <w:jc w:val="right"/>
            </w:pPr>
            <w:r/>
            <w:r>
              <w:rPr>
                <w:sz w:val="18"/>
              </w:rPr>
              <w:t>22</w:t>
            </w:r>
          </w:p>
        </w:tc>
      </w:tr>
    </w:tbl>
    <w:p>
      <w:pPr>
        <w:spacing w:after="40"/>
      </w:pPr>
    </w:p>
    <w:p>
      <w:pPr>
        <w:spacing w:after="120"/>
      </w:pPr>
      <w:r>
        <w:rPr>
          <w:i/>
          <w:color w:val="5A5A5A"/>
          <w:sz w:val="20"/>
        </w:rPr>
        <w:t>SSN, credit card, date of birth, and IP address have zero positive examples anywhere in the labelled subsets of this document, because the prospectus contains none. Those recognizers are covered by synthetic unit tests, including Luhn validation, IPv4/IPv6 parsing, and date-of-birth-versus-ordinary-date negatives. Real-document recall cannot be claimed for them, and their absence from the tables below must not be read as perfect performance.</w:t>
      </w:r>
    </w:p>
    <w:p>
      <w:pPr>
        <w:spacing w:before="280" w:after="80"/>
      </w:pPr>
      <w:r>
        <w:rPr>
          <w:b/>
          <w:color w:val="1A1A1A"/>
          <w:sz w:val="26"/>
        </w:rPr>
        <w:t>3. Matching methodology</w:t>
      </w:r>
    </w:p>
    <w:p>
      <w:pPr>
        <w:spacing w:after="120"/>
      </w:pPr>
      <w:r>
        <w:rPr>
          <w:i w:val="0"/>
          <w:color w:val="1A1A1A"/>
          <w:sz w:val="20"/>
        </w:rPr>
        <w:t>Matching is exact and entity-level. A prediction counts as a true positive only when both its PII type and its character span match an annotation exactly; one prediction can satisfy at most one annotation.</w:t>
      </w:r>
    </w:p>
    <w:p>
      <w:pPr>
        <w:pStyle w:val="ListBullet"/>
        <w:spacing w:after="40"/>
      </w:pPr>
      <w:r>
        <w:rPr>
          <w:sz w:val="20"/>
        </w:rPr>
        <w:t>True positive (TP) — predicted span and type match an annotation exactly.</w:t>
      </w:r>
    </w:p>
    <w:p>
      <w:pPr>
        <w:pStyle w:val="ListBullet"/>
        <w:spacing w:after="40"/>
      </w:pPr>
      <w:r>
        <w:rPr>
          <w:sz w:val="20"/>
        </w:rPr>
        <w:t>False positive (FP) — predicted span has no exactly matching annotation.</w:t>
      </w:r>
    </w:p>
    <w:p>
      <w:pPr>
        <w:pStyle w:val="ListBullet"/>
        <w:spacing w:after="40"/>
      </w:pPr>
      <w:r>
        <w:rPr>
          <w:sz w:val="20"/>
        </w:rPr>
        <w:t>False negative (FN) — annotated span was not predicted exactly.</w:t>
      </w:r>
    </w:p>
    <w:p>
      <w:pPr>
        <w:spacing w:after="120"/>
      </w:pPr>
      <w:r>
        <w:rPr>
          <w:i w:val="0"/>
          <w:color w:val="1A1A1A"/>
          <w:sz w:val="20"/>
        </w:rPr>
        <w:t>Exact matching is deliberately strict, because the system rewrites the document: a span that is one word too short leaves PII behind, and one that is too long destroys surrounding text. ADDRESS is additionally scored under a relaxed one-to-one overlap rule — a prediction and an annotation match when their intersection covers at least half of the shorter span — reported separately so that boundary disagreement can be distinguished from outright detection failure. Relaxed results never replace the exact ones.</w:t>
      </w:r>
    </w:p>
    <w:p>
      <w:pPr>
        <w:spacing w:before="280" w:after="80"/>
      </w:pPr>
      <w:r>
        <w:rPr>
          <w:b/>
          <w:color w:val="1A1A1A"/>
          <w:sz w:val="26"/>
        </w:rPr>
        <w:t>4. Metrics</w:t>
      </w:r>
    </w:p>
    <w:p>
      <w:pPr>
        <w:spacing w:after="40"/>
        <w:ind w:left="360"/>
      </w:pPr>
      <w:r>
        <w:rPr>
          <w:rFonts w:ascii="Consolas" w:hAnsi="Consolas"/>
          <w:sz w:val="19"/>
        </w:rPr>
        <w:t>Precision = TP / (TP + FP)</w:t>
      </w:r>
    </w:p>
    <w:p>
      <w:pPr>
        <w:spacing w:after="40"/>
        <w:ind w:left="360"/>
      </w:pPr>
      <w:r>
        <w:rPr>
          <w:rFonts w:ascii="Consolas" w:hAnsi="Consolas"/>
          <w:sz w:val="19"/>
        </w:rPr>
        <w:t>Recall = TP / (TP + FN)</w:t>
      </w:r>
    </w:p>
    <w:p>
      <w:pPr>
        <w:spacing w:after="40"/>
        <w:ind w:left="360"/>
      </w:pPr>
      <w:r>
        <w:rPr>
          <w:rFonts w:ascii="Consolas" w:hAnsi="Consolas"/>
          <w:sz w:val="19"/>
        </w:rPr>
        <w:t>F1 = 2 × Precision × Recall / (Precision + Recall)</w:t>
      </w:r>
    </w:p>
    <w:p>
      <w:pPr>
        <w:spacing w:after="40"/>
        <w:ind w:left="360"/>
      </w:pPr>
      <w:r>
        <w:rPr>
          <w:rFonts w:ascii="Consolas" w:hAnsi="Consolas"/>
          <w:sz w:val="19"/>
        </w:rPr>
        <w:t>Entity-set Accuracy = TP / (TP + FP + FN)</w:t>
      </w:r>
    </w:p>
    <w:p>
      <w:pPr>
        <w:spacing w:after="120"/>
      </w:pPr>
      <w:r>
        <w:rPr>
          <w:i w:val="0"/>
          <w:color w:val="1A1A1A"/>
          <w:sz w:val="20"/>
        </w:rPr>
        <w:t>Accuracy is reported as entity-set accuracy (the Jaccard index) rather than token-level accuracy. The prospectus contains vastly more non-PII text than PII, so a token-level score would be dominated by true negatives and would look excellent even if most entities were missed. Entity-set accuracy has no true-negative term and therefore cannot be inflated that way.</w:t>
      </w:r>
    </w:p>
    <w:p>
      <w:pPr>
        <w:spacing w:before="280" w:after="80"/>
      </w:pPr>
      <w:r>
        <w:rPr>
          <w:b/>
          <w:color w:val="1A1A1A"/>
          <w:sz w:val="26"/>
        </w:rPr>
        <w:t>5. Results</w:t>
      </w:r>
    </w:p>
    <w:p>
      <w:pPr>
        <w:spacing w:after="120"/>
      </w:pPr>
      <w:r>
        <w:rPr>
          <w:i w:val="0"/>
          <w:color w:val="1A1A1A"/>
          <w:sz w:val="20"/>
        </w:rPr>
        <w:t>Three measurements are reported. The first is the initial untouched holdout. The second is a diagnostic re-run of that same set after error-driven repairs, which is therefore no longer blind. The third is a blind final evaluation on a separate set whose labels were written after the recognizers were frozen and which was scored exactly once. The blind result is the primary figure.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Evaluation run</w:t>
            </w:r>
          </w:p>
        </w:tc>
        <w:tc>
          <w:tcPr>
            <w:tcW w:type="dxa" w:w="1080"/>
          </w:tcPr>
          <w:p>
            <w:r/>
            <w:r>
              <w:rPr>
                <w:b/>
                <w:sz w:val="18"/>
              </w:rPr>
              <w:t>TP</w:t>
            </w:r>
          </w:p>
        </w:tc>
        <w:tc>
          <w:tcPr>
            <w:tcW w:type="dxa" w:w="1080"/>
          </w:tcPr>
          <w:p>
            <w:r/>
            <w:r>
              <w:rPr>
                <w:b/>
                <w:sz w:val="18"/>
              </w:rPr>
              <w:t>FP</w:t>
            </w:r>
          </w:p>
        </w:tc>
        <w:tc>
          <w:tcPr>
            <w:tcW w:type="dxa" w:w="1080"/>
          </w:tcPr>
          <w:p>
            <w:r/>
            <w:r>
              <w:rPr>
                <w:b/>
                <w:sz w:val="18"/>
              </w:rPr>
              <w:t>FN</w:t>
            </w:r>
          </w:p>
        </w:tc>
        <w:tc>
          <w:tcPr>
            <w:tcW w:type="dxa" w:w="1080"/>
          </w:tcPr>
          <w:p>
            <w:r/>
            <w:r>
              <w:rPr>
                <w:b/>
                <w:sz w:val="18"/>
              </w:rPr>
              <w:t>Precision</w:t>
            </w:r>
          </w:p>
        </w:tc>
        <w:tc>
          <w:tcPr>
            <w:tcW w:type="dxa" w:w="1080"/>
          </w:tcPr>
          <w:p>
            <w:r/>
            <w:r>
              <w:rPr>
                <w:b/>
                <w:sz w:val="18"/>
              </w:rPr>
              <w:t>Recall</w:t>
            </w:r>
          </w:p>
        </w:tc>
        <w:tc>
          <w:tcPr>
            <w:tcW w:type="dxa" w:w="1080"/>
          </w:tcPr>
          <w:p>
            <w:r/>
            <w:r>
              <w:rPr>
                <w:b/>
                <w:sz w:val="18"/>
              </w:rPr>
              <w:t>F1</w:t>
            </w:r>
          </w:p>
        </w:tc>
        <w:tc>
          <w:tcPr>
            <w:tcW w:type="dxa" w:w="1080"/>
          </w:tcPr>
          <w:p>
            <w:r/>
            <w:r>
              <w:rPr>
                <w:b/>
                <w:sz w:val="18"/>
              </w:rPr>
              <w:t>Accuracy</w:t>
            </w:r>
          </w:p>
        </w:tc>
      </w:tr>
      <w:tr>
        <w:tc>
          <w:tcPr>
            <w:tcW w:type="dxa" w:w="1080"/>
          </w:tcPr>
          <w:p>
            <w:r/>
            <w:r>
              <w:rPr>
                <w:sz w:val="18"/>
              </w:rPr>
              <w:t>Initial untouched holdout</w:t>
            </w:r>
          </w:p>
        </w:tc>
        <w:tc>
          <w:tcPr>
            <w:tcW w:type="dxa" w:w="1080"/>
          </w:tcPr>
          <w:p>
            <w:pPr>
              <w:jc w:val="right"/>
            </w:pPr>
            <w:r/>
            <w:r>
              <w:rPr>
                <w:sz w:val="18"/>
              </w:rPr>
              <w:t>70</w:t>
            </w:r>
          </w:p>
        </w:tc>
        <w:tc>
          <w:tcPr>
            <w:tcW w:type="dxa" w:w="1080"/>
          </w:tcPr>
          <w:p>
            <w:pPr>
              <w:jc w:val="right"/>
            </w:pPr>
            <w:r/>
            <w:r>
              <w:rPr>
                <w:sz w:val="18"/>
              </w:rPr>
              <w:t>59</w:t>
            </w:r>
          </w:p>
        </w:tc>
        <w:tc>
          <w:tcPr>
            <w:tcW w:type="dxa" w:w="1080"/>
          </w:tcPr>
          <w:p>
            <w:pPr>
              <w:jc w:val="right"/>
            </w:pPr>
            <w:r/>
            <w:r>
              <w:rPr>
                <w:sz w:val="18"/>
              </w:rPr>
              <w:t>31</w:t>
            </w:r>
          </w:p>
        </w:tc>
        <w:tc>
          <w:tcPr>
            <w:tcW w:type="dxa" w:w="1080"/>
          </w:tcPr>
          <w:p>
            <w:pPr>
              <w:jc w:val="right"/>
            </w:pPr>
            <w:r/>
            <w:r>
              <w:rPr>
                <w:sz w:val="18"/>
              </w:rPr>
              <w:t>0.543</w:t>
            </w:r>
          </w:p>
        </w:tc>
        <w:tc>
          <w:tcPr>
            <w:tcW w:type="dxa" w:w="1080"/>
          </w:tcPr>
          <w:p>
            <w:pPr>
              <w:jc w:val="right"/>
            </w:pPr>
            <w:r/>
            <w:r>
              <w:rPr>
                <w:sz w:val="18"/>
              </w:rPr>
              <w:t>0.693</w:t>
            </w:r>
          </w:p>
        </w:tc>
        <w:tc>
          <w:tcPr>
            <w:tcW w:type="dxa" w:w="1080"/>
          </w:tcPr>
          <w:p>
            <w:pPr>
              <w:jc w:val="right"/>
            </w:pPr>
            <w:r/>
            <w:r>
              <w:rPr>
                <w:sz w:val="18"/>
              </w:rPr>
              <w:t>0.609</w:t>
            </w:r>
          </w:p>
        </w:tc>
        <w:tc>
          <w:tcPr>
            <w:tcW w:type="dxa" w:w="1080"/>
          </w:tcPr>
          <w:p>
            <w:pPr>
              <w:jc w:val="right"/>
            </w:pPr>
            <w:r/>
            <w:r>
              <w:rPr>
                <w:sz w:val="18"/>
              </w:rPr>
              <w:t>0.438</w:t>
            </w:r>
          </w:p>
        </w:tc>
      </w:tr>
      <w:tr>
        <w:tc>
          <w:tcPr>
            <w:tcW w:type="dxa" w:w="1080"/>
          </w:tcPr>
          <w:p>
            <w:r/>
            <w:r>
              <w:rPr>
                <w:sz w:val="18"/>
              </w:rPr>
              <w:t>Post-fix diagnostic (not blind)</w:t>
            </w:r>
          </w:p>
        </w:tc>
        <w:tc>
          <w:tcPr>
            <w:tcW w:type="dxa" w:w="1080"/>
          </w:tcPr>
          <w:p>
            <w:pPr>
              <w:jc w:val="right"/>
            </w:pPr>
            <w:r/>
            <w:r>
              <w:rPr>
                <w:sz w:val="18"/>
              </w:rPr>
              <w:t>91</w:t>
            </w:r>
          </w:p>
        </w:tc>
        <w:tc>
          <w:tcPr>
            <w:tcW w:type="dxa" w:w="1080"/>
          </w:tcPr>
          <w:p>
            <w:pPr>
              <w:jc w:val="right"/>
            </w:pPr>
            <w:r/>
            <w:r>
              <w:rPr>
                <w:sz w:val="18"/>
              </w:rPr>
              <w:t>17</w:t>
            </w:r>
          </w:p>
        </w:tc>
        <w:tc>
          <w:tcPr>
            <w:tcW w:type="dxa" w:w="1080"/>
          </w:tcPr>
          <w:p>
            <w:pPr>
              <w:jc w:val="right"/>
            </w:pPr>
            <w:r/>
            <w:r>
              <w:rPr>
                <w:sz w:val="18"/>
              </w:rPr>
              <w:t>10</w:t>
            </w:r>
          </w:p>
        </w:tc>
        <w:tc>
          <w:tcPr>
            <w:tcW w:type="dxa" w:w="1080"/>
          </w:tcPr>
          <w:p>
            <w:pPr>
              <w:jc w:val="right"/>
            </w:pPr>
            <w:r/>
            <w:r>
              <w:rPr>
                <w:sz w:val="18"/>
              </w:rPr>
              <w:t>0.843</w:t>
            </w:r>
          </w:p>
        </w:tc>
        <w:tc>
          <w:tcPr>
            <w:tcW w:type="dxa" w:w="1080"/>
          </w:tcPr>
          <w:p>
            <w:pPr>
              <w:jc w:val="right"/>
            </w:pPr>
            <w:r/>
            <w:r>
              <w:rPr>
                <w:sz w:val="18"/>
              </w:rPr>
              <w:t>0.901</w:t>
            </w:r>
          </w:p>
        </w:tc>
        <w:tc>
          <w:tcPr>
            <w:tcW w:type="dxa" w:w="1080"/>
          </w:tcPr>
          <w:p>
            <w:pPr>
              <w:jc w:val="right"/>
            </w:pPr>
            <w:r/>
            <w:r>
              <w:rPr>
                <w:sz w:val="18"/>
              </w:rPr>
              <w:t>0.871</w:t>
            </w:r>
          </w:p>
        </w:tc>
        <w:tc>
          <w:tcPr>
            <w:tcW w:type="dxa" w:w="1080"/>
          </w:tcPr>
          <w:p>
            <w:pPr>
              <w:jc w:val="right"/>
            </w:pPr>
            <w:r/>
            <w:r>
              <w:rPr>
                <w:sz w:val="18"/>
              </w:rPr>
              <w:t>0.771</w:t>
            </w:r>
          </w:p>
        </w:tc>
      </w:tr>
      <w:tr>
        <w:tc>
          <w:tcPr>
            <w:tcW w:type="dxa" w:w="1080"/>
          </w:tcPr>
          <w:p>
            <w:r/>
            <w:r>
              <w:rPr>
                <w:b/>
                <w:sz w:val="18"/>
              </w:rPr>
              <w:t>Blind final (primary)</w:t>
            </w:r>
          </w:p>
        </w:tc>
        <w:tc>
          <w:tcPr>
            <w:tcW w:type="dxa" w:w="1080"/>
          </w:tcPr>
          <w:p>
            <w:pPr>
              <w:jc w:val="right"/>
            </w:pPr>
            <w:r/>
            <w:r>
              <w:rPr>
                <w:b/>
                <w:sz w:val="18"/>
              </w:rPr>
              <w:t>141</w:t>
            </w:r>
          </w:p>
        </w:tc>
        <w:tc>
          <w:tcPr>
            <w:tcW w:type="dxa" w:w="1080"/>
          </w:tcPr>
          <w:p>
            <w:pPr>
              <w:jc w:val="right"/>
            </w:pPr>
            <w:r/>
            <w:r>
              <w:rPr>
                <w:b/>
                <w:sz w:val="18"/>
              </w:rPr>
              <w:t>68</w:t>
            </w:r>
          </w:p>
        </w:tc>
        <w:tc>
          <w:tcPr>
            <w:tcW w:type="dxa" w:w="1080"/>
          </w:tcPr>
          <w:p>
            <w:pPr>
              <w:jc w:val="right"/>
            </w:pPr>
            <w:r/>
            <w:r>
              <w:rPr>
                <w:b/>
                <w:sz w:val="18"/>
              </w:rPr>
              <w:t>27</w:t>
            </w:r>
          </w:p>
        </w:tc>
        <w:tc>
          <w:tcPr>
            <w:tcW w:type="dxa" w:w="1080"/>
          </w:tcPr>
          <w:p>
            <w:pPr>
              <w:jc w:val="right"/>
            </w:pPr>
            <w:r/>
            <w:r>
              <w:rPr>
                <w:b/>
                <w:sz w:val="18"/>
              </w:rPr>
              <w:t>0.675</w:t>
            </w:r>
          </w:p>
        </w:tc>
        <w:tc>
          <w:tcPr>
            <w:tcW w:type="dxa" w:w="1080"/>
          </w:tcPr>
          <w:p>
            <w:pPr>
              <w:jc w:val="right"/>
            </w:pPr>
            <w:r/>
            <w:r>
              <w:rPr>
                <w:b/>
                <w:sz w:val="18"/>
              </w:rPr>
              <w:t>0.839</w:t>
            </w:r>
          </w:p>
        </w:tc>
        <w:tc>
          <w:tcPr>
            <w:tcW w:type="dxa" w:w="1080"/>
          </w:tcPr>
          <w:p>
            <w:pPr>
              <w:jc w:val="right"/>
            </w:pPr>
            <w:r/>
            <w:r>
              <w:rPr>
                <w:b/>
                <w:sz w:val="18"/>
              </w:rPr>
              <w:t>0.748</w:t>
            </w:r>
          </w:p>
        </w:tc>
        <w:tc>
          <w:tcPr>
            <w:tcW w:type="dxa" w:w="1080"/>
          </w:tcPr>
          <w:p>
            <w:pPr>
              <w:jc w:val="right"/>
            </w:pPr>
            <w:r/>
            <w:r>
              <w:rPr>
                <w:b/>
                <w:sz w:val="18"/>
              </w:rPr>
              <w:t>0.597</w:t>
            </w:r>
          </w:p>
        </w:tc>
      </w:tr>
    </w:tbl>
    <w:p>
      <w:pPr>
        <w:spacing w:after="40"/>
      </w:pPr>
    </w:p>
    <w:p>
      <w:pPr>
        <w:spacing w:after="120"/>
      </w:pPr>
      <w:r>
        <w:rPr>
          <w:i w:val="0"/>
          <w:color w:val="1A1A1A"/>
          <w:sz w:val="20"/>
        </w:rPr>
        <w:t>The initial holdout exposed a major false-positive problem in COMPANY, whose precision was 0.250: paragraph-wide promotion caused generic legal and organizational prose to be treated as company names. Replacing that with candidate-local evidence raised COMPANY precision to 0.909 on the diagnostic re-run and 0.809 on the blind set.</w:t>
      </w:r>
    </w:p>
    <w:p>
      <w:pPr>
        <w:spacing w:after="120"/>
      </w:pPr>
      <w:r>
        <w:rPr>
          <w:i w:val="0"/>
          <w:color w:val="1A1A1A"/>
          <w:sz w:val="20"/>
        </w:rPr>
        <w:t>The gap between the diagnostic and blind rows is itself a result. Precision falls from 0.843 to 0.675 once the recognizers face labels that never informed a repair. That 0.168 difference is the measured cost of reusing an evaluation set, and it is reported rather than concealed.</w:t>
      </w:r>
    </w:p>
    <w:p>
      <w:pPr>
        <w:spacing w:before="280" w:after="80"/>
      </w:pPr>
      <w:r>
        <w:rPr>
          <w:b/>
          <w:color w:val="1A1A1A"/>
          <w:sz w:val="22"/>
        </w:rPr>
        <w:t>Per-category results, blind final evaluation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Category</w:t>
            </w:r>
          </w:p>
        </w:tc>
        <w:tc>
          <w:tcPr>
            <w:tcW w:type="dxa" w:w="1234"/>
          </w:tcPr>
          <w:p>
            <w:r/>
            <w:r>
              <w:rPr>
                <w:b/>
                <w:sz w:val="18"/>
              </w:rPr>
              <w:t>TP</w:t>
            </w:r>
          </w:p>
        </w:tc>
        <w:tc>
          <w:tcPr>
            <w:tcW w:type="dxa" w:w="1234"/>
          </w:tcPr>
          <w:p>
            <w:r/>
            <w:r>
              <w:rPr>
                <w:b/>
                <w:sz w:val="18"/>
              </w:rPr>
              <w:t>FP</w:t>
            </w:r>
          </w:p>
        </w:tc>
        <w:tc>
          <w:tcPr>
            <w:tcW w:type="dxa" w:w="1234"/>
          </w:tcPr>
          <w:p>
            <w:r/>
            <w:r>
              <w:rPr>
                <w:b/>
                <w:sz w:val="18"/>
              </w:rPr>
              <w:t>FN</w:t>
            </w:r>
          </w:p>
        </w:tc>
        <w:tc>
          <w:tcPr>
            <w:tcW w:type="dxa" w:w="1234"/>
          </w:tcPr>
          <w:p>
            <w:r/>
            <w:r>
              <w:rPr>
                <w:b/>
                <w:sz w:val="18"/>
              </w:rPr>
              <w:t>Precision</w:t>
            </w:r>
          </w:p>
        </w:tc>
        <w:tc>
          <w:tcPr>
            <w:tcW w:type="dxa" w:w="1234"/>
          </w:tcPr>
          <w:p>
            <w:r/>
            <w:r>
              <w:rPr>
                <w:b/>
                <w:sz w:val="18"/>
              </w:rPr>
              <w:t>Recall</w:t>
            </w:r>
          </w:p>
        </w:tc>
        <w:tc>
          <w:tcPr>
            <w:tcW w:type="dxa" w:w="1234"/>
          </w:tcPr>
          <w:p>
            <w:r/>
            <w:r>
              <w:rPr>
                <w:b/>
                <w:sz w:val="18"/>
              </w:rPr>
              <w:t>F1</w:t>
            </w:r>
          </w:p>
        </w:tc>
      </w:tr>
      <w:tr>
        <w:tc>
          <w:tcPr>
            <w:tcW w:type="dxa" w:w="1234"/>
          </w:tcPr>
          <w:p>
            <w:r/>
            <w:r>
              <w:rPr>
                <w:sz w:val="18"/>
              </w:rPr>
              <w:t>EMAIL</w:t>
            </w:r>
          </w:p>
        </w:tc>
        <w:tc>
          <w:tcPr>
            <w:tcW w:type="dxa" w:w="1234"/>
          </w:tcPr>
          <w:p>
            <w:pPr>
              <w:jc w:val="right"/>
            </w:pPr>
            <w:r/>
            <w:r>
              <w:rPr>
                <w:sz w:val="18"/>
              </w:rPr>
              <w:t>18</w:t>
            </w:r>
          </w:p>
        </w:tc>
        <w:tc>
          <w:tcPr>
            <w:tcW w:type="dxa" w:w="1234"/>
          </w:tcPr>
          <w:p>
            <w:pPr>
              <w:jc w:val="right"/>
            </w:pPr>
            <w:r/>
            <w:r>
              <w:rPr>
                <w:sz w:val="18"/>
              </w:rPr>
              <w:t>0</w:t>
            </w:r>
          </w:p>
        </w:tc>
        <w:tc>
          <w:tcPr>
            <w:tcW w:type="dxa" w:w="1234"/>
          </w:tcPr>
          <w:p>
            <w:pPr>
              <w:jc w:val="right"/>
            </w:pPr>
            <w:r/>
            <w:r>
              <w:rPr>
                <w:sz w:val="18"/>
              </w:rPr>
              <w:t>0</w:t>
            </w:r>
          </w:p>
        </w:tc>
        <w:tc>
          <w:tcPr>
            <w:tcW w:type="dxa" w:w="1234"/>
          </w:tcPr>
          <w:p>
            <w:pPr>
              <w:jc w:val="right"/>
            </w:pPr>
            <w:r/>
            <w:r>
              <w:rPr>
                <w:sz w:val="18"/>
              </w:rPr>
              <w:t>1.000</w:t>
            </w:r>
          </w:p>
        </w:tc>
        <w:tc>
          <w:tcPr>
            <w:tcW w:type="dxa" w:w="1234"/>
          </w:tcPr>
          <w:p>
            <w:pPr>
              <w:jc w:val="right"/>
            </w:pPr>
            <w:r/>
            <w:r>
              <w:rPr>
                <w:sz w:val="18"/>
              </w:rPr>
              <w:t>1.000</w:t>
            </w:r>
          </w:p>
        </w:tc>
        <w:tc>
          <w:tcPr>
            <w:tcW w:type="dxa" w:w="1234"/>
          </w:tcPr>
          <w:p>
            <w:pPr>
              <w:jc w:val="right"/>
            </w:pPr>
            <w:r/>
            <w:r>
              <w:rPr>
                <w:sz w:val="18"/>
              </w:rPr>
              <w:t>1.000</w:t>
            </w:r>
          </w:p>
        </w:tc>
      </w:tr>
      <w:tr>
        <w:tc>
          <w:tcPr>
            <w:tcW w:type="dxa" w:w="1234"/>
          </w:tcPr>
          <w:p>
            <w:r/>
            <w:r>
              <w:rPr>
                <w:sz w:val="18"/>
              </w:rPr>
              <w:t>PHONE</w:t>
            </w:r>
          </w:p>
        </w:tc>
        <w:tc>
          <w:tcPr>
            <w:tcW w:type="dxa" w:w="1234"/>
          </w:tcPr>
          <w:p>
            <w:pPr>
              <w:jc w:val="right"/>
            </w:pPr>
            <w:r/>
            <w:r>
              <w:rPr>
                <w:sz w:val="18"/>
              </w:rPr>
              <w:t>22</w:t>
            </w:r>
          </w:p>
        </w:tc>
        <w:tc>
          <w:tcPr>
            <w:tcW w:type="dxa" w:w="1234"/>
          </w:tcPr>
          <w:p>
            <w:pPr>
              <w:jc w:val="right"/>
            </w:pPr>
            <w:r/>
            <w:r>
              <w:rPr>
                <w:sz w:val="18"/>
              </w:rPr>
              <w:t>0</w:t>
            </w:r>
          </w:p>
        </w:tc>
        <w:tc>
          <w:tcPr>
            <w:tcW w:type="dxa" w:w="1234"/>
          </w:tcPr>
          <w:p>
            <w:pPr>
              <w:jc w:val="right"/>
            </w:pPr>
            <w:r/>
            <w:r>
              <w:rPr>
                <w:sz w:val="18"/>
              </w:rPr>
              <w:t>0</w:t>
            </w:r>
          </w:p>
        </w:tc>
        <w:tc>
          <w:tcPr>
            <w:tcW w:type="dxa" w:w="1234"/>
          </w:tcPr>
          <w:p>
            <w:pPr>
              <w:jc w:val="right"/>
            </w:pPr>
            <w:r/>
            <w:r>
              <w:rPr>
                <w:sz w:val="18"/>
              </w:rPr>
              <w:t>1.000</w:t>
            </w:r>
          </w:p>
        </w:tc>
        <w:tc>
          <w:tcPr>
            <w:tcW w:type="dxa" w:w="1234"/>
          </w:tcPr>
          <w:p>
            <w:pPr>
              <w:jc w:val="right"/>
            </w:pPr>
            <w:r/>
            <w:r>
              <w:rPr>
                <w:sz w:val="18"/>
              </w:rPr>
              <w:t>1.000</w:t>
            </w:r>
          </w:p>
        </w:tc>
        <w:tc>
          <w:tcPr>
            <w:tcW w:type="dxa" w:w="1234"/>
          </w:tcPr>
          <w:p>
            <w:pPr>
              <w:jc w:val="right"/>
            </w:pPr>
            <w:r/>
            <w:r>
              <w:rPr>
                <w:sz w:val="18"/>
              </w:rPr>
              <w:t>1.000</w:t>
            </w:r>
          </w:p>
        </w:tc>
      </w:tr>
      <w:tr>
        <w:tc>
          <w:tcPr>
            <w:tcW w:type="dxa" w:w="1234"/>
          </w:tcPr>
          <w:p>
            <w:r/>
            <w:r>
              <w:rPr>
                <w:sz w:val="18"/>
              </w:rPr>
              <w:t>COMPANY</w:t>
            </w:r>
          </w:p>
        </w:tc>
        <w:tc>
          <w:tcPr>
            <w:tcW w:type="dxa" w:w="1234"/>
          </w:tcPr>
          <w:p>
            <w:pPr>
              <w:jc w:val="right"/>
            </w:pPr>
            <w:r/>
            <w:r>
              <w:rPr>
                <w:sz w:val="18"/>
              </w:rPr>
              <w:t>76</w:t>
            </w:r>
          </w:p>
        </w:tc>
        <w:tc>
          <w:tcPr>
            <w:tcW w:type="dxa" w:w="1234"/>
          </w:tcPr>
          <w:p>
            <w:pPr>
              <w:jc w:val="right"/>
            </w:pPr>
            <w:r/>
            <w:r>
              <w:rPr>
                <w:sz w:val="18"/>
              </w:rPr>
              <w:t>18</w:t>
            </w:r>
          </w:p>
        </w:tc>
        <w:tc>
          <w:tcPr>
            <w:tcW w:type="dxa" w:w="1234"/>
          </w:tcPr>
          <w:p>
            <w:pPr>
              <w:jc w:val="right"/>
            </w:pPr>
            <w:r/>
            <w:r>
              <w:rPr>
                <w:sz w:val="18"/>
              </w:rPr>
              <w:t>13</w:t>
            </w:r>
          </w:p>
        </w:tc>
        <w:tc>
          <w:tcPr>
            <w:tcW w:type="dxa" w:w="1234"/>
          </w:tcPr>
          <w:p>
            <w:pPr>
              <w:jc w:val="right"/>
            </w:pPr>
            <w:r/>
            <w:r>
              <w:rPr>
                <w:sz w:val="18"/>
              </w:rPr>
              <w:t>0.809</w:t>
            </w:r>
          </w:p>
        </w:tc>
        <w:tc>
          <w:tcPr>
            <w:tcW w:type="dxa" w:w="1234"/>
          </w:tcPr>
          <w:p>
            <w:pPr>
              <w:jc w:val="right"/>
            </w:pPr>
            <w:r/>
            <w:r>
              <w:rPr>
                <w:sz w:val="18"/>
              </w:rPr>
              <w:t>0.854</w:t>
            </w:r>
          </w:p>
        </w:tc>
        <w:tc>
          <w:tcPr>
            <w:tcW w:type="dxa" w:w="1234"/>
          </w:tcPr>
          <w:p>
            <w:pPr>
              <w:jc w:val="right"/>
            </w:pPr>
            <w:r/>
            <w:r>
              <w:rPr>
                <w:sz w:val="18"/>
              </w:rPr>
              <w:t>0.831</w:t>
            </w:r>
          </w:p>
        </w:tc>
      </w:tr>
      <w:tr>
        <w:tc>
          <w:tcPr>
            <w:tcW w:type="dxa" w:w="1234"/>
          </w:tcPr>
          <w:p>
            <w:r/>
            <w:r>
              <w:rPr>
                <w:sz w:val="18"/>
              </w:rPr>
              <w:t>ADDRESS</w:t>
            </w:r>
          </w:p>
        </w:tc>
        <w:tc>
          <w:tcPr>
            <w:tcW w:type="dxa" w:w="1234"/>
          </w:tcPr>
          <w:p>
            <w:pPr>
              <w:jc w:val="right"/>
            </w:pPr>
            <w:r/>
            <w:r>
              <w:rPr>
                <w:sz w:val="18"/>
              </w:rPr>
              <w:t>16</w:t>
            </w:r>
          </w:p>
        </w:tc>
        <w:tc>
          <w:tcPr>
            <w:tcW w:type="dxa" w:w="1234"/>
          </w:tcPr>
          <w:p>
            <w:pPr>
              <w:jc w:val="right"/>
            </w:pPr>
            <w:r/>
            <w:r>
              <w:rPr>
                <w:sz w:val="18"/>
              </w:rPr>
              <w:t>12</w:t>
            </w:r>
          </w:p>
        </w:tc>
        <w:tc>
          <w:tcPr>
            <w:tcW w:type="dxa" w:w="1234"/>
          </w:tcPr>
          <w:p>
            <w:pPr>
              <w:jc w:val="right"/>
            </w:pPr>
            <w:r/>
            <w:r>
              <w:rPr>
                <w:sz w:val="18"/>
              </w:rPr>
              <w:t>9</w:t>
            </w:r>
          </w:p>
        </w:tc>
        <w:tc>
          <w:tcPr>
            <w:tcW w:type="dxa" w:w="1234"/>
          </w:tcPr>
          <w:p>
            <w:pPr>
              <w:jc w:val="right"/>
            </w:pPr>
            <w:r/>
            <w:r>
              <w:rPr>
                <w:sz w:val="18"/>
              </w:rPr>
              <w:t>0.571</w:t>
            </w:r>
          </w:p>
        </w:tc>
        <w:tc>
          <w:tcPr>
            <w:tcW w:type="dxa" w:w="1234"/>
          </w:tcPr>
          <w:p>
            <w:pPr>
              <w:jc w:val="right"/>
            </w:pPr>
            <w:r/>
            <w:r>
              <w:rPr>
                <w:sz w:val="18"/>
              </w:rPr>
              <w:t>0.640</w:t>
            </w:r>
          </w:p>
        </w:tc>
        <w:tc>
          <w:tcPr>
            <w:tcW w:type="dxa" w:w="1234"/>
          </w:tcPr>
          <w:p>
            <w:pPr>
              <w:jc w:val="right"/>
            </w:pPr>
            <w:r/>
            <w:r>
              <w:rPr>
                <w:sz w:val="18"/>
              </w:rPr>
              <w:t>0.604</w:t>
            </w:r>
          </w:p>
        </w:tc>
      </w:tr>
      <w:tr>
        <w:tc>
          <w:tcPr>
            <w:tcW w:type="dxa" w:w="1234"/>
          </w:tcPr>
          <w:p>
            <w:r/>
            <w:r>
              <w:rPr>
                <w:sz w:val="18"/>
              </w:rPr>
              <w:t>PERSON</w:t>
            </w:r>
          </w:p>
        </w:tc>
        <w:tc>
          <w:tcPr>
            <w:tcW w:type="dxa" w:w="1234"/>
          </w:tcPr>
          <w:p>
            <w:pPr>
              <w:jc w:val="right"/>
            </w:pPr>
            <w:r/>
            <w:r>
              <w:rPr>
                <w:sz w:val="18"/>
              </w:rPr>
              <w:t>9</w:t>
            </w:r>
          </w:p>
        </w:tc>
        <w:tc>
          <w:tcPr>
            <w:tcW w:type="dxa" w:w="1234"/>
          </w:tcPr>
          <w:p>
            <w:pPr>
              <w:jc w:val="right"/>
            </w:pPr>
            <w:r/>
            <w:r>
              <w:rPr>
                <w:sz w:val="18"/>
              </w:rPr>
              <w:t>38</w:t>
            </w:r>
          </w:p>
        </w:tc>
        <w:tc>
          <w:tcPr>
            <w:tcW w:type="dxa" w:w="1234"/>
          </w:tcPr>
          <w:p>
            <w:pPr>
              <w:jc w:val="right"/>
            </w:pPr>
            <w:r/>
            <w:r>
              <w:rPr>
                <w:sz w:val="18"/>
              </w:rPr>
              <w:t>5</w:t>
            </w:r>
          </w:p>
        </w:tc>
        <w:tc>
          <w:tcPr>
            <w:tcW w:type="dxa" w:w="1234"/>
          </w:tcPr>
          <w:p>
            <w:pPr>
              <w:jc w:val="right"/>
            </w:pPr>
            <w:r/>
            <w:r>
              <w:rPr>
                <w:sz w:val="18"/>
              </w:rPr>
              <w:t>0.191</w:t>
            </w:r>
          </w:p>
        </w:tc>
        <w:tc>
          <w:tcPr>
            <w:tcW w:type="dxa" w:w="1234"/>
          </w:tcPr>
          <w:p>
            <w:pPr>
              <w:jc w:val="right"/>
            </w:pPr>
            <w:r/>
            <w:r>
              <w:rPr>
                <w:sz w:val="18"/>
              </w:rPr>
              <w:t>0.643</w:t>
            </w:r>
          </w:p>
        </w:tc>
        <w:tc>
          <w:tcPr>
            <w:tcW w:type="dxa" w:w="1234"/>
          </w:tcPr>
          <w:p>
            <w:pPr>
              <w:jc w:val="right"/>
            </w:pPr>
            <w:r/>
            <w:r>
              <w:rPr>
                <w:sz w:val="18"/>
              </w:rPr>
              <w:t>0.295</w:t>
            </w:r>
          </w:p>
        </w:tc>
      </w:tr>
      <w:tr>
        <w:tc>
          <w:tcPr>
            <w:tcW w:type="dxa" w:w="1234"/>
          </w:tcPr>
          <w:p>
            <w:r/>
            <w:r>
              <w:rPr>
                <w:sz w:val="18"/>
              </w:rPr>
              <w:t>ADDRESS (relaxed)</w:t>
            </w:r>
          </w:p>
        </w:tc>
        <w:tc>
          <w:tcPr>
            <w:tcW w:type="dxa" w:w="1234"/>
          </w:tcPr>
          <w:p>
            <w:pPr>
              <w:jc w:val="right"/>
            </w:pPr>
            <w:r/>
            <w:r>
              <w:rPr>
                <w:sz w:val="18"/>
              </w:rPr>
              <w:t>22</w:t>
            </w:r>
          </w:p>
        </w:tc>
        <w:tc>
          <w:tcPr>
            <w:tcW w:type="dxa" w:w="1234"/>
          </w:tcPr>
          <w:p>
            <w:pPr>
              <w:jc w:val="right"/>
            </w:pPr>
            <w:r/>
            <w:r>
              <w:rPr>
                <w:sz w:val="18"/>
              </w:rPr>
              <w:t>6</w:t>
            </w:r>
          </w:p>
        </w:tc>
        <w:tc>
          <w:tcPr>
            <w:tcW w:type="dxa" w:w="1234"/>
          </w:tcPr>
          <w:p>
            <w:pPr>
              <w:jc w:val="right"/>
            </w:pPr>
            <w:r/>
            <w:r>
              <w:rPr>
                <w:sz w:val="18"/>
              </w:rPr>
              <w:t>3</w:t>
            </w:r>
          </w:p>
        </w:tc>
        <w:tc>
          <w:tcPr>
            <w:tcW w:type="dxa" w:w="1234"/>
          </w:tcPr>
          <w:p>
            <w:pPr>
              <w:jc w:val="right"/>
            </w:pPr>
            <w:r/>
            <w:r>
              <w:rPr>
                <w:sz w:val="18"/>
              </w:rPr>
              <w:t>0.786</w:t>
            </w:r>
          </w:p>
        </w:tc>
        <w:tc>
          <w:tcPr>
            <w:tcW w:type="dxa" w:w="1234"/>
          </w:tcPr>
          <w:p>
            <w:pPr>
              <w:jc w:val="right"/>
            </w:pPr>
            <w:r/>
            <w:r>
              <w:rPr>
                <w:sz w:val="18"/>
              </w:rPr>
              <w:t>0.880</w:t>
            </w:r>
          </w:p>
        </w:tc>
        <w:tc>
          <w:tcPr>
            <w:tcW w:type="dxa" w:w="1234"/>
          </w:tcPr>
          <w:p>
            <w:pPr>
              <w:jc w:val="right"/>
            </w:pPr>
            <w:r/>
            <w:r>
              <w:rPr>
                <w:sz w:val="18"/>
              </w:rPr>
              <w:t>0.830</w:t>
            </w:r>
          </w:p>
        </w:tc>
      </w:tr>
    </w:tbl>
    <w:p>
      <w:pPr>
        <w:spacing w:after="40"/>
      </w:pPr>
    </w:p>
    <w:p>
      <w:pPr>
        <w:spacing w:before="280" w:after="80"/>
      </w:pPr>
      <w:r>
        <w:rPr>
          <w:b/>
          <w:color w:val="1A1A1A"/>
          <w:sz w:val="26"/>
        </w:rPr>
        <w:t>6. Error analysis</w:t>
      </w:r>
    </w:p>
    <w:p>
      <w:pPr>
        <w:pStyle w:val="ListBullet"/>
        <w:spacing w:after="40"/>
      </w:pPr>
      <w:r>
        <w:rPr>
          <w:sz w:val="20"/>
        </w:rPr>
        <w:t>PERSON is the largest remaining risk. Blind precision is 0.191. The failure is systematic: a prospectus capitalizes defined terms exactly as it capitalizes names, so phrases such as "Selling Shareholders" and "Key Managerial Personnel" are detected as people. No false positive was a real person, so the effect is over-redaction rather than leakage.</w:t>
      </w:r>
    </w:p>
    <w:p>
      <w:pPr>
        <w:pStyle w:val="ListBullet"/>
        <w:spacing w:after="40"/>
      </w:pPr>
      <w:r>
        <w:rPr>
          <w:sz w:val="20"/>
        </w:rPr>
        <w:t>COMPANY initially over-detected generic legal and organizational text. Requiring evidence local to each candidate, rather than anywhere in the paragraph, was the single largest precision improvement in the project.</w:t>
      </w:r>
    </w:p>
    <w:p>
      <w:pPr>
        <w:pStyle w:val="ListBullet"/>
        <w:spacing w:after="40"/>
      </w:pPr>
      <w:r>
        <w:rPr>
          <w:sz w:val="20"/>
        </w:rPr>
        <w:t>ADDRESS exact boundaries frequently differ from a human annotation by a premise number even when the correct postal location is found. Relaxed overlap precision is 0.786 against 0.571 exact, confirming that most ADDRESS error is boundary placement rather than missed detection.</w:t>
      </w:r>
    </w:p>
    <w:p>
      <w:pPr>
        <w:pStyle w:val="ListBullet"/>
        <w:spacing w:after="40"/>
      </w:pPr>
      <w:r>
        <w:rPr>
          <w:sz w:val="20"/>
        </w:rPr>
        <w:t>EMAIL and PHONE performed without error on every labelled example across all three evaluations. This is consistent with their design: regular expressions constrained by format validators and contextual exclusions.</w:t>
      </w:r>
    </w:p>
    <w:p>
      <w:pPr>
        <w:spacing w:before="280" w:after="80"/>
      </w:pPr>
      <w:r>
        <w:rPr>
          <w:b/>
          <w:color w:val="1A1A1A"/>
          <w:sz w:val="26"/>
        </w:rPr>
        <w:t>7. Evaluation integrity and limitations</w:t>
      </w:r>
    </w:p>
    <w:p>
      <w:pPr>
        <w:pStyle w:val="ListBullet"/>
        <w:spacing w:after="40"/>
      </w:pPr>
      <w:r>
        <w:rPr>
          <w:sz w:val="20"/>
        </w:rPr>
        <w:t>Development data was used for calibration; its scores are not evidence of generalization.</w:t>
      </w:r>
    </w:p>
    <w:p>
      <w:pPr>
        <w:pStyle w:val="ListBullet"/>
        <w:spacing w:after="40"/>
      </w:pPr>
      <w:r>
        <w:rPr>
          <w:sz w:val="20"/>
        </w:rPr>
        <w:t>The Phase 2C holdout was untouched for its first run, then reused diagnostically after error analysis. Its later figures are labelled diagnostic and are not blind.</w:t>
      </w:r>
    </w:p>
    <w:p>
      <w:pPr>
        <w:pStyle w:val="ListBullet"/>
        <w:spacing w:after="40"/>
      </w:pPr>
      <w:r>
        <w:rPr>
          <w:sz w:val="20"/>
        </w:rPr>
        <w:t>The blind final set was annotated after the recognizers were frozen and scored once. No fix was applied afterwards, because tuning against it would destroy the only unbiased measurement available.</w:t>
      </w:r>
    </w:p>
    <w:p>
      <w:pPr>
        <w:pStyle w:val="ListBullet"/>
        <w:spacing w:after="40"/>
      </w:pPr>
      <w:r>
        <w:rPr>
          <w:sz w:val="20"/>
        </w:rPr>
        <w:t>The annotator had prior exposure to the recognizer implementation. Entity presence is objective, but COMPANY and ADDRESS boundary conventions may lean toward the detector; both exact and relaxed ADDRESS results are reported so that effect stays visible.</w:t>
      </w:r>
    </w:p>
    <w:p>
      <w:pPr>
        <w:pStyle w:val="ListBullet"/>
        <w:spacing w:after="40"/>
      </w:pPr>
      <w:r>
        <w:rPr>
          <w:sz w:val="20"/>
        </w:rPr>
        <w:t>Four required categories — SSN, credit card, date of birth, and IP address — had no positive examples in the labelled real-document subsets, and are covered only by synthetic tests.</w:t>
      </w:r>
    </w:p>
    <w:p>
      <w:pPr>
        <w:pStyle w:val="ListBullet"/>
        <w:spacing w:after="40"/>
      </w:pPr>
      <w:r>
        <w:rPr>
          <w:sz w:val="20"/>
        </w:rPr>
        <w:t>Samples are risk-stratified toward difficult content, so aggregate figures are not an unbiased prevalence estimate for an average paragraph.</w:t>
      </w:r>
    </w:p>
    <w:p>
      <w:pPr>
        <w:pStyle w:val="ListBullet"/>
        <w:spacing w:after="40"/>
      </w:pPr>
      <w:r>
        <w:rPr>
          <w:sz w:val="20"/>
        </w:rPr>
        <w:t>Text inside raster images was not OCRed and therefore not evaluated.</w:t>
      </w:r>
    </w:p>
    <w:p>
      <w:pPr>
        <w:spacing w:before="280" w:after="80"/>
      </w:pPr>
      <w:r>
        <w:rPr>
          <w:b/>
          <w:color w:val="1A1A1A"/>
          <w:sz w:val="26"/>
        </w:rPr>
        <w:t>8. Final takeaway</w:t>
      </w:r>
    </w:p>
    <w:p>
      <w:pPr>
        <w:spacing w:after="120"/>
      </w:pPr>
      <w:r>
        <w:rPr>
          <w:i w:val="0"/>
          <w:color w:val="1A1A1A"/>
          <w:sz w:val="20"/>
        </w:rPr>
        <w:t>The evaluation demonstrates strong and stable structured-PII performance — email and phone detection were error-free on every labelled example — and materially improved company detection, whose precision rose from 0.250 to 0.809 between the first and final measurements. It also identifies clearly where the system is weak: person detection over-redacts capitalized legal terminology, and address boundaries remain imprecise even when the location is correctly found.</w:t>
      </w:r>
    </w:p>
    <w:p>
      <w:pPr>
        <w:spacing w:after="120"/>
      </w:pPr>
      <w:r>
        <w:rPr>
          <w:i w:val="0"/>
          <w:color w:val="1A1A1A"/>
          <w:sz w:val="20"/>
        </w:rPr>
        <w:t>No claim is made of perfect redaction or zero leakage. Coverage is limited to supported document text, four required categories are unmeasured on real data, and the blind evaluation reports a micro precision of 0.675 with recall of 0.839 — a system that finds most PII and errs toward over-redaction, which is stated here precisely so that its output is used with the right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