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160"/>
        <w:jc w:val="center"/>
      </w:pPr>
      <w:r>
        <w:rPr>
          <w:rFonts w:ascii="Arial" w:cs="Arial" w:eastAsia="Arial" w:hAnsi="Arial"/>
          <w:b/>
          <w:bCs/>
          <w:color w:val="2E75B6"/>
          <w:sz w:val="22"/>
          <w:szCs w:val="22"/>
        </w:rPr>
        <w:t xml:space="preserve">EXECUTIVE SUMMARY</w:t>
      </w:r>
    </w:p>
    <w:p>
      <w:pPr>
        <w:pBdr>
          <w:bottom w:val="single" w:color="1F4E79" w:sz="12" w:space="1"/>
        </w:pBdr>
        <w:spacing w:after="0"/>
        <w:jc w:val="center"/>
      </w:pPr>
      <w:r>
        <w:rPr>
          <w:rFonts w:ascii="Arial" w:cs="Arial" w:eastAsia="Arial" w:hAnsi="Arial"/>
          <w:b/>
          <w:bCs/>
          <w:color w:val="1F4E79"/>
          <w:sz w:val="44"/>
          <w:szCs w:val="44"/>
        </w:rPr>
        <w:t xml:space="preserve">System Capacity &amp; Care Load Analytics</w:t>
      </w:r>
    </w:p>
    <w:p>
      <w:pPr>
        <w:spacing w:after="300"/>
        <w:jc w:val="center"/>
      </w:pPr>
      <w:r>
        <w:rPr>
          <w:rFonts w:ascii="Arial" w:cs="Arial" w:eastAsia="Arial" w:hAnsi="Arial"/>
          <w:b/>
          <w:bCs/>
          <w:color w:val="1F4E79"/>
          <w:sz w:val="36"/>
          <w:szCs w:val="36"/>
        </w:rPr>
        <w:t xml:space="preserve">for Unaccompanied Children</w:t>
      </w:r>
    </w:p>
    <w:p>
      <w:pPr>
        <w:spacing w:after="100"/>
        <w:jc w:val="center"/>
      </w:pPr>
      <w:r>
        <w:rPr>
          <w:rFonts w:ascii="Arial" w:cs="Arial" w:eastAsia="Arial" w:hAnsi="Arial"/>
          <w:color w:val="5A5A5A"/>
          <w:sz w:val="22"/>
          <w:szCs w:val="22"/>
        </w:rPr>
        <w:t xml:space="preserve">U.S. Department of Health and Human Services  |  Office of Refugee Resettlement</w:t>
      </w:r>
    </w:p>
    <w:p>
      <w:pPr>
        <w:spacing w:after="100"/>
        <w:jc w:val="center"/>
      </w:pPr>
      <w:r>
        <w:rPr>
          <w:rFonts w:ascii="Arial" w:cs="Arial" w:eastAsia="Arial" w:hAnsi="Arial"/>
          <w:color w:val="5A5A5A"/>
          <w:sz w:val="22"/>
          <w:szCs w:val="22"/>
        </w:rPr>
        <w:t xml:space="preserve">Reporting Period: January 2023 – December 2025</w:t>
      </w:r>
    </w:p>
    <w:p>
      <w:pPr>
        <w:spacing w:after="400"/>
        <w:jc w:val="center"/>
      </w:pPr>
      <w:r>
        <w:rPr>
          <w:rFonts w:ascii="Arial" w:cs="Arial" w:eastAsia="Arial" w:hAnsi="Arial"/>
          <w:color w:val="5A5A5A"/>
          <w:sz w:val="22"/>
          <w:szCs w:val="22"/>
        </w:rPr>
        <w:t xml:space="preserve">Prepared for: Government Stakeholders and Program Administrators</w:t>
      </w:r>
    </w:p>
    <w:p>
      <w:pPr>
        <w:pStyle w:val="Heading1"/>
        <w:spacing w:after="180" w:before="360"/>
      </w:pPr>
      <w:r>
        <w:rPr>
          <w:rFonts w:ascii="Arial" w:cs="Arial" w:eastAsia="Arial" w:hAnsi="Arial"/>
          <w:b/>
          <w:bCs/>
          <w:color w:val="1F4E79"/>
          <w:sz w:val="30"/>
          <w:szCs w:val="30"/>
        </w:rPr>
        <w:t xml:space="preserve">Purpose of This Summary</w:t>
      </w:r>
    </w:p>
    <w:p>
      <w:pPr>
        <w:spacing w:after="80" w:before="80"/>
        <w:jc w:val="both"/>
      </w:pPr>
      <w:r>
        <w:rPr>
          <w:rFonts w:ascii="Arial" w:cs="Arial" w:eastAsia="Arial" w:hAnsi="Arial"/>
          <w:sz w:val="22"/>
          <w:szCs w:val="22"/>
        </w:rPr>
        <w:t xml:space="preserve">This executive summary presents the key findings, performance metrics, and strategic recommendations from the System Capacity &amp; Care Load Analytics project for the HHS Unaccompanied Alien Children (UAC) Program. It is intended for government stakeholders, program administrators, and policymakers responsible for oversight and resource allocation decisions. A full research paper with detailed methodology and exploratory data analysis is available as a companion document.</w:t>
      </w:r>
    </w:p>
    <w:p>
      <w:pPr>
        <w:spacing w:after="60" w:before="60"/>
      </w:pPr>
      <w:r>
        <w:t xml:space="preserve"/>
      </w:r>
    </w:p>
    <w:p>
      <w:pPr>
        <w:pStyle w:val="Heading1"/>
        <w:spacing w:after="180" w:before="360"/>
      </w:pPr>
      <w:r>
        <w:rPr>
          <w:rFonts w:ascii="Arial" w:cs="Arial" w:eastAsia="Arial" w:hAnsi="Arial"/>
          <w:b/>
          <w:bCs/>
          <w:color w:val="1F4E79"/>
          <w:sz w:val="30"/>
          <w:szCs w:val="30"/>
        </w:rPr>
        <w:t xml:space="preserve">Program Overview</w:t>
      </w:r>
    </w:p>
    <w:p>
      <w:pPr>
        <w:spacing w:after="80" w:before="80"/>
        <w:jc w:val="both"/>
      </w:pPr>
      <w:r>
        <w:rPr>
          <w:rFonts w:ascii="Arial" w:cs="Arial" w:eastAsia="Arial" w:hAnsi="Arial"/>
          <w:sz w:val="22"/>
          <w:szCs w:val="22"/>
        </w:rPr>
        <w:t xml:space="preserve">The UAC Program is a federally mandated child welfare initiative in which minors apprehended at U.S. borders are transferred from CBP custody to HHS care facilities for shelter, medical screening, and sponsor placement. The program operates as a continuous care pipeline with three stages: CBP intake, HHS sheltering, and discharge to vetted sponsors.</w:t>
      </w:r>
    </w:p>
    <w:p>
      <w:pPr>
        <w:spacing w:after="60" w:before="60"/>
      </w:pPr>
      <w:r>
        <w:t xml:space="preserve"/>
      </w:r>
    </w:p>
    <w:p>
      <w:pPr>
        <w:spacing w:after="80" w:before="80"/>
        <w:jc w:val="both"/>
      </w:pPr>
      <w:r>
        <w:rPr>
          <w:rFonts w:ascii="Arial" w:cs="Arial" w:eastAsia="Arial" w:hAnsi="Arial"/>
          <w:sz w:val="22"/>
          <w:szCs w:val="22"/>
        </w:rPr>
        <w:t xml:space="preserve">This analysis covers 720 reporting days from January 2023 through December 2025, encompassing the program’s most dynamic period in recent history.</w:t>
      </w:r>
    </w:p>
    <w:p>
      <w:pPr>
        <w:spacing w:after="60" w:before="60"/>
      </w:pPr>
      <w:r>
        <w:t xml:space="preserve"/>
      </w:r>
    </w:p>
    <w:p>
      <w:pPr>
        <w:pStyle w:val="Heading1"/>
        <w:spacing w:after="180" w:before="360"/>
      </w:pPr>
      <w:r>
        <w:rPr>
          <w:rFonts w:ascii="Arial" w:cs="Arial" w:eastAsia="Arial" w:hAnsi="Arial"/>
          <w:b/>
          <w:bCs/>
          <w:color w:val="1F4E79"/>
          <w:sz w:val="30"/>
          <w:szCs w:val="30"/>
        </w:rPr>
        <w:t xml:space="preserve">System Performance at a Glance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Avg. children in HHS care</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1F4E79"/>
                <w:sz w:val="24"/>
                <w:szCs w:val="24"/>
              </w:rPr>
              <w:t xml:space="preserve">6,061</w:t>
            </w:r>
          </w:p>
        </w:tc>
        <w:tc>
          <w:tcPr>
            <w:tcW w:type="dxa" w:w="3360"/>
            <w:tcBorders>
              <w:top w:val="single" w:color="CCCCCC" w:sz="1"/>
              <w:left w:val="single" w:color="CCCCCC" w:sz="1"/>
              <w:bottom w:val="single" w:color="CCCCCC" w:sz="1"/>
              <w:right w:val="single" w:color="CCCCCC" w:sz="1"/>
            </w:tcBorders>
            <w:shd w:fill="F2F7FC" w:val="clear"/>
            <w:tcMar>
              <w:top w:type="dxa" w:w="100"/>
              <w:left w:type="dxa" w:w="160"/>
              <w:bottom w:type="dxa" w:w="100"/>
              <w:right w:type="dxa" w:w="160"/>
            </w:tcMar>
          </w:tcPr>
          <w:p>
            <w:r>
              <w:rPr>
                <w:rFonts w:ascii="Arial" w:cs="Arial" w:eastAsia="Arial" w:hAnsi="Arial"/>
                <w:color w:val="5A5A5A"/>
                <w:sz w:val="20"/>
                <w:szCs w:val="20"/>
              </w:rPr>
              <w:t xml:space="preserve">Daily average across all 3 years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Peak HHS care load</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1F4E79"/>
                <w:sz w:val="24"/>
                <w:szCs w:val="24"/>
              </w:rPr>
              <w:t xml:space="preserve">11,516</w:t>
            </w:r>
          </w:p>
        </w:tc>
        <w:tc>
          <w:tcPr>
            <w:tcW w:type="dxa" w:w="3360"/>
            <w:tcBorders>
              <w:top w:val="single" w:color="CCCCCC" w:sz="1"/>
              <w:left w:val="single" w:color="CCCCCC" w:sz="1"/>
              <w:bottom w:val="single" w:color="CCCCCC" w:sz="1"/>
              <w:right w:val="single" w:color="CCCCCC" w:sz="1"/>
            </w:tcBorders>
            <w:shd w:fill="F2F7FC" w:val="clear"/>
            <w:tcMar>
              <w:top w:type="dxa" w:w="100"/>
              <w:left w:type="dxa" w:w="160"/>
              <w:bottom w:type="dxa" w:w="100"/>
              <w:right w:type="dxa" w:w="160"/>
            </w:tcMar>
          </w:tcPr>
          <w:p>
            <w:r>
              <w:rPr>
                <w:rFonts w:ascii="Arial" w:cs="Arial" w:eastAsia="Arial" w:hAnsi="Arial"/>
                <w:color w:val="5A5A5A"/>
                <w:sz w:val="20"/>
                <w:szCs w:val="20"/>
              </w:rPr>
              <w:t xml:space="preserve">December 20, 2023 — all-time high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Total discharged to sponsors</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1F4E79"/>
                <w:sz w:val="24"/>
                <w:szCs w:val="24"/>
              </w:rPr>
              <w:t xml:space="preserve">124,853</w:t>
            </w:r>
          </w:p>
        </w:tc>
        <w:tc>
          <w:tcPr>
            <w:tcW w:type="dxa" w:w="3360"/>
            <w:tcBorders>
              <w:top w:val="single" w:color="CCCCCC" w:sz="1"/>
              <w:left w:val="single" w:color="CCCCCC" w:sz="1"/>
              <w:bottom w:val="single" w:color="CCCCCC" w:sz="1"/>
              <w:right w:val="single" w:color="CCCCCC" w:sz="1"/>
            </w:tcBorders>
            <w:shd w:fill="F2F7FC" w:val="clear"/>
            <w:tcMar>
              <w:top w:type="dxa" w:w="100"/>
              <w:left w:type="dxa" w:w="160"/>
              <w:bottom w:type="dxa" w:w="100"/>
              <w:right w:type="dxa" w:w="160"/>
            </w:tcMar>
          </w:tcPr>
          <w:p>
            <w:r>
              <w:rPr>
                <w:rFonts w:ascii="Arial" w:cs="Arial" w:eastAsia="Arial" w:hAnsi="Arial"/>
                <w:color w:val="5A5A5A"/>
                <w:sz w:val="20"/>
                <w:szCs w:val="20"/>
              </w:rPr>
              <w:t xml:space="preserve">Successful placements across 3 years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Discharge offset ratio</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1F4E79"/>
                <w:sz w:val="24"/>
                <w:szCs w:val="24"/>
              </w:rPr>
              <w:t xml:space="preserve">1.85x</w:t>
            </w:r>
          </w:p>
        </w:tc>
        <w:tc>
          <w:tcPr>
            <w:tcW w:type="dxa" w:w="3360"/>
            <w:tcBorders>
              <w:top w:val="single" w:color="CCCCCC" w:sz="1"/>
              <w:left w:val="single" w:color="CCCCCC" w:sz="1"/>
              <w:bottom w:val="single" w:color="CCCCCC" w:sz="1"/>
              <w:right w:val="single" w:color="CCCCCC" w:sz="1"/>
            </w:tcBorders>
            <w:shd w:fill="F2F7FC" w:val="clear"/>
            <w:tcMar>
              <w:top w:type="dxa" w:w="100"/>
              <w:left w:type="dxa" w:w="160"/>
              <w:bottom w:type="dxa" w:w="100"/>
              <w:right w:type="dxa" w:w="160"/>
            </w:tcMar>
          </w:tcPr>
          <w:p>
            <w:r>
              <w:rPr>
                <w:rFonts w:ascii="Arial" w:cs="Arial" w:eastAsia="Arial" w:hAnsi="Arial"/>
                <w:color w:val="5A5A5A"/>
                <w:sz w:val="20"/>
                <w:szCs w:val="20"/>
              </w:rPr>
              <w:t xml:space="preserve">Discharges exceeded HHS transfers overall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2025 load vs. peak</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1F4E79"/>
                <w:sz w:val="24"/>
                <w:szCs w:val="24"/>
              </w:rPr>
              <w:t xml:space="preserve">−83%</w:t>
            </w:r>
          </w:p>
        </w:tc>
        <w:tc>
          <w:tcPr>
            <w:tcW w:type="dxa" w:w="3360"/>
            <w:tcBorders>
              <w:top w:val="single" w:color="CCCCCC" w:sz="1"/>
              <w:left w:val="single" w:color="CCCCCC" w:sz="1"/>
              <w:bottom w:val="single" w:color="CCCCCC" w:sz="1"/>
              <w:right w:val="single" w:color="CCCCCC" w:sz="1"/>
            </w:tcBorders>
            <w:shd w:fill="F2F7FC" w:val="clear"/>
            <w:tcMar>
              <w:top w:type="dxa" w:w="100"/>
              <w:left w:type="dxa" w:w="160"/>
              <w:bottom w:type="dxa" w:w="100"/>
              <w:right w:type="dxa" w:w="160"/>
            </w:tcMar>
          </w:tcPr>
          <w:p>
            <w:r>
              <w:rPr>
                <w:rFonts w:ascii="Arial" w:cs="Arial" w:eastAsia="Arial" w:hAnsi="Arial"/>
                <w:color w:val="5A5A5A"/>
                <w:sz w:val="20"/>
                <w:szCs w:val="20"/>
              </w:rPr>
              <w:t xml:space="preserve">From 11,516 to ~2,000 by mid-2025</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Care load volatility index</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1F4E79"/>
                <w:sz w:val="24"/>
                <w:szCs w:val="24"/>
              </w:rPr>
              <w:t xml:space="preserve">46.7%</w:t>
            </w:r>
          </w:p>
        </w:tc>
        <w:tc>
          <w:tcPr>
            <w:tcW w:type="dxa" w:w="3360"/>
            <w:tcBorders>
              <w:top w:val="single" w:color="CCCCCC" w:sz="1"/>
              <w:left w:val="single" w:color="CCCCCC" w:sz="1"/>
              <w:bottom w:val="single" w:color="CCCCCC" w:sz="1"/>
              <w:right w:val="single" w:color="CCCCCC" w:sz="1"/>
            </w:tcBorders>
            <w:shd w:fill="F2F7FC" w:val="clear"/>
            <w:tcMar>
              <w:top w:type="dxa" w:w="100"/>
              <w:left w:type="dxa" w:w="160"/>
              <w:bottom w:type="dxa" w:w="100"/>
              <w:right w:type="dxa" w:w="160"/>
            </w:tcMar>
          </w:tcPr>
          <w:p>
            <w:r>
              <w:rPr>
                <w:rFonts w:ascii="Arial" w:cs="Arial" w:eastAsia="Arial" w:hAnsi="Arial"/>
                <w:color w:val="5A5A5A"/>
                <w:sz w:val="20"/>
                <w:szCs w:val="20"/>
              </w:rPr>
              <w:t xml:space="preserve">High variability requiring adaptive planning</w:t>
            </w:r>
          </w:p>
        </w:tc>
      </w:tr>
    </w:tbl>
    <w:p>
      <w:pPr>
        <w:spacing w:after="60" w:before="60"/>
      </w:pPr>
      <w:r>
        <w:t xml:space="preserve"/>
      </w:r>
    </w:p>
    <w:p>
      <w:pPr>
        <w:pStyle w:val="Heading1"/>
        <w:spacing w:after="180" w:before="360"/>
      </w:pPr>
      <w:r>
        <w:rPr>
          <w:rFonts w:ascii="Arial" w:cs="Arial" w:eastAsia="Arial" w:hAnsi="Arial"/>
          <w:b/>
          <w:bCs/>
          <w:color w:val="1F4E79"/>
          <w:sz w:val="30"/>
          <w:szCs w:val="30"/>
        </w:rPr>
        <w:t xml:space="preserve">Key Findings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E6" w:val="clear"/>
            <w:tcMar>
              <w:top w:type="dxa" w:w="120"/>
              <w:left w:type="dxa" w:w="180"/>
              <w:bottom w:type="dxa" w:w="120"/>
              <w:right w:type="dxa" w:w="180"/>
            </w:tcMar>
          </w:tcPr>
          <w:p>
            <w:pPr>
              <w:spacing w:after="60"/>
            </w:pPr>
            <w:r>
              <w:rPr>
                <w:rFonts w:ascii="Arial" w:cs="Arial" w:eastAsia="Arial" w:hAnsi="Arial"/>
                <w:b/>
                <w:bCs/>
                <w:color w:val="1F4E79"/>
                <w:sz w:val="22"/>
                <w:szCs w:val="22"/>
              </w:rPr>
              <w:t xml:space="preserve">Finding 1: The system experienced severe capacity strain in late 2023.</w:t>
            </w:r>
          </w:p>
          <w:p>
            <w:pPr>
              <w:jc w:val="both"/>
            </w:pPr>
            <w:r>
              <w:rPr>
                <w:rFonts w:ascii="Arial" w:cs="Arial" w:eastAsia="Arial" w:hAnsi="Arial"/>
                <w:color w:val="2C2C2C"/>
                <w:sz w:val="21"/>
                <w:szCs w:val="21"/>
              </w:rPr>
              <w:t xml:space="preserve">From August through December 2023, HHS care load exceeded 9,000 children for more than 120 consecutive days, peaking at 11,516 on December 20. This period represents the greatest test of system capacity in the reporting window and coincided with a surge in border apprehensions and a discharge processing lag. Timely HHS response in scaling shelter capacity and sponsor placement operations prevented a more severe backlog.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0FF" w:val="clear"/>
            <w:tcMar>
              <w:top w:type="dxa" w:w="120"/>
              <w:left w:type="dxa" w:w="180"/>
              <w:bottom w:type="dxa" w:w="120"/>
              <w:right w:type="dxa" w:w="180"/>
            </w:tcMar>
          </w:tcPr>
          <w:p>
            <w:pPr>
              <w:spacing w:after="60"/>
            </w:pPr>
            <w:r>
              <w:rPr>
                <w:rFonts w:ascii="Arial" w:cs="Arial" w:eastAsia="Arial" w:hAnsi="Arial"/>
                <w:b/>
                <w:bCs/>
                <w:color w:val="1F4E79"/>
                <w:sz w:val="22"/>
                <w:szCs w:val="22"/>
              </w:rPr>
              <w:t xml:space="preserve">Finding 2: 2024 marked record pipeline throughput despite sustained load.</w:t>
            </w:r>
          </w:p>
          <w:p>
            <w:pPr>
              <w:jc w:val="both"/>
            </w:pPr>
            <w:r>
              <w:rPr>
                <w:rFonts w:ascii="Arial" w:cs="Arial" w:eastAsia="Arial" w:hAnsi="Arial"/>
                <w:color w:val="2C2C2C"/>
                <w:sz w:val="21"/>
                <w:szCs w:val="21"/>
              </w:rPr>
              <w:t xml:space="preserve">In 2024, HHS processed 52,552 transfers in and 51,689 discharges out — the highest annual volumes in the dataset. Despite this throughput, the system maintained an average daily census of 7,043 children, indicating that operational velocity kept pace with intake but was insufficient to dramatically reduce the standing load until late in the year.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5EE" w:val="clear"/>
            <w:tcMar>
              <w:top w:type="dxa" w:w="120"/>
              <w:left w:type="dxa" w:w="180"/>
              <w:bottom w:type="dxa" w:w="120"/>
              <w:right w:type="dxa" w:w="180"/>
            </w:tcMar>
          </w:tcPr>
          <w:p>
            <w:pPr>
              <w:spacing w:after="60"/>
            </w:pPr>
            <w:r>
              <w:rPr>
                <w:rFonts w:ascii="Arial" w:cs="Arial" w:eastAsia="Arial" w:hAnsi="Arial"/>
                <w:b/>
                <w:bCs/>
                <w:color w:val="1F4E79"/>
                <w:sz w:val="22"/>
                <w:szCs w:val="22"/>
              </w:rPr>
              <w:t xml:space="preserve">Finding 3: 2025 reflects a structural reversal with historic low care loads.</w:t>
            </w:r>
          </w:p>
          <w:p>
            <w:pPr>
              <w:jc w:val="both"/>
            </w:pPr>
            <w:r>
              <w:rPr>
                <w:rFonts w:ascii="Arial" w:cs="Arial" w:eastAsia="Arial" w:hAnsi="Arial"/>
                <w:color w:val="2C2C2C"/>
                <w:sz w:val="21"/>
                <w:szCs w:val="21"/>
              </w:rPr>
              <w:t xml:space="preserve">Apprehensions fell sharply in early 2025, driving a rapid decline in the HHS care census. By August 2025, the system held approximately 1,972 children — an 83% reduction from the December 2023 peak. Monthly apprehensions dropped below 200, compared to a 2023 monthly average of 2,254. This represents either a policy-driven or environmental shift of significant magnitude.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180"/>
              <w:bottom w:type="dxa" w:w="120"/>
              <w:right w:type="dxa" w:w="180"/>
            </w:tcMar>
          </w:tcPr>
          <w:p>
            <w:pPr>
              <w:spacing w:after="60"/>
            </w:pPr>
            <w:r>
              <w:rPr>
                <w:rFonts w:ascii="Arial" w:cs="Arial" w:eastAsia="Arial" w:hAnsi="Arial"/>
                <w:b/>
                <w:bCs/>
                <w:color w:val="1F4E79"/>
                <w:sz w:val="22"/>
                <w:szCs w:val="22"/>
              </w:rPr>
              <w:t xml:space="preserve">Finding 4: High volatility demands adaptive, not fixed, infrastructure.</w:t>
            </w:r>
          </w:p>
          <w:p>
            <w:pPr>
              <w:jc w:val="both"/>
            </w:pPr>
            <w:r>
              <w:rPr>
                <w:rFonts w:ascii="Arial" w:cs="Arial" w:eastAsia="Arial" w:hAnsi="Arial"/>
                <w:color w:val="2C2C2C"/>
                <w:sz w:val="21"/>
                <w:szCs w:val="21"/>
              </w:rPr>
              <w:t xml:space="preserve">The care load volatility index of 46.7% (coefficient of variation) demonstrates that the system cannot be effectively managed through static capacity planning. The range from 1,972 to 11,516 active children — a nearly 6x spread — requires surge-capable shelter agreements, scalable staffing models, and real-time situational awareness tools.</w:t>
            </w:r>
          </w:p>
        </w:tc>
      </w:tr>
    </w:tbl>
    <w:p>
      <w:pPr>
        <w:spacing w:after="60" w:before="60"/>
      </w:pPr>
      <w:r>
        <w:t xml:space="preserve"/>
      </w:r>
    </w:p>
    <w:p>
      <w:pPr>
        <w:pStyle w:val="Heading1"/>
        <w:spacing w:after="180" w:before="360"/>
      </w:pPr>
      <w:r>
        <w:rPr>
          <w:rFonts w:ascii="Arial" w:cs="Arial" w:eastAsia="Arial" w:hAnsi="Arial"/>
          <w:b/>
          <w:bCs/>
          <w:color w:val="1F4E79"/>
          <w:sz w:val="30"/>
          <w:szCs w:val="30"/>
        </w:rPr>
        <w:t xml:space="preserve">Strategic Recommendations</w:t>
      </w:r>
    </w:p>
    <w:p>
      <w:pPr>
        <w:pStyle w:val="Heading2"/>
        <w:spacing w:after="120" w:before="240"/>
      </w:pPr>
      <w:r>
        <w:rPr>
          <w:rFonts w:ascii="Arial" w:cs="Arial" w:eastAsia="Arial" w:hAnsi="Arial"/>
          <w:b/>
          <w:bCs/>
          <w:color w:val="2E75B6"/>
          <w:sz w:val="24"/>
          <w:szCs w:val="24"/>
        </w:rPr>
        <w:t xml:space="preserve">For Program Administrators</w:t>
      </w:r>
    </w:p>
    <w:p>
      <w:pPr>
        <w:pStyle w:val="ListParagraph"/>
        <w:numPr>
          <w:ilvl w:val="0"/>
          <w:numId w:val="2"/>
        </w:numPr>
        <w:spacing w:after="60" w:before="60"/>
      </w:pPr>
      <w:r>
        <w:rPr>
          <w:rFonts w:ascii="Arial" w:cs="Arial" w:eastAsia="Arial" w:hAnsi="Arial"/>
          <w:sz w:val="22"/>
          <w:szCs w:val="22"/>
        </w:rPr>
        <w:t xml:space="preserve">Deploy a real-time analytics dashboard (as delivered in this project) for daily care load monitoring and early warning of capacity pressure</w:t>
      </w:r>
    </w:p>
    <w:p>
      <w:pPr>
        <w:pStyle w:val="ListParagraph"/>
        <w:numPr>
          <w:ilvl w:val="0"/>
          <w:numId w:val="2"/>
        </w:numPr>
        <w:spacing w:after="60" w:before="60"/>
      </w:pPr>
      <w:r>
        <w:rPr>
          <w:rFonts w:ascii="Arial" w:cs="Arial" w:eastAsia="Arial" w:hAnsi="Arial"/>
          <w:sz w:val="22"/>
          <w:szCs w:val="22"/>
        </w:rPr>
        <w:t xml:space="preserve">Establish tiered surge protocols triggered at HHS census thresholds of 7,000, 9,000, and 11,000 children to enable pre-authorized resource deployment</w:t>
      </w:r>
    </w:p>
    <w:p>
      <w:pPr>
        <w:pStyle w:val="ListParagraph"/>
        <w:numPr>
          <w:ilvl w:val="0"/>
          <w:numId w:val="2"/>
        </w:numPr>
        <w:spacing w:after="60" w:before="60"/>
      </w:pPr>
      <w:r>
        <w:rPr>
          <w:rFonts w:ascii="Arial" w:cs="Arial" w:eastAsia="Arial" w:hAnsi="Arial"/>
          <w:sz w:val="22"/>
          <w:szCs w:val="22"/>
        </w:rPr>
        <w:t xml:space="preserve">Reduce average sponsor placement processing time as the highest-leverage mechanism for decreasing the standing HHS care load</w:t>
      </w:r>
    </w:p>
    <w:p>
      <w:pPr>
        <w:pStyle w:val="Heading2"/>
        <w:spacing w:after="120" w:before="240"/>
      </w:pPr>
      <w:r>
        <w:rPr>
          <w:rFonts w:ascii="Arial" w:cs="Arial" w:eastAsia="Arial" w:hAnsi="Arial"/>
          <w:b/>
          <w:bCs/>
          <w:color w:val="2E75B6"/>
          <w:sz w:val="24"/>
          <w:szCs w:val="24"/>
        </w:rPr>
        <w:t xml:space="preserve">For Resource and Budget Planning</w:t>
      </w:r>
    </w:p>
    <w:p>
      <w:pPr>
        <w:pStyle w:val="ListParagraph"/>
        <w:numPr>
          <w:ilvl w:val="0"/>
          <w:numId w:val="2"/>
        </w:numPr>
        <w:spacing w:after="60" w:before="60"/>
      </w:pPr>
      <w:r>
        <w:rPr>
          <w:rFonts w:ascii="Arial" w:cs="Arial" w:eastAsia="Arial" w:hAnsi="Arial"/>
          <w:sz w:val="22"/>
          <w:szCs w:val="22"/>
        </w:rPr>
        <w:t xml:space="preserve">Size shelter and staffing baselines to the 75th percentile of historical load (approximately 8,000–9,000 children), not the current low, to maintain readiness for a return to higher-volume periods</w:t>
      </w:r>
    </w:p>
    <w:p>
      <w:pPr>
        <w:pStyle w:val="ListParagraph"/>
        <w:numPr>
          <w:ilvl w:val="0"/>
          <w:numId w:val="2"/>
        </w:numPr>
        <w:spacing w:after="60" w:before="60"/>
      </w:pPr>
      <w:r>
        <w:rPr>
          <w:rFonts w:ascii="Arial" w:cs="Arial" w:eastAsia="Arial" w:hAnsi="Arial"/>
          <w:sz w:val="22"/>
          <w:szCs w:val="22"/>
        </w:rPr>
        <w:t xml:space="preserve">Establish contingency contracts with shelter providers for surge capacity that can be activated within 72 hours of a rolling-average threshold breach</w:t>
      </w:r>
    </w:p>
    <w:p>
      <w:pPr>
        <w:pStyle w:val="ListParagraph"/>
        <w:numPr>
          <w:ilvl w:val="0"/>
          <w:numId w:val="2"/>
        </w:numPr>
        <w:spacing w:after="60" w:before="60"/>
      </w:pPr>
      <w:r>
        <w:rPr>
          <w:rFonts w:ascii="Arial" w:cs="Arial" w:eastAsia="Arial" w:hAnsi="Arial"/>
          <w:sz w:val="22"/>
          <w:szCs w:val="22"/>
        </w:rPr>
        <w:t xml:space="preserve">Incorporate the discharge offset ratio as a standing quarterly KPI; ratios below 0.85 should trigger a formal capacity review</w:t>
      </w:r>
    </w:p>
    <w:p>
      <w:pPr>
        <w:pStyle w:val="Heading2"/>
        <w:spacing w:after="120" w:before="240"/>
      </w:pPr>
      <w:r>
        <w:rPr>
          <w:rFonts w:ascii="Arial" w:cs="Arial" w:eastAsia="Arial" w:hAnsi="Arial"/>
          <w:b/>
          <w:bCs/>
          <w:color w:val="2E75B6"/>
          <w:sz w:val="24"/>
          <w:szCs w:val="24"/>
        </w:rPr>
        <w:t xml:space="preserve">For Policy and Oversight</w:t>
      </w:r>
    </w:p>
    <w:p>
      <w:pPr>
        <w:pStyle w:val="ListParagraph"/>
        <w:numPr>
          <w:ilvl w:val="0"/>
          <w:numId w:val="2"/>
        </w:numPr>
        <w:spacing w:after="60" w:before="60"/>
      </w:pPr>
      <w:r>
        <w:rPr>
          <w:rFonts w:ascii="Arial" w:cs="Arial" w:eastAsia="Arial" w:hAnsi="Arial"/>
          <w:sz w:val="22"/>
          <w:szCs w:val="22"/>
        </w:rPr>
        <w:t xml:space="preserve">Integrate CBP border encounter forecasts into HHS planning models to anticipate transfer volumes 2–4 weeks ahead</w:t>
      </w:r>
    </w:p>
    <w:p>
      <w:pPr>
        <w:pStyle w:val="ListParagraph"/>
        <w:numPr>
          <w:ilvl w:val="0"/>
          <w:numId w:val="2"/>
        </w:numPr>
        <w:spacing w:after="60" w:before="60"/>
      </w:pPr>
      <w:r>
        <w:rPr>
          <w:rFonts w:ascii="Arial" w:cs="Arial" w:eastAsia="Arial" w:hAnsi="Arial"/>
          <w:sz w:val="22"/>
          <w:szCs w:val="22"/>
        </w:rPr>
        <w:t xml:space="preserve">Publish quarterly care load summary reports to Congress and the public to maintain transparency and accountability</w:t>
      </w:r>
    </w:p>
    <w:p>
      <w:pPr>
        <w:pStyle w:val="ListParagraph"/>
        <w:numPr>
          <w:ilvl w:val="0"/>
          <w:numId w:val="2"/>
        </w:numPr>
        <w:spacing w:after="60" w:before="60"/>
      </w:pPr>
      <w:r>
        <w:rPr>
          <w:rFonts w:ascii="Arial" w:cs="Arial" w:eastAsia="Arial" w:hAnsi="Arial"/>
          <w:sz w:val="22"/>
          <w:szCs w:val="22"/>
        </w:rPr>
        <w:t xml:space="preserve">Commission a retrospective review of the August–December 2023 surge to document lessons learned and codify the response playbook for future high-load events</w:t>
      </w:r>
    </w:p>
    <w:p>
      <w:pPr>
        <w:spacing w:after="60" w:before="60"/>
      </w:pPr>
      <w:r>
        <w:t xml:space="preserve"/>
      </w:r>
    </w:p>
    <w:p>
      <w:pPr>
        <w:pStyle w:val="Heading1"/>
        <w:spacing w:after="180" w:before="360"/>
      </w:pPr>
      <w:r>
        <w:rPr>
          <w:rFonts w:ascii="Arial" w:cs="Arial" w:eastAsia="Arial" w:hAnsi="Arial"/>
          <w:b/>
          <w:bCs/>
          <w:color w:val="1F4E79"/>
          <w:sz w:val="30"/>
          <w:szCs w:val="30"/>
        </w:rPr>
        <w:t xml:space="preserve">Conclusion</w:t>
      </w:r>
    </w:p>
    <w:p>
      <w:pPr>
        <w:spacing w:after="80" w:before="80"/>
        <w:jc w:val="both"/>
      </w:pPr>
      <w:r>
        <w:rPr>
          <w:rFonts w:ascii="Arial" w:cs="Arial" w:eastAsia="Arial" w:hAnsi="Arial"/>
          <w:sz w:val="22"/>
          <w:szCs w:val="22"/>
        </w:rPr>
        <w:t xml:space="preserve">The UAC care system has demonstrated both its resilience and its vulnerability during the 2023–2025 period. The successful discharge of over 124,000 children to sponsors reflects strong humanitarian performance. However, the system’s high volatility and the severity of the 2023 peak underscore the urgent need for data-driven management, adaptive infrastructure, and proactive policy alignment.</w:t>
      </w:r>
    </w:p>
    <w:p>
      <w:pPr>
        <w:spacing w:after="60" w:before="60"/>
      </w:pPr>
      <w:r>
        <w:t xml:space="preserve"/>
      </w:r>
    </w:p>
    <w:p>
      <w:pPr>
        <w:spacing w:after="80" w:before="80"/>
        <w:jc w:val="both"/>
      </w:pPr>
      <w:r>
        <w:rPr>
          <w:rFonts w:ascii="Arial" w:cs="Arial" w:eastAsia="Arial" w:hAnsi="Arial"/>
          <w:sz w:val="22"/>
          <w:szCs w:val="22"/>
        </w:rPr>
        <w:t xml:space="preserve">The analytics framework, dashboard, and findings presented in this project provide a foundation for transforming operational data into actionable intelligence. Adoption of the recommendations above will position HHS to manage the UAC care pipeline more effectively, regardless of future border conditions.</w:t>
      </w:r>
    </w:p>
    <w:p>
      <w:pPr>
        <w:spacing w:after="60" w:before="60"/>
      </w:pPr>
      <w:r>
        <w:t xml:space="preserve"/>
      </w:r>
    </w:p>
    <w:p>
      <w:pPr>
        <w:pBdr>
          <w:top w:val="single" w:color="2E75B6" w:sz="4" w:space="1"/>
        </w:pBdr>
        <w:spacing w:before="200"/>
      </w:pPr>
      <w:r>
        <w:rPr>
          <w:rFonts w:ascii="Arial" w:cs="Arial" w:eastAsia="Arial" w:hAnsi="Arial"/>
          <w:i/>
          <w:iCs/>
          <w:color w:val="5A5A5A"/>
          <w:sz w:val="18"/>
          <w:szCs w:val="18"/>
        </w:rPr>
        <w:t xml:space="preserve">For further information, contact the UAC Program Analytics Division, Office of Refugee Resettlement, Administration for Children and Families, U.S. Department of Health and Human Services.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20"/>
    </w:pPr>
    <w:r>
      <w:rPr>
        <w:rFonts w:ascii="Arial" w:cs="Arial" w:eastAsia="Arial" w:hAnsi="Arial"/>
        <w:color w:val="5A5A5A"/>
        <w:sz w:val="18"/>
        <w:szCs w:val="18"/>
      </w:rPr>
      <w:t xml:space="preserve">U.S. Department of Health and Human Services  |  For Government Use  |  Page </w:t>
    </w:r>
    <w:r>
      <w:rPr>
        <w:rFonts w:ascii="Arial" w:cs="Arial" w:eastAsia="Arial" w:hAnsi="Arial"/>
        <w:color w:val="5A5A5A"/>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5A5A5A"/>
        <w:sz w:val="18"/>
        <w:szCs w:val="18"/>
      </w:rPr>
      <w:t xml:space="preserve">EXECUTIVE SUMMARY  |  UAC System Capacity &amp; Care Load Analytics  |  HHS / ORR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2026-06-07T18:00:24.617Z</dcterms:created>
  <dcterms:modified xsi:type="dcterms:W3CDTF">2026-06-07T18:00:24.617Z</dcterms:modified>
</cp:coreProperties>
</file>

<file path=docProps/custom.xml><?xml version="1.0" encoding="utf-8"?>
<Properties xmlns="http://schemas.openxmlformats.org/officeDocument/2006/custom-properties" xmlns:vt="http://schemas.openxmlformats.org/officeDocument/2006/docPropsVTypes"/>
</file>