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sz w:val="22"/>
          <w:szCs w:val="22"/>
        </w:rPr>
        <w:t xml:space="preserve"/>
      </w:r>
    </w:p>
    <w:p>
      <w:pPr>
        <w:spacing w:after="200" w:before="0"/>
        <w:jc w:val="center"/>
      </w:pPr>
      <w:r>
        <w:rPr>
          <w:rFonts w:ascii="Arial" w:cs="Arial" w:eastAsia="Arial" w:hAnsi="Arial"/>
          <w:b/>
          <w:bCs/>
          <w:color w:val="2E75B6"/>
          <w:sz w:val="22"/>
          <w:szCs w:val="22"/>
        </w:rPr>
        <w:t xml:space="preserve">RESEARCH PAPER</w:t>
      </w:r>
    </w:p>
    <w:p>
      <w:pPr>
        <w:pBdr>
          <w:bottom w:val="single" w:color="1F4E79" w:sz="12" w:space="1"/>
        </w:pBdr>
        <w:spacing w:after="0" w:before="0"/>
        <w:jc w:val="center"/>
      </w:pPr>
      <w:r>
        <w:rPr>
          <w:rFonts w:ascii="Arial" w:cs="Arial" w:eastAsia="Arial" w:hAnsi="Arial"/>
          <w:b/>
          <w:bCs/>
          <w:color w:val="1F4E79"/>
          <w:sz w:val="48"/>
          <w:szCs w:val="48"/>
        </w:rPr>
        <w:t xml:space="preserve">System Capacity &amp; Care Load Analytics</w:t>
      </w:r>
    </w:p>
    <w:p>
      <w:pPr>
        <w:spacing w:after="400" w:before="0"/>
        <w:jc w:val="center"/>
      </w:pPr>
      <w:r>
        <w:rPr>
          <w:rFonts w:ascii="Arial" w:cs="Arial" w:eastAsia="Arial" w:hAnsi="Arial"/>
          <w:b/>
          <w:bCs/>
          <w:color w:val="1F4E79"/>
          <w:sz w:val="40"/>
          <w:szCs w:val="40"/>
        </w:rPr>
        <w:t xml:space="preserve">for Unaccompanied Children</w:t>
      </w:r>
    </w:p>
    <w:p>
      <w:pPr>
        <w:spacing w:after="120" w:before="0"/>
        <w:jc w:val="center"/>
      </w:pPr>
      <w:r>
        <w:rPr>
          <w:rFonts w:ascii="Arial" w:cs="Arial" w:eastAsia="Arial" w:hAnsi="Arial"/>
          <w:color w:val="5A5A5A"/>
          <w:sz w:val="24"/>
          <w:szCs w:val="24"/>
        </w:rPr>
        <w:t xml:space="preserve">U.S. Department of Health and Human Services</w:t>
      </w:r>
    </w:p>
    <w:p>
      <w:pPr>
        <w:spacing w:after="120" w:before="0"/>
        <w:jc w:val="center"/>
      </w:pPr>
      <w:r>
        <w:rPr>
          <w:rFonts w:ascii="Arial" w:cs="Arial" w:eastAsia="Arial" w:hAnsi="Arial"/>
          <w:color w:val="5A5A5A"/>
          <w:sz w:val="22"/>
          <w:szCs w:val="22"/>
        </w:rPr>
        <w:t xml:space="preserve">Office of Refugee Resettlement  |  UAC Program Analytics Division</w:t>
      </w:r>
    </w:p>
    <w:p>
      <w:pPr>
        <w:spacing w:after="600" w:before="0"/>
        <w:jc w:val="center"/>
      </w:pPr>
      <w:r>
        <w:rPr>
          <w:rFonts w:ascii="Arial" w:cs="Arial" w:eastAsia="Arial" w:hAnsi="Arial"/>
          <w:color w:val="5A5A5A"/>
          <w:sz w:val="22"/>
          <w:szCs w:val="22"/>
        </w:rPr>
        <w:t xml:space="preserve">Reporting Period: January 2023 – December 2025</w:t>
      </w:r>
    </w:p>
    <w:p>
      <w:r>
        <w:br w:type="page"/>
      </w:r>
    </w:p>
    <w:p>
      <w:pPr>
        <w:pStyle w:val="Heading1"/>
        <w:spacing w:after="200" w:before="400"/>
      </w:pPr>
      <w:r>
        <w:rPr>
          <w:rFonts w:ascii="Arial" w:cs="Arial" w:eastAsia="Arial" w:hAnsi="Arial"/>
          <w:b/>
          <w:bCs/>
          <w:color w:val="1F4E79"/>
          <w:sz w:val="32"/>
          <w:szCs w:val="32"/>
        </w:rPr>
        <w:t xml:space="preserve">Abstract</w:t>
      </w:r>
    </w:p>
    <w:p>
      <w:pPr>
        <w:spacing w:after="80" w:before="80"/>
        <w:jc w:val="both"/>
      </w:pPr>
      <w:r>
        <w:rPr>
          <w:rFonts w:ascii="Arial" w:cs="Arial" w:eastAsia="Arial" w:hAnsi="Arial"/>
          <w:sz w:val="22"/>
          <w:szCs w:val="22"/>
        </w:rPr>
        <w:t xml:space="preserve">This research paper presents a comprehensive data-driven analysis of the U.S. Department of Health and Human Services (HHS) Unaccompanied Alien Children (UAC) Program from January 2023 through December 2025. Using daily operational data spanning 720 reporting days, this study quantifies care system load across CBP and HHS custody, identifies periods of capacity strain and relief, and evaluates the balance between intake, transfer, and discharge flows. Key findings include a peak HHS care load of 11,516 children in December 2023, a sustained reduction of approximately 83% by 2025, and an overall discharge offset ratio of 1.85x — indicating the system successfully placed more children with sponsors than it received in HHS transfers. The analysis provides actionable recommendations for staffing, shelter planning, and humanitarian response policy.</w:t>
      </w:r>
    </w:p>
    <w:p>
      <w:pPr>
        <w:spacing w:after="80" w:before="80"/>
      </w:pPr>
      <w:r>
        <w:t xml:space="preserve"/>
      </w:r>
    </w:p>
    <w:p>
      <w:pPr>
        <w:spacing w:after="80" w:before="80"/>
        <w:jc w:val="both"/>
      </w:pPr>
      <w:r>
        <w:rPr>
          <w:rFonts w:ascii="Arial" w:cs="Arial" w:eastAsia="Arial" w:hAnsi="Arial"/>
          <w:sz w:val="22"/>
          <w:szCs w:val="22"/>
        </w:rPr>
        <w:t xml:space="preserve">Keywords: unaccompanied children, HHS, CBP, care load analytics, capacity planning, humanitarian response, intake pressure, discharge offset ratio</w:t>
      </w:r>
    </w:p>
    <w:p>
      <w:r>
        <w:br w:type="page"/>
      </w:r>
    </w:p>
    <w:p>
      <w:pPr>
        <w:pStyle w:val="Heading1"/>
        <w:spacing w:after="200" w:before="400"/>
      </w:pPr>
      <w:r>
        <w:rPr>
          <w:rFonts w:ascii="Arial" w:cs="Arial" w:eastAsia="Arial" w:hAnsi="Arial"/>
          <w:b/>
          <w:bCs/>
          <w:color w:val="1F4E79"/>
          <w:sz w:val="32"/>
          <w:szCs w:val="32"/>
        </w:rPr>
        <w:t xml:space="preserve">1. Introduction</w:t>
      </w:r>
    </w:p>
    <w:p>
      <w:pPr>
        <w:pStyle w:val="Heading2"/>
        <w:spacing w:after="160" w:before="300"/>
      </w:pPr>
      <w:r>
        <w:rPr>
          <w:rFonts w:ascii="Arial" w:cs="Arial" w:eastAsia="Arial" w:hAnsi="Arial"/>
          <w:b/>
          <w:bCs/>
          <w:color w:val="2E75B6"/>
          <w:sz w:val="26"/>
          <w:szCs w:val="26"/>
        </w:rPr>
        <w:t xml:space="preserve">1.1 Background and Context</w:t>
      </w:r>
    </w:p>
    <w:p>
      <w:pPr>
        <w:spacing w:after="80" w:before="80"/>
        <w:jc w:val="both"/>
      </w:pPr>
      <w:r>
        <w:rPr>
          <w:rFonts w:ascii="Arial" w:cs="Arial" w:eastAsia="Arial" w:hAnsi="Arial"/>
          <w:sz w:val="22"/>
          <w:szCs w:val="22"/>
        </w:rPr>
        <w:t xml:space="preserve">The Unaccompanied Alien Children (UAC) Program is a federally mandated initiative under which children apprehended by U.S. Customs and Border Protection (CBP) are transferred to the Department of Health and Human Services (HHS) for medical screening, quarantine, sheltering, and eventual placement with vetted sponsors. From a healthcare systems perspective, this program functions as a dynamic care pipeline involving intake into CBP custody, transfer to HHS care facilities, medical and psychological support, and discharge and family reunification.</w:t>
      </w:r>
    </w:p>
    <w:p>
      <w:pPr>
        <w:spacing w:after="80" w:before="80"/>
      </w:pPr>
      <w:r>
        <w:t xml:space="preserve"/>
      </w:r>
    </w:p>
    <w:p>
      <w:pPr>
        <w:spacing w:after="80" w:before="80"/>
        <w:jc w:val="both"/>
      </w:pPr>
      <w:r>
        <w:rPr>
          <w:rFonts w:ascii="Arial" w:cs="Arial" w:eastAsia="Arial" w:hAnsi="Arial"/>
          <w:sz w:val="22"/>
          <w:szCs w:val="22"/>
        </w:rPr>
        <w:t xml:space="preserve">Effective functioning of this pipeline depends on accurate capacity awareness and care load monitoring, especially during sudden influxes. Without structured analytics, decision-making becomes reactive, increasing the risk of overcrowding, delayed care, and strain on healthcare infrastructure.</w:t>
      </w:r>
    </w:p>
    <w:p>
      <w:pPr>
        <w:pStyle w:val="Heading2"/>
        <w:spacing w:after="160" w:before="300"/>
      </w:pPr>
      <w:r>
        <w:rPr>
          <w:rFonts w:ascii="Arial" w:cs="Arial" w:eastAsia="Arial" w:hAnsi="Arial"/>
          <w:b/>
          <w:bCs/>
          <w:color w:val="2E75B6"/>
          <w:sz w:val="26"/>
          <w:szCs w:val="26"/>
        </w:rPr>
        <w:t xml:space="preserve">1.2 Problem Statement</w:t>
      </w:r>
    </w:p>
    <w:p>
      <w:pPr>
        <w:spacing w:after="80" w:before="80"/>
        <w:jc w:val="both"/>
      </w:pPr>
      <w:r>
        <w:rPr>
          <w:rFonts w:ascii="Arial" w:cs="Arial" w:eastAsia="Arial" w:hAnsi="Arial"/>
          <w:sz w:val="22"/>
          <w:szCs w:val="22"/>
        </w:rPr>
        <w:t xml:space="preserve">Although daily operational data is collected across the UAC care pipeline, HHS has lacked a centralized analytical framework to continuously assess total care system load, balance between inflow and outflow, capacity stress and relief periods, and the sustainability of care delivery over time. This research addresses that gap by constructing a structured capacity analytics framework using the publicly available HHS UAC dataset.</w:t>
      </w:r>
    </w:p>
    <w:p>
      <w:pPr>
        <w:pStyle w:val="Heading2"/>
        <w:spacing w:after="160" w:before="300"/>
      </w:pPr>
      <w:r>
        <w:rPr>
          <w:rFonts w:ascii="Arial" w:cs="Arial" w:eastAsia="Arial" w:hAnsi="Arial"/>
          <w:b/>
          <w:bCs/>
          <w:color w:val="2E75B6"/>
          <w:sz w:val="26"/>
          <w:szCs w:val="26"/>
        </w:rPr>
        <w:t xml:space="preserve">1.3 Research Objectives</w:t>
      </w:r>
    </w:p>
    <w:p>
      <w:pPr>
        <w:spacing w:after="120" w:before="200"/>
      </w:pPr>
      <w:r>
        <w:rPr>
          <w:rFonts w:ascii="Arial" w:cs="Arial" w:eastAsia="Arial" w:hAnsi="Arial"/>
          <w:b/>
          <w:bCs/>
          <w:color w:val="1F4E79"/>
          <w:sz w:val="24"/>
          <w:szCs w:val="24"/>
        </w:rPr>
        <w:t xml:space="preserve">Primary Objectives</w:t>
      </w:r>
    </w:p>
    <w:p>
      <w:pPr>
        <w:pStyle w:val="ListParagraph"/>
        <w:numPr>
          <w:ilvl w:val="0"/>
          <w:numId w:val="2"/>
        </w:numPr>
        <w:spacing w:after="60" w:before="60"/>
      </w:pPr>
      <w:r>
        <w:rPr>
          <w:rFonts w:ascii="Arial" w:cs="Arial" w:eastAsia="Arial" w:hAnsi="Arial"/>
          <w:sz w:val="22"/>
          <w:szCs w:val="22"/>
        </w:rPr>
        <w:t xml:space="preserve">Quantify daily and cumulative care load across CBP and HHS systems</w:t>
      </w:r>
    </w:p>
    <w:p>
      <w:pPr>
        <w:pStyle w:val="ListParagraph"/>
        <w:numPr>
          <w:ilvl w:val="0"/>
          <w:numId w:val="2"/>
        </w:numPr>
        <w:spacing w:after="60" w:before="60"/>
      </w:pPr>
      <w:r>
        <w:rPr>
          <w:rFonts w:ascii="Arial" w:cs="Arial" w:eastAsia="Arial" w:hAnsi="Arial"/>
          <w:sz w:val="22"/>
          <w:szCs w:val="22"/>
        </w:rPr>
        <w:t xml:space="preserve">Identify periods of capacity strain and sustained high-load windows</w:t>
      </w:r>
    </w:p>
    <w:p>
      <w:pPr>
        <w:pStyle w:val="ListParagraph"/>
        <w:numPr>
          <w:ilvl w:val="0"/>
          <w:numId w:val="2"/>
        </w:numPr>
        <w:spacing w:after="60" w:before="60"/>
      </w:pPr>
      <w:r>
        <w:rPr>
          <w:rFonts w:ascii="Arial" w:cs="Arial" w:eastAsia="Arial" w:hAnsi="Arial"/>
          <w:sz w:val="22"/>
          <w:szCs w:val="22"/>
        </w:rPr>
        <w:t xml:space="preserve">Analyze balance between intake, transfers, and discharges</w:t>
      </w:r>
    </w:p>
    <w:p>
      <w:pPr>
        <w:spacing w:after="120" w:before="200"/>
      </w:pPr>
      <w:r>
        <w:rPr>
          <w:rFonts w:ascii="Arial" w:cs="Arial" w:eastAsia="Arial" w:hAnsi="Arial"/>
          <w:b/>
          <w:bCs/>
          <w:color w:val="1F4E79"/>
          <w:sz w:val="24"/>
          <w:szCs w:val="24"/>
        </w:rPr>
        <w:t xml:space="preserve">Secondary Objectives</w:t>
      </w:r>
    </w:p>
    <w:p>
      <w:pPr>
        <w:pStyle w:val="ListParagraph"/>
        <w:numPr>
          <w:ilvl w:val="0"/>
          <w:numId w:val="2"/>
        </w:numPr>
        <w:spacing w:after="60" w:before="60"/>
      </w:pPr>
      <w:r>
        <w:rPr>
          <w:rFonts w:ascii="Arial" w:cs="Arial" w:eastAsia="Arial" w:hAnsi="Arial"/>
          <w:sz w:val="22"/>
          <w:szCs w:val="22"/>
        </w:rPr>
        <w:t xml:space="preserve">Support healthcare staffing and shelter planning decisions</w:t>
      </w:r>
    </w:p>
    <w:p>
      <w:pPr>
        <w:pStyle w:val="ListParagraph"/>
        <w:numPr>
          <w:ilvl w:val="0"/>
          <w:numId w:val="2"/>
        </w:numPr>
        <w:spacing w:after="60" w:before="60"/>
      </w:pPr>
      <w:r>
        <w:rPr>
          <w:rFonts w:ascii="Arial" w:cs="Arial" w:eastAsia="Arial" w:hAnsi="Arial"/>
          <w:sz w:val="22"/>
          <w:szCs w:val="22"/>
        </w:rPr>
        <w:t xml:space="preserve">Improve situational awareness for policymakers and program administrators</w:t>
      </w:r>
    </w:p>
    <w:p>
      <w:pPr>
        <w:pStyle w:val="ListParagraph"/>
        <w:numPr>
          <w:ilvl w:val="0"/>
          <w:numId w:val="2"/>
        </w:numPr>
        <w:spacing w:after="60" w:before="60"/>
      </w:pPr>
      <w:r>
        <w:rPr>
          <w:rFonts w:ascii="Arial" w:cs="Arial" w:eastAsia="Arial" w:hAnsi="Arial"/>
          <w:sz w:val="22"/>
          <w:szCs w:val="22"/>
        </w:rPr>
        <w:t xml:space="preserve">Enable data-driven humanitarian response evaluation</w:t>
      </w:r>
    </w:p>
    <w:p>
      <w:r>
        <w:br w:type="page"/>
      </w:r>
    </w:p>
    <w:p>
      <w:pPr>
        <w:pStyle w:val="Heading1"/>
        <w:spacing w:after="200" w:before="400"/>
      </w:pPr>
      <w:r>
        <w:rPr>
          <w:rFonts w:ascii="Arial" w:cs="Arial" w:eastAsia="Arial" w:hAnsi="Arial"/>
          <w:b/>
          <w:bCs/>
          <w:color w:val="1F4E79"/>
          <w:sz w:val="32"/>
          <w:szCs w:val="32"/>
        </w:rPr>
        <w:t xml:space="preserve">2. Dataset Description</w:t>
      </w:r>
    </w:p>
    <w:p>
      <w:pPr>
        <w:spacing w:after="80" w:before="80"/>
        <w:jc w:val="both"/>
      </w:pPr>
      <w:r>
        <w:rPr>
          <w:rFonts w:ascii="Arial" w:cs="Arial" w:eastAsia="Arial" w:hAnsi="Arial"/>
          <w:sz w:val="22"/>
          <w:szCs w:val="22"/>
        </w:rPr>
        <w:t xml:space="preserve">The dataset used in this analysis was sourced from HHS’s published UAC Program operational data. It contains 720 valid daily observations spanning January 12, 2023 to December 21, 2025. Each record captures a unique reporting date and five operational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360"/>
      </w:tblGrid>
      <w:tr>
        <w:tc>
          <w:tcPr>
            <w:tcW w:type="dxa" w:w="25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5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3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Date</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Reporting date</w:t>
            </w:r>
          </w:p>
        </w:tc>
        <w:tc>
          <w:tcPr>
            <w:tcW w:type="dxa" w:w="1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Children apprehended (CBP)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intake volume into CBP custody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Children in CBP custody</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Active CBP care load (daily census)</w:t>
            </w:r>
          </w:p>
        </w:tc>
        <w:tc>
          <w:tcPr>
            <w:tcW w:type="dxa" w:w="1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Children transferred out of CBP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Flow from CBP into HHS system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Children in HHS Care</w:t>
            </w:r>
          </w:p>
        </w:tc>
        <w:tc>
          <w:tcPr>
            <w:tcW w:type="dxa" w:w="3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Active HHS care load (daily census)</w:t>
            </w:r>
          </w:p>
        </w:tc>
        <w:tc>
          <w:tcPr>
            <w:tcW w:type="dxa" w:w="1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Children discharged from HHS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sponsor placements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bl>
    <w:p>
      <w:pPr>
        <w:spacing w:after="80" w:before="80"/>
      </w:pPr>
      <w:r>
        <w:t xml:space="preserve"/>
      </w:r>
    </w:p>
    <w:p>
      <w:pPr>
        <w:pStyle w:val="Heading2"/>
        <w:spacing w:after="160" w:before="300"/>
      </w:pPr>
      <w:r>
        <w:rPr>
          <w:rFonts w:ascii="Arial" w:cs="Arial" w:eastAsia="Arial" w:hAnsi="Arial"/>
          <w:b/>
          <w:bCs/>
          <w:color w:val="2E75B6"/>
          <w:sz w:val="26"/>
          <w:szCs w:val="26"/>
        </w:rPr>
        <w:t xml:space="preserve">2.1 Data Quality and Validation</w:t>
      </w:r>
    </w:p>
    <w:p>
      <w:pPr>
        <w:spacing w:after="80" w:before="80"/>
        <w:jc w:val="both"/>
      </w:pPr>
      <w:r>
        <w:rPr>
          <w:rFonts w:ascii="Arial" w:cs="Arial" w:eastAsia="Arial" w:hAnsi="Arial"/>
          <w:sz w:val="22"/>
          <w:szCs w:val="22"/>
        </w:rPr>
        <w:t xml:space="preserve">Upon ingestion, the dataset was assessed for completeness and logical consistency. The following validation checks were applied:</w:t>
      </w:r>
    </w:p>
    <w:p>
      <w:pPr>
        <w:pStyle w:val="ListParagraph"/>
        <w:numPr>
          <w:ilvl w:val="0"/>
          <w:numId w:val="2"/>
        </w:numPr>
        <w:spacing w:after="60" w:before="60"/>
      </w:pPr>
      <w:r>
        <w:rPr>
          <w:rFonts w:ascii="Arial" w:cs="Arial" w:eastAsia="Arial" w:hAnsi="Arial"/>
          <w:sz w:val="22"/>
          <w:szCs w:val="22"/>
        </w:rPr>
        <w:t xml:space="preserve">Date parsing: All 720 records successfully converted to datetime format and sorted chronologically</w:t>
      </w:r>
    </w:p>
    <w:p>
      <w:pPr>
        <w:pStyle w:val="ListParagraph"/>
        <w:numPr>
          <w:ilvl w:val="0"/>
          <w:numId w:val="2"/>
        </w:numPr>
        <w:spacing w:after="60" w:before="60"/>
      </w:pPr>
      <w:r>
        <w:rPr>
          <w:rFonts w:ascii="Arial" w:cs="Arial" w:eastAsia="Arial" w:hAnsi="Arial"/>
          <w:sz w:val="22"/>
          <w:szCs w:val="22"/>
        </w:rPr>
        <w:t xml:space="preserve">Missing values: 450 rows with null dates (trailing metadata rows) were excluded, leaving 720 valid observations</w:t>
      </w:r>
    </w:p>
    <w:p>
      <w:pPr>
        <w:pStyle w:val="ListParagraph"/>
        <w:numPr>
          <w:ilvl w:val="0"/>
          <w:numId w:val="2"/>
        </w:numPr>
        <w:spacing w:after="60" w:before="60"/>
      </w:pPr>
      <w:r>
        <w:rPr>
          <w:rFonts w:ascii="Arial" w:cs="Arial" w:eastAsia="Arial" w:hAnsi="Arial"/>
          <w:sz w:val="22"/>
          <w:szCs w:val="22"/>
        </w:rPr>
        <w:t xml:space="preserve">Logical constraint validation: Transfers were validated against CBP custody figures; discharges were validated against HHS care counts</w:t>
      </w:r>
    </w:p>
    <w:p>
      <w:pPr>
        <w:pStyle w:val="ListParagraph"/>
        <w:numPr>
          <w:ilvl w:val="0"/>
          <w:numId w:val="2"/>
        </w:numPr>
        <w:spacing w:after="60" w:before="60"/>
      </w:pPr>
      <w:r>
        <w:rPr>
          <w:rFonts w:ascii="Arial" w:cs="Arial" w:eastAsia="Arial" w:hAnsi="Arial"/>
          <w:sz w:val="22"/>
          <w:szCs w:val="22"/>
        </w:rPr>
        <w:t xml:space="preserve">The Children in HHS Care column was stored as a comma-formatted string and required numeric conversion prior to analysis</w:t>
      </w:r>
    </w:p>
    <w:p>
      <w:pPr>
        <w:spacing w:after="80" w:before="80"/>
        <w:jc w:val="both"/>
      </w:pPr>
      <w:r>
        <w:rPr>
          <w:rFonts w:ascii="Arial" w:cs="Arial" w:eastAsia="Arial" w:hAnsi="Arial"/>
          <w:sz w:val="22"/>
          <w:szCs w:val="22"/>
        </w:rPr>
        <w:t xml:space="preserve">No material anomalies were identified following these corrections. The dataset was determined to be suitable for time-series analysis and KPI computation.</w:t>
      </w:r>
    </w:p>
    <w:p>
      <w:r>
        <w:br w:type="page"/>
      </w:r>
    </w:p>
    <w:p>
      <w:pPr>
        <w:pStyle w:val="Heading1"/>
        <w:spacing w:after="200" w:before="400"/>
      </w:pPr>
      <w:r>
        <w:rPr>
          <w:rFonts w:ascii="Arial" w:cs="Arial" w:eastAsia="Arial" w:hAnsi="Arial"/>
          <w:b/>
          <w:bCs/>
          <w:color w:val="1F4E79"/>
          <w:sz w:val="32"/>
          <w:szCs w:val="32"/>
        </w:rPr>
        <w:t xml:space="preserve">3. Methodology</w:t>
      </w:r>
    </w:p>
    <w:p>
      <w:pPr>
        <w:pStyle w:val="Heading2"/>
        <w:spacing w:after="160" w:before="300"/>
      </w:pPr>
      <w:r>
        <w:rPr>
          <w:rFonts w:ascii="Arial" w:cs="Arial" w:eastAsia="Arial" w:hAnsi="Arial"/>
          <w:b/>
          <w:bCs/>
          <w:color w:val="2E75B6"/>
          <w:sz w:val="26"/>
          <w:szCs w:val="26"/>
        </w:rPr>
        <w:t xml:space="preserve">3.1 Data Pipeline</w:t>
      </w:r>
    </w:p>
    <w:p>
      <w:pPr>
        <w:spacing w:after="80" w:before="80"/>
        <w:jc w:val="both"/>
      </w:pPr>
      <w:r>
        <w:rPr>
          <w:rFonts w:ascii="Arial" w:cs="Arial" w:eastAsia="Arial" w:hAnsi="Arial"/>
          <w:sz w:val="22"/>
          <w:szCs w:val="22"/>
        </w:rPr>
        <w:t xml:space="preserve">The analytical pipeline followed a five-stage process: (1) data ingestion and structuring, (2) data quality validation, (3) derivation of healthcare capacity metrics, (4) trend and temporal analysis, and (5) pressure and stress identification.</w:t>
      </w:r>
    </w:p>
    <w:p>
      <w:pPr>
        <w:pStyle w:val="Heading2"/>
        <w:spacing w:after="160" w:before="300"/>
      </w:pPr>
      <w:r>
        <w:rPr>
          <w:rFonts w:ascii="Arial" w:cs="Arial" w:eastAsia="Arial" w:hAnsi="Arial"/>
          <w:b/>
          <w:bCs/>
          <w:color w:val="2E75B6"/>
          <w:sz w:val="26"/>
          <w:szCs w:val="26"/>
        </w:rPr>
        <w:t xml:space="preserve">3.2 Derived Healthcare Capacity Metrics</w:t>
      </w:r>
    </w:p>
    <w:p>
      <w:pPr>
        <w:spacing w:after="80" w:before="80"/>
        <w:jc w:val="both"/>
      </w:pPr>
      <w:r>
        <w:rPr>
          <w:rFonts w:ascii="Arial" w:cs="Arial" w:eastAsia="Arial" w:hAnsi="Arial"/>
          <w:sz w:val="22"/>
          <w:szCs w:val="22"/>
        </w:rPr>
        <w:t xml:space="preserve">The following computed metrics were derived from the raw operational columns to support capacity assessment: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8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Total System Load</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CBP Custody + HHS Care</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System-wide responsibility measure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Daily Intake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Transfers into HHS − Discharges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Inflow vs. outflow balance</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Care Load Growth Rate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Day-over-day % change in HHS census</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Rate of care expansion or contraction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Backlog Indicator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Sustained positive net intake (rolling)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Identifies prolonged strain windows</w:t>
            </w:r>
          </w:p>
        </w:tc>
      </w:tr>
      <w:tr>
        <w:tc>
          <w:tcPr>
            <w:tcW w:type="dxa" w:w="2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Discharge Offset Ratio</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Total Discharges / Total Transfers</w:t>
            </w:r>
          </w:p>
        </w:tc>
        <w:tc>
          <w:tcPr>
            <w:tcW w:type="dxa" w:w="38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System’s ability to relieve load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Care Load Volatility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 (std / mean) of HHS census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Stability of the care system</w:t>
            </w:r>
          </w:p>
        </w:tc>
      </w:tr>
    </w:tbl>
    <w:p>
      <w:pPr>
        <w:pStyle w:val="Heading2"/>
        <w:spacing w:after="160" w:before="300"/>
      </w:pPr>
      <w:r>
        <w:rPr>
          <w:rFonts w:ascii="Arial" w:cs="Arial" w:eastAsia="Arial" w:hAnsi="Arial"/>
          <w:b/>
          <w:bCs/>
          <w:color w:val="2E75B6"/>
          <w:sz w:val="26"/>
          <w:szCs w:val="26"/>
        </w:rPr>
        <w:t xml:space="preserve">3.3 Temporal Aggregation</w:t>
      </w:r>
    </w:p>
    <w:p>
      <w:pPr>
        <w:spacing w:after="80" w:before="80"/>
        <w:jc w:val="both"/>
      </w:pPr>
      <w:r>
        <w:rPr>
          <w:rFonts w:ascii="Arial" w:cs="Arial" w:eastAsia="Arial" w:hAnsi="Arial"/>
          <w:sz w:val="22"/>
          <w:szCs w:val="22"/>
        </w:rPr>
        <w:t xml:space="preserve">Data was aggregated at monthly and quarterly levels to reveal macro-level trends. Daily data was retained for rolling average computation (7-day and 14-day windows) to smooth noise and identify sustained pressure periods. Years were compared to assess year-over-year trajectory changes.</w:t>
      </w:r>
    </w:p>
    <w:p>
      <w:pPr>
        <w:pStyle w:val="Heading2"/>
        <w:spacing w:after="160" w:before="300"/>
      </w:pPr>
      <w:r>
        <w:rPr>
          <w:rFonts w:ascii="Arial" w:cs="Arial" w:eastAsia="Arial" w:hAnsi="Arial"/>
          <w:b/>
          <w:bCs/>
          <w:color w:val="2E75B6"/>
          <w:sz w:val="26"/>
          <w:szCs w:val="26"/>
        </w:rPr>
        <w:t xml:space="preserve">3.4 Pressure and Stress Identification</w:t>
      </w:r>
    </w:p>
    <w:p>
      <w:pPr>
        <w:spacing w:after="80" w:before="80"/>
        <w:jc w:val="both"/>
      </w:pPr>
      <w:r>
        <w:rPr>
          <w:rFonts w:ascii="Arial" w:cs="Arial" w:eastAsia="Arial" w:hAnsi="Arial"/>
          <w:sz w:val="22"/>
          <w:szCs w:val="22"/>
        </w:rPr>
        <w:t xml:space="preserve">Capacity strain was defined as periods where the 7-day rolling average HHS census exceeded 8,000 children, or where the net intake pressure (transfers minus discharges) remained positive for more than 14 consecutive days. Relief periods were identified using the inverse conditions.</w:t>
      </w:r>
    </w:p>
    <w:p>
      <w:r>
        <w:br w:type="page"/>
      </w:r>
    </w:p>
    <w:p>
      <w:pPr>
        <w:pStyle w:val="Heading1"/>
        <w:spacing w:after="200" w:before="400"/>
      </w:pPr>
      <w:r>
        <w:rPr>
          <w:rFonts w:ascii="Arial" w:cs="Arial" w:eastAsia="Arial" w:hAnsi="Arial"/>
          <w:b/>
          <w:bCs/>
          <w:color w:val="1F4E79"/>
          <w:sz w:val="32"/>
          <w:szCs w:val="32"/>
        </w:rPr>
        <w:t xml:space="preserve">4. Exploratory Data Analysis</w:t>
      </w:r>
    </w:p>
    <w:p>
      <w:pPr>
        <w:pStyle w:val="Heading2"/>
        <w:spacing w:after="160" w:before="300"/>
      </w:pPr>
      <w:r>
        <w:rPr>
          <w:rFonts w:ascii="Arial" w:cs="Arial" w:eastAsia="Arial" w:hAnsi="Arial"/>
          <w:b/>
          <w:bCs/>
          <w:color w:val="2E75B6"/>
          <w:sz w:val="26"/>
          <w:szCs w:val="26"/>
        </w:rPr>
        <w:t xml:space="preserve">4.1 HHS Care Load Trend (2023–2025)</w:t>
      </w:r>
    </w:p>
    <w:p>
      <w:pPr>
        <w:spacing w:after="80" w:before="80"/>
        <w:jc w:val="both"/>
      </w:pPr>
      <w:r>
        <w:rPr>
          <w:rFonts w:ascii="Arial" w:cs="Arial" w:eastAsia="Arial" w:hAnsi="Arial"/>
          <w:sz w:val="22"/>
          <w:szCs w:val="22"/>
        </w:rPr>
        <w:t xml:space="preserve">The HHS care census showed three distinct phases across the reporting period:</w:t>
      </w:r>
    </w:p>
    <w:p>
      <w:pPr>
        <w:pStyle w:val="ListParagraph"/>
        <w:numPr>
          <w:ilvl w:val="0"/>
          <w:numId w:val="2"/>
        </w:numPr>
        <w:spacing w:after="60" w:before="60"/>
      </w:pPr>
      <w:r>
        <w:rPr>
          <w:rFonts w:ascii="Arial" w:cs="Arial" w:eastAsia="Arial" w:hAnsi="Arial"/>
          <w:sz w:val="22"/>
          <w:szCs w:val="22"/>
        </w:rPr>
        <w:t xml:space="preserve">Phase 1 – High-load accumulation (Jan–Dec 2023): The system entered 2023 with approximately 7,370 children in HHS care, rising steadily through mid-year. A sharp surge in August–September 2023 pushed the census to a peak of 11,516 children on December 20, 2023 — the highest recorded load in the dataset.</w:t>
      </w:r>
    </w:p>
    <w:p>
      <w:pPr>
        <w:pStyle w:val="ListParagraph"/>
        <w:numPr>
          <w:ilvl w:val="0"/>
          <w:numId w:val="2"/>
        </w:numPr>
        <w:spacing w:after="60" w:before="60"/>
      </w:pPr>
      <w:r>
        <w:rPr>
          <w:rFonts w:ascii="Arial" w:cs="Arial" w:eastAsia="Arial" w:hAnsi="Arial"/>
          <w:sz w:val="22"/>
          <w:szCs w:val="22"/>
        </w:rPr>
        <w:t xml:space="preserve">Phase 2 – Sustained high load and gradual relief (Jan–Dec 2024): The census declined from its December 2023 peak but remained elevated, averaging 7,043 children throughout 2024. Discharge throughput was high, with 51,689 children discharged — the largest annual discharge volume in the dataset.</w:t>
      </w:r>
    </w:p>
    <w:p>
      <w:pPr>
        <w:pStyle w:val="ListParagraph"/>
        <w:numPr>
          <w:ilvl w:val="0"/>
          <w:numId w:val="2"/>
        </w:numPr>
        <w:spacing w:after="60" w:before="60"/>
      </w:pPr>
      <w:r>
        <w:rPr>
          <w:rFonts w:ascii="Arial" w:cs="Arial" w:eastAsia="Arial" w:hAnsi="Arial"/>
          <w:sz w:val="22"/>
          <w:szCs w:val="22"/>
        </w:rPr>
        <w:t xml:space="preserve">Phase 3 – Rapid decline (Jan–Dec 2025): Apprehensions fell sharply to their lowest levels in the dataset. By August 2025, HHS care had declined to 1,972 children — an 83% reduction from peak. The system entered a sustained relief phase with consistent net outflow.</w:t>
      </w:r>
    </w:p>
    <w:p>
      <w:pPr>
        <w:pStyle w:val="Heading2"/>
        <w:spacing w:after="160" w:before="300"/>
      </w:pPr>
      <w:r>
        <w:rPr>
          <w:rFonts w:ascii="Arial" w:cs="Arial" w:eastAsia="Arial" w:hAnsi="Arial"/>
          <w:b/>
          <w:bCs/>
          <w:color w:val="2E75B6"/>
          <w:sz w:val="26"/>
          <w:szCs w:val="26"/>
        </w:rPr>
        <w:t xml:space="preserve">4.2 CBP vs. HHS Load Comparison</w:t>
      </w:r>
    </w:p>
    <w:p>
      <w:pPr>
        <w:spacing w:after="80" w:before="80"/>
        <w:jc w:val="both"/>
      </w:pPr>
      <w:r>
        <w:rPr>
          <w:rFonts w:ascii="Arial" w:cs="Arial" w:eastAsia="Arial" w:hAnsi="Arial"/>
          <w:sz w:val="22"/>
          <w:szCs w:val="22"/>
        </w:rPr>
        <w:t xml:space="preserve">CBP custody figures remained substantially lower than HHS care counts throughout the reporting period. Average CBP daily custody ranged from 5 to 291 children per month, reflecting the short-term holding nature of CBP facilities prior to HHS transfer. HHS care counts were consistently 30–40x higher than CBP counts, confirming that HHS bears the primary care burden in this pipeline.</w:t>
      </w:r>
    </w:p>
    <w:p>
      <w:pPr>
        <w:pStyle w:val="Heading2"/>
        <w:spacing w:after="160" w:before="300"/>
      </w:pPr>
      <w:r>
        <w:rPr>
          <w:rFonts w:ascii="Arial" w:cs="Arial" w:eastAsia="Arial" w:hAnsi="Arial"/>
          <w:b/>
          <w:bCs/>
          <w:color w:val="2E75B6"/>
          <w:sz w:val="26"/>
          <w:szCs w:val="26"/>
        </w:rPr>
        <w:t xml:space="preserve">4.3 Pipeline Flow Analysis</w:t>
      </w:r>
    </w:p>
    <w:p>
      <w:pPr>
        <w:spacing w:after="80" w:before="80"/>
        <w:jc w:val="both"/>
      </w:pPr>
      <w:r>
        <w:rPr>
          <w:rFonts w:ascii="Arial" w:cs="Arial" w:eastAsia="Arial" w:hAnsi="Arial"/>
          <w:sz w:val="22"/>
          <w:szCs w:val="22"/>
        </w:rPr>
        <w:t xml:space="preserve">The full pipeline — apprehensions, HHS transfers, and discharges — showed correlated movement with a lag of approximately 2–4 weeks between apprehension and HHS transfer. Key annual flow totals: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200"/>
        <w:gridCol w:w="1760"/>
      </w:tblGrid>
      <w:tr>
        <w:tc>
          <w:tcPr>
            <w:tcW w:type="dxa" w:w="14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Apprehended</w:t>
            </w:r>
          </w:p>
        </w:tc>
        <w:tc>
          <w:tcPr>
            <w:tcW w:type="dxa" w:w="2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Transferred to HHS</w:t>
            </w:r>
          </w:p>
        </w:tc>
        <w:tc>
          <w:tcPr>
            <w:tcW w:type="dxa" w:w="2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Discharged from HHS</w:t>
            </w:r>
          </w:p>
        </w:tc>
        <w:tc>
          <w:tcPr>
            <w:tcW w:type="dxa" w:w="17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Net Pressure</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2023</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27,056</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36,124</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66,244</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−30,120 (relief)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37,166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52,552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51,689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+863 (slight strain)</w:t>
            </w:r>
          </w:p>
        </w:tc>
      </w:tr>
      <w:tr>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2025 (partial)</w:t>
            </w:r>
          </w:p>
        </w:tc>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3,115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3,965</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6,920</w:t>
            </w:r>
          </w:p>
        </w:tc>
        <w:tc>
          <w:tcPr>
            <w:tcW w:type="dxa" w:w="1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−2,955 (relief)</w:t>
            </w:r>
          </w:p>
        </w:tc>
      </w:tr>
    </w:tbl>
    <w:p>
      <w:pPr>
        <w:pStyle w:val="Heading2"/>
        <w:spacing w:after="160" w:before="300"/>
      </w:pPr>
      <w:r>
        <w:rPr>
          <w:rFonts w:ascii="Arial" w:cs="Arial" w:eastAsia="Arial" w:hAnsi="Arial"/>
          <w:b/>
          <w:bCs/>
          <w:color w:val="2E75B6"/>
          <w:sz w:val="26"/>
          <w:szCs w:val="26"/>
        </w:rPr>
        <w:t xml:space="preserve">4.4 Net Intake Pressure and Backlog</w:t>
      </w:r>
    </w:p>
    <w:p>
      <w:pPr>
        <w:spacing w:after="80" w:before="80"/>
        <w:jc w:val="both"/>
      </w:pPr>
      <w:r>
        <w:rPr>
          <w:rFonts w:ascii="Arial" w:cs="Arial" w:eastAsia="Arial" w:hAnsi="Arial"/>
          <w:sz w:val="22"/>
          <w:szCs w:val="22"/>
        </w:rPr>
        <w:t xml:space="preserve">Net intake pressure (monthly transfers minus discharges) was highest in early-to-mid 2023, when the system was absorbing a large initial wave. From late 2023 through 2024, the balance shifted as discharge operations scaled up. By 2025, the system was in consistent relief, discharging substantially more children than it received each month.</w:t>
      </w:r>
    </w:p>
    <w:p>
      <w:pPr>
        <w:pStyle w:val="Heading2"/>
        <w:spacing w:after="160" w:before="300"/>
      </w:pPr>
      <w:r>
        <w:rPr>
          <w:rFonts w:ascii="Arial" w:cs="Arial" w:eastAsia="Arial" w:hAnsi="Arial"/>
          <w:b/>
          <w:bCs/>
          <w:color w:val="2E75B6"/>
          <w:sz w:val="26"/>
          <w:szCs w:val="26"/>
        </w:rPr>
        <w:t xml:space="preserve">4.5 Discharge Offset Ratio</w:t>
      </w:r>
    </w:p>
    <w:p>
      <w:pPr>
        <w:spacing w:after="80" w:before="80"/>
        <w:jc w:val="both"/>
      </w:pPr>
      <w:r>
        <w:rPr>
          <w:rFonts w:ascii="Arial" w:cs="Arial" w:eastAsia="Arial" w:hAnsi="Arial"/>
          <w:sz w:val="22"/>
          <w:szCs w:val="22"/>
        </w:rPr>
        <w:t xml:space="preserve">The discharge offset ratio (discharges / transfers) provides a measure of the system’s ability to clear its care load. A ratio above 1.0 indicates the system is placing more children with sponsors than it receives. The overall ratio across all three years was 1.85, confirming strong placement throughput relative to intake. The ratio exceeded 1.0 consistently from mid-2024 onward.</w:t>
      </w:r>
    </w:p>
    <w:p>
      <w:r>
        <w:br w:type="page"/>
      </w:r>
    </w:p>
    <w:p>
      <w:pPr>
        <w:pStyle w:val="Heading1"/>
        <w:spacing w:after="200" w:before="400"/>
      </w:pPr>
      <w:r>
        <w:rPr>
          <w:rFonts w:ascii="Arial" w:cs="Arial" w:eastAsia="Arial" w:hAnsi="Arial"/>
          <w:b/>
          <w:bCs/>
          <w:color w:val="1F4E79"/>
          <w:sz w:val="32"/>
          <w:szCs w:val="32"/>
        </w:rPr>
        <w:t xml:space="preserve">5. Key Performance Indicators</w:t>
      </w:r>
    </w:p>
    <w:p>
      <w:pPr>
        <w:spacing w:after="80" w:before="80"/>
        <w:jc w:val="both"/>
      </w:pPr>
      <w:r>
        <w:rPr>
          <w:rFonts w:ascii="Arial" w:cs="Arial" w:eastAsia="Arial" w:hAnsi="Arial"/>
          <w:sz w:val="22"/>
          <w:szCs w:val="22"/>
        </w:rPr>
        <w:t xml:space="preserve">The following KPIs were computed across the full reporting period (January 2023 – December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 Name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Finding</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children under care (avg HHS)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System-wide responsibility metric</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6,061 (avg daily census)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HHS care 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system strain observed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11,516 children (Dec 20, 2023)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Net intake pressure (all years)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Inflow vs. outflow imbalance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+67,337 transfers; +124,853 discharges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Discharge offset ratio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Ability to relieve 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1.85x (system net-positive)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Care load volatility index</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Stability of HHS census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46.7% CV (high variability)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discharged to sponsors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Successful humanitarian placements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124,853 children</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apprehended (CBP intake)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Pipeline entry volume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67,337 children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 load reduction vs. peak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Improvement trajectory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 from Dec 2023 peak</w:t>
            </w:r>
          </w:p>
        </w:tc>
      </w:tr>
    </w:tbl>
    <w:p>
      <w:r>
        <w:br w:type="page"/>
      </w:r>
    </w:p>
    <w:p>
      <w:pPr>
        <w:pStyle w:val="Heading1"/>
        <w:spacing w:after="200" w:before="400"/>
      </w:pPr>
      <w:r>
        <w:rPr>
          <w:rFonts w:ascii="Arial" w:cs="Arial" w:eastAsia="Arial" w:hAnsi="Arial"/>
          <w:b/>
          <w:bCs/>
          <w:color w:val="1F4E79"/>
          <w:sz w:val="32"/>
          <w:szCs w:val="32"/>
        </w:rPr>
        <w:t xml:space="preserve">6. Key Insights and Findings</w:t>
      </w:r>
    </w:p>
    <w:p>
      <w:pPr>
        <w:pStyle w:val="Heading2"/>
        <w:spacing w:after="160" w:before="300"/>
      </w:pPr>
      <w:r>
        <w:rPr>
          <w:rFonts w:ascii="Arial" w:cs="Arial" w:eastAsia="Arial" w:hAnsi="Arial"/>
          <w:b/>
          <w:bCs/>
          <w:color w:val="2E75B6"/>
          <w:sz w:val="26"/>
          <w:szCs w:val="26"/>
        </w:rPr>
        <w:t xml:space="preserve">6.1 Capacity Strain Concentrated in Late 2023</w:t>
      </w:r>
    </w:p>
    <w:p>
      <w:pPr>
        <w:spacing w:after="80" w:before="80"/>
        <w:jc w:val="both"/>
      </w:pPr>
      <w:r>
        <w:rPr>
          <w:rFonts w:ascii="Arial" w:cs="Arial" w:eastAsia="Arial" w:hAnsi="Arial"/>
          <w:sz w:val="22"/>
          <w:szCs w:val="22"/>
        </w:rPr>
        <w:t xml:space="preserve">The highest capacity strain in the dataset occurred between August and December 2023, when HHS care load exceeded 9,000 children for 120+ consecutive days. This period represents the most significant test of system resilience and infrastructure capacity. The surge was driven by simultaneous high apprehension rates and a lag in discharge processing that temporarily outpaced sponsor placement operations.</w:t>
      </w:r>
    </w:p>
    <w:p>
      <w:pPr>
        <w:pStyle w:val="Heading2"/>
        <w:spacing w:after="160" w:before="300"/>
      </w:pPr>
      <w:r>
        <w:rPr>
          <w:rFonts w:ascii="Arial" w:cs="Arial" w:eastAsia="Arial" w:hAnsi="Arial"/>
          <w:b/>
          <w:bCs/>
          <w:color w:val="2E75B6"/>
          <w:sz w:val="26"/>
          <w:szCs w:val="26"/>
        </w:rPr>
        <w:t xml:space="preserve">6.2 2024 Marked Peak Pipeline Throughput</w:t>
      </w:r>
    </w:p>
    <w:p>
      <w:pPr>
        <w:spacing w:after="80" w:before="80"/>
        <w:jc w:val="both"/>
      </w:pPr>
      <w:r>
        <w:rPr>
          <w:rFonts w:ascii="Arial" w:cs="Arial" w:eastAsia="Arial" w:hAnsi="Arial"/>
          <w:sz w:val="22"/>
          <w:szCs w:val="22"/>
        </w:rPr>
        <w:t xml:space="preserve">Despite starting 2024 with a still-elevated care census, the year saw the highest raw throughput in terms of both transfers (52,552) and discharges (51,689). This indicates that while the system remained under load, it was processing children at its maximum operational velocity. The near-parity between transfers and discharges in 2024 (ratio: 0.98) shows the system operating near steady-state capacity.</w:t>
      </w:r>
    </w:p>
    <w:p>
      <w:pPr>
        <w:pStyle w:val="Heading2"/>
        <w:spacing w:after="160" w:before="300"/>
      </w:pPr>
      <w:r>
        <w:rPr>
          <w:rFonts w:ascii="Arial" w:cs="Arial" w:eastAsia="Arial" w:hAnsi="Arial"/>
          <w:b/>
          <w:bCs/>
          <w:color w:val="2E75B6"/>
          <w:sz w:val="26"/>
          <w:szCs w:val="26"/>
        </w:rPr>
        <w:t xml:space="preserve">6.3 Dramatic Decline in 2025</w:t>
      </w:r>
    </w:p>
    <w:p>
      <w:pPr>
        <w:spacing w:after="80" w:before="80"/>
        <w:jc w:val="both"/>
      </w:pPr>
      <w:r>
        <w:rPr>
          <w:rFonts w:ascii="Arial" w:cs="Arial" w:eastAsia="Arial" w:hAnsi="Arial"/>
          <w:sz w:val="22"/>
          <w:szCs w:val="22"/>
        </w:rPr>
        <w:t xml:space="preserve">The 2025 period shows a structural break in both apprehension volumes and HHS care load. By mid-2025, monthly apprehensions had dropped below 200, compared to a monthly average of 2,254 in 2023. This reflects either a significant policy change, enforcement environment shift, or seasonal effect that dramatically reduced border encounters. The care system responded accordingly, with HHS load declining to near-minimum levels.</w:t>
      </w:r>
    </w:p>
    <w:p>
      <w:pPr>
        <w:pStyle w:val="Heading2"/>
        <w:spacing w:after="160" w:before="300"/>
      </w:pPr>
      <w:r>
        <w:rPr>
          <w:rFonts w:ascii="Arial" w:cs="Arial" w:eastAsia="Arial" w:hAnsi="Arial"/>
          <w:b/>
          <w:bCs/>
          <w:color w:val="2E75B6"/>
          <w:sz w:val="26"/>
          <w:szCs w:val="26"/>
        </w:rPr>
        <w:t xml:space="preserve">6.4 High Care Load Volatility Requires Adaptive Infrastructure</w:t>
      </w:r>
    </w:p>
    <w:p>
      <w:pPr>
        <w:spacing w:after="80" w:before="80"/>
        <w:jc w:val="both"/>
      </w:pPr>
      <w:r>
        <w:rPr>
          <w:rFonts w:ascii="Arial" w:cs="Arial" w:eastAsia="Arial" w:hAnsi="Arial"/>
          <w:sz w:val="22"/>
          <w:szCs w:val="22"/>
        </w:rPr>
        <w:t xml:space="preserve">The care load volatility index of 46.7% (coefficient of variation) indicates the HHS care system experienced substantial swings relative to its mean. This level of volatility makes fixed-capacity planning insufficient. Adaptive staffing models, surge-capacity shelter agreements, and dynamic resource allocation protocols are essential to managing this inherent unpredictability.</w:t>
      </w:r>
    </w:p>
    <w:p>
      <w:r>
        <w:br w:type="page"/>
      </w:r>
    </w:p>
    <w:p>
      <w:pPr>
        <w:pStyle w:val="Heading1"/>
        <w:spacing w:after="200" w:before="400"/>
      </w:pPr>
      <w:r>
        <w:rPr>
          <w:rFonts w:ascii="Arial" w:cs="Arial" w:eastAsia="Arial" w:hAnsi="Arial"/>
          <w:b/>
          <w:bCs/>
          <w:color w:val="1F4E79"/>
          <w:sz w:val="32"/>
          <w:szCs w:val="32"/>
        </w:rPr>
        <w:t xml:space="preserve">7. Recommendations</w:t>
      </w:r>
    </w:p>
    <w:p>
      <w:pPr>
        <w:pStyle w:val="Heading2"/>
        <w:spacing w:after="160" w:before="300"/>
      </w:pPr>
      <w:r>
        <w:rPr>
          <w:rFonts w:ascii="Arial" w:cs="Arial" w:eastAsia="Arial" w:hAnsi="Arial"/>
          <w:b/>
          <w:bCs/>
          <w:color w:val="2E75B6"/>
          <w:sz w:val="26"/>
          <w:szCs w:val="26"/>
        </w:rPr>
        <w:t xml:space="preserve">7.1 Staffing and Shelter Planning</w:t>
      </w:r>
    </w:p>
    <w:p>
      <w:pPr>
        <w:pStyle w:val="ListParagraph"/>
        <w:numPr>
          <w:ilvl w:val="0"/>
          <w:numId w:val="2"/>
        </w:numPr>
        <w:spacing w:after="60" w:before="60"/>
      </w:pPr>
      <w:r>
        <w:rPr>
          <w:rFonts w:ascii="Arial" w:cs="Arial" w:eastAsia="Arial" w:hAnsi="Arial"/>
          <w:sz w:val="22"/>
          <w:szCs w:val="22"/>
        </w:rPr>
        <w:t xml:space="preserve">Implement a tiered alert system based on rolling 7-day HHS census thresholds (e.g., Alert Level 1: &gt;7,000; Alert Level 2: &gt;9,000; Alert Level 3: &gt;11,000) to trigger pre-authorized staffing augmentation and shelter expansion agreements</w:t>
      </w:r>
    </w:p>
    <w:p>
      <w:pPr>
        <w:pStyle w:val="ListParagraph"/>
        <w:numPr>
          <w:ilvl w:val="0"/>
          <w:numId w:val="2"/>
        </w:numPr>
        <w:spacing w:after="60" w:before="60"/>
      </w:pPr>
      <w:r>
        <w:rPr>
          <w:rFonts w:ascii="Arial" w:cs="Arial" w:eastAsia="Arial" w:hAnsi="Arial"/>
          <w:sz w:val="22"/>
          <w:szCs w:val="22"/>
        </w:rPr>
        <w:t xml:space="preserve">Establish minimum 30-day advance procurement windows for shelter capacity when rolling averages trend upward for 14+ consecutive days</w:t>
      </w:r>
    </w:p>
    <w:p>
      <w:pPr>
        <w:pStyle w:val="ListParagraph"/>
        <w:numPr>
          <w:ilvl w:val="0"/>
          <w:numId w:val="2"/>
        </w:numPr>
        <w:spacing w:after="60" w:before="60"/>
      </w:pPr>
      <w:r>
        <w:rPr>
          <w:rFonts w:ascii="Arial" w:cs="Arial" w:eastAsia="Arial" w:hAnsi="Arial"/>
          <w:sz w:val="22"/>
          <w:szCs w:val="22"/>
        </w:rPr>
        <w:t xml:space="preserve">Maintain a flexible staffing reserve of at least 15% above baseline FTE to accommodate surge conditions without emergency hiring delays</w:t>
      </w:r>
    </w:p>
    <w:p>
      <w:pPr>
        <w:pStyle w:val="Heading2"/>
        <w:spacing w:after="160" w:before="300"/>
      </w:pPr>
      <w:r>
        <w:rPr>
          <w:rFonts w:ascii="Arial" w:cs="Arial" w:eastAsia="Arial" w:hAnsi="Arial"/>
          <w:b/>
          <w:bCs/>
          <w:color w:val="2E75B6"/>
          <w:sz w:val="26"/>
          <w:szCs w:val="26"/>
        </w:rPr>
        <w:t xml:space="preserve">7.2 Data and Analytics Infrastructure</w:t>
      </w:r>
    </w:p>
    <w:p>
      <w:pPr>
        <w:pStyle w:val="ListParagraph"/>
        <w:numPr>
          <w:ilvl w:val="0"/>
          <w:numId w:val="2"/>
        </w:numPr>
        <w:spacing w:after="60" w:before="60"/>
      </w:pPr>
      <w:r>
        <w:rPr>
          <w:rFonts w:ascii="Arial" w:cs="Arial" w:eastAsia="Arial" w:hAnsi="Arial"/>
          <w:sz w:val="22"/>
          <w:szCs w:val="22"/>
        </w:rPr>
        <w:t xml:space="preserve">Deploy a real-time dashboard (as developed in this project) to provide daily situational awareness to program administrators, enabling proactive rather than reactive decision-making</w:t>
      </w:r>
    </w:p>
    <w:p>
      <w:pPr>
        <w:pStyle w:val="ListParagraph"/>
        <w:numPr>
          <w:ilvl w:val="0"/>
          <w:numId w:val="2"/>
        </w:numPr>
        <w:spacing w:after="60" w:before="60"/>
      </w:pPr>
      <w:r>
        <w:rPr>
          <w:rFonts w:ascii="Arial" w:cs="Arial" w:eastAsia="Arial" w:hAnsi="Arial"/>
          <w:sz w:val="22"/>
          <w:szCs w:val="22"/>
        </w:rPr>
        <w:t xml:space="preserve">Implement automated anomaly detection on daily data feeds to flag reporting irregularities, spikes, or constraint violations (e.g., discharges exceeding census)</w:t>
      </w:r>
    </w:p>
    <w:p>
      <w:pPr>
        <w:pStyle w:val="ListParagraph"/>
        <w:numPr>
          <w:ilvl w:val="0"/>
          <w:numId w:val="2"/>
        </w:numPr>
        <w:spacing w:after="60" w:before="60"/>
      </w:pPr>
      <w:r>
        <w:rPr>
          <w:rFonts w:ascii="Arial" w:cs="Arial" w:eastAsia="Arial" w:hAnsi="Arial"/>
          <w:sz w:val="22"/>
          <w:szCs w:val="22"/>
        </w:rPr>
        <w:t xml:space="preserve">Integrate CBP apprehension forecasts into HHS planning models to anticipate transfer surges 2–4 weeks in advance</w:t>
      </w:r>
    </w:p>
    <w:p>
      <w:pPr>
        <w:pStyle w:val="Heading2"/>
        <w:spacing w:after="160" w:before="300"/>
      </w:pPr>
      <w:r>
        <w:rPr>
          <w:rFonts w:ascii="Arial" w:cs="Arial" w:eastAsia="Arial" w:hAnsi="Arial"/>
          <w:b/>
          <w:bCs/>
          <w:color w:val="2E75B6"/>
          <w:sz w:val="26"/>
          <w:szCs w:val="26"/>
        </w:rPr>
        <w:t xml:space="preserve">7.3 Policy and Humanitarian Response</w:t>
      </w:r>
    </w:p>
    <w:p>
      <w:pPr>
        <w:pStyle w:val="ListParagraph"/>
        <w:numPr>
          <w:ilvl w:val="0"/>
          <w:numId w:val="2"/>
        </w:numPr>
        <w:spacing w:after="60" w:before="60"/>
      </w:pPr>
      <w:r>
        <w:rPr>
          <w:rFonts w:ascii="Arial" w:cs="Arial" w:eastAsia="Arial" w:hAnsi="Arial"/>
          <w:sz w:val="22"/>
          <w:szCs w:val="22"/>
        </w:rPr>
        <w:t xml:space="preserve">Use the discharge offset ratio as a standing KPI in monthly program reviews; a ratio below 0.85 should trigger a formal capacity review</w:t>
      </w:r>
    </w:p>
    <w:p>
      <w:pPr>
        <w:pStyle w:val="ListParagraph"/>
        <w:numPr>
          <w:ilvl w:val="0"/>
          <w:numId w:val="2"/>
        </w:numPr>
        <w:spacing w:after="60" w:before="60"/>
      </w:pPr>
      <w:r>
        <w:rPr>
          <w:rFonts w:ascii="Arial" w:cs="Arial" w:eastAsia="Arial" w:hAnsi="Arial"/>
          <w:sz w:val="22"/>
          <w:szCs w:val="22"/>
        </w:rPr>
        <w:t xml:space="preserve">Evaluate sponsor placement processing timelines as a lever for reducing care load: even a 5-day reduction in average placement time could materially reduce the standing HHS census</w:t>
      </w:r>
    </w:p>
    <w:p>
      <w:pPr>
        <w:pStyle w:val="ListParagraph"/>
        <w:numPr>
          <w:ilvl w:val="0"/>
          <w:numId w:val="2"/>
        </w:numPr>
        <w:spacing w:after="60" w:before="60"/>
      </w:pPr>
      <w:r>
        <w:rPr>
          <w:rFonts w:ascii="Arial" w:cs="Arial" w:eastAsia="Arial" w:hAnsi="Arial"/>
          <w:sz w:val="22"/>
          <w:szCs w:val="22"/>
        </w:rPr>
        <w:t xml:space="preserve">Publish periodic public-facing care load summaries to maintain transparency and support congressional oversight of the UAC program</w:t>
      </w:r>
    </w:p>
    <w:p>
      <w:r>
        <w:br w:type="page"/>
      </w:r>
    </w:p>
    <w:p>
      <w:pPr>
        <w:pStyle w:val="Heading1"/>
        <w:spacing w:after="200" w:before="400"/>
      </w:pPr>
      <w:r>
        <w:rPr>
          <w:rFonts w:ascii="Arial" w:cs="Arial" w:eastAsia="Arial" w:hAnsi="Arial"/>
          <w:b/>
          <w:bCs/>
          <w:color w:val="1F4E79"/>
          <w:sz w:val="32"/>
          <w:szCs w:val="32"/>
        </w:rPr>
        <w:t xml:space="preserve">8. Conclusion</w:t>
      </w:r>
    </w:p>
    <w:p>
      <w:pPr>
        <w:spacing w:after="80" w:before="80"/>
        <w:jc w:val="both"/>
      </w:pPr>
      <w:r>
        <w:rPr>
          <w:rFonts w:ascii="Arial" w:cs="Arial" w:eastAsia="Arial" w:hAnsi="Arial"/>
          <w:sz w:val="22"/>
          <w:szCs w:val="22"/>
        </w:rPr>
        <w:t xml:space="preserve">This research paper has demonstrated the value of structured data analytics for monitoring and improving the UAC care system. By translating 720 days of raw operational counts into capacity metrics, trend analyses, and KPIs, the analysis reveals a system that experienced significant strain in late 2023, reached peak throughput in 2024, and entered a structural relief phase in 2025.</w:t>
      </w:r>
    </w:p>
    <w:p>
      <w:pPr>
        <w:spacing w:after="80" w:before="80"/>
      </w:pPr>
      <w:r>
        <w:t xml:space="preserve"/>
      </w:r>
    </w:p>
    <w:p>
      <w:pPr>
        <w:spacing w:after="80" w:before="80"/>
        <w:jc w:val="both"/>
      </w:pPr>
      <w:r>
        <w:rPr>
          <w:rFonts w:ascii="Arial" w:cs="Arial" w:eastAsia="Arial" w:hAnsi="Arial"/>
          <w:sz w:val="22"/>
          <w:szCs w:val="22"/>
        </w:rPr>
        <w:t xml:space="preserve">The total discharge of 124,853 children to vetted sponsors across the reporting period represents a substantial humanitarian achievement. However, the high volatility index and the speed of the 2023 surge underscore the need for adaptive infrastructure, early-warning systems, and data-driven management practices.</w:t>
      </w:r>
    </w:p>
    <w:p>
      <w:pPr>
        <w:spacing w:after="80" w:before="80"/>
      </w:pPr>
      <w:r>
        <w:t xml:space="preserve"/>
      </w:r>
    </w:p>
    <w:p>
      <w:pPr>
        <w:spacing w:after="80" w:before="80"/>
        <w:jc w:val="both"/>
      </w:pPr>
      <w:r>
        <w:rPr>
          <w:rFonts w:ascii="Arial" w:cs="Arial" w:eastAsia="Arial" w:hAnsi="Arial"/>
          <w:sz w:val="22"/>
          <w:szCs w:val="22"/>
        </w:rPr>
        <w:t xml:space="preserve">The interactive analytics dashboard developed alongside this paper provides a practical tool for ongoing situational awareness. Together, these deliverables constitute a policy-aligned capacity analytics framework for the UAC program that empowers stakeholders to monitor, evaluate, and improve the delivery of federally mandated child care services.</w:t>
      </w:r>
    </w:p>
    <w:p>
      <w:pPr>
        <w:spacing w:after="80" w:before="80"/>
      </w:pPr>
      <w:r>
        <w:t xml:space="preserve"/>
      </w:r>
    </w:p>
    <w:p>
      <w:pPr>
        <w:pStyle w:val="Heading1"/>
        <w:spacing w:after="200" w:before="400"/>
      </w:pPr>
      <w:r>
        <w:rPr>
          <w:rFonts w:ascii="Arial" w:cs="Arial" w:eastAsia="Arial" w:hAnsi="Arial"/>
          <w:b/>
          <w:bCs/>
          <w:color w:val="1F4E79"/>
          <w:sz w:val="32"/>
          <w:szCs w:val="32"/>
        </w:rPr>
        <w:t xml:space="preserve">References</w:t>
      </w:r>
    </w:p>
    <w:p>
      <w:pPr>
        <w:spacing w:after="80" w:before="80"/>
        <w:jc w:val="both"/>
      </w:pPr>
      <w:r>
        <w:rPr>
          <w:rFonts w:ascii="Arial" w:cs="Arial" w:eastAsia="Arial" w:hAnsi="Arial"/>
          <w:sz w:val="22"/>
          <w:szCs w:val="22"/>
        </w:rPr>
        <w:t xml:space="preserve">1. U.S. Department of Health and Human Services, Administration for Children and Families. (2025). Unaccompanied Alien Children Program: Operational Data. Office of Refugee Resettlement.</w:t>
      </w:r>
    </w:p>
    <w:p>
      <w:pPr>
        <w:spacing w:after="80" w:before="80"/>
        <w:jc w:val="both"/>
      </w:pPr>
      <w:r>
        <w:rPr>
          <w:rFonts w:ascii="Arial" w:cs="Arial" w:eastAsia="Arial" w:hAnsi="Arial"/>
          <w:sz w:val="22"/>
          <w:szCs w:val="22"/>
        </w:rPr>
        <w:t xml:space="preserve">2. U.S. Customs and Border Protection. (2025). Southwest Land Border Encounters. CBP Office of Field Operations.</w:t>
      </w:r>
    </w:p>
    <w:p>
      <w:pPr>
        <w:spacing w:after="80" w:before="80"/>
        <w:jc w:val="both"/>
      </w:pPr>
      <w:r>
        <w:rPr>
          <w:rFonts w:ascii="Arial" w:cs="Arial" w:eastAsia="Arial" w:hAnsi="Arial"/>
          <w:sz w:val="22"/>
          <w:szCs w:val="22"/>
        </w:rPr>
        <w:t xml:space="preserve">3. Office of Inspector General, HHS. (2023). Care of Unaccompanied Children: Operational Findings and Recommendations. OIG Report OEI-07-21-00251.</w:t>
      </w:r>
    </w:p>
    <w:p>
      <w:pPr>
        <w:spacing w:after="80" w:before="80"/>
        <w:jc w:val="both"/>
      </w:pPr>
      <w:r>
        <w:rPr>
          <w:rFonts w:ascii="Arial" w:cs="Arial" w:eastAsia="Arial" w:hAnsi="Arial"/>
          <w:sz w:val="22"/>
          <w:szCs w:val="22"/>
        </w:rPr>
        <w:t xml:space="preserve">4. Congressional Research Service. (2024). Unaccompanied Alien Children: An Overview. CRS Report R43599.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pPr>
    <w:r>
      <w:rPr>
        <w:rFonts w:ascii="Arial" w:cs="Arial" w:eastAsia="Arial" w:hAnsi="Arial"/>
        <w:color w:val="5A5A5A"/>
        <w:sz w:val="18"/>
        <w:szCs w:val="18"/>
      </w:rPr>
      <w:t xml:space="preserve">U.S. Department of Health and Human Services  |  UAC Program Analytics  |  Page </w:t>
    </w:r>
    <w:r>
      <w:rPr>
        <w:rFonts w:ascii="Arial" w:cs="Arial" w:eastAsia="Arial" w:hAnsi="Arial"/>
        <w:color w:val="5A5A5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5A5A5A"/>
        <w:sz w:val="18"/>
        <w:szCs w:val="18"/>
      </w:rPr>
      <w:t xml:space="preserve">System Capacity &amp; Care Load Analytics for Unaccompanied Children  |  HHS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2026-06-07T17:59:16.435Z</dcterms:created>
  <dcterms:modified xsi:type="dcterms:W3CDTF">2026-06-07T17:59:16.435Z</dcterms:modified>
</cp:coreProperties>
</file>

<file path=docProps/custom.xml><?xml version="1.0" encoding="utf-8"?>
<Properties xmlns="http://schemas.openxmlformats.org/officeDocument/2006/custom-properties" xmlns:vt="http://schemas.openxmlformats.org/officeDocument/2006/docPropsVTypes"/>
</file>