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00000"/>
          <w:sz w:val="36"/>
          <w:szCs w:val="36"/>
        </w:rPr>
        <w:t xml:space="preserve">Project Design Phase — 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Date</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22-10-2026</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Team ID</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Individual participant — 324103312L29@gvpce.ac.in</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Project Name</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Incident Lifecycle Automation in ServiceNow</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Document Title</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Project Design Phase — Solution Architecture</w:t>
            </w:r>
          </w:p>
        </w:tc>
      </w:tr>
    </w:tbl>
    <w:p>
      <w:pPr>
        <w:pStyle w:val="Heading1"/>
        <w:spacing w:after="120" w:before="300"/>
      </w:pPr>
      <w:r>
        <w:rPr>
          <w:rFonts w:ascii="Arial" w:cs="Arial" w:eastAsia="Arial" w:hAnsi="Arial"/>
          <w:b/>
          <w:bCs/>
          <w:color w:val="000000"/>
          <w:sz w:val="28"/>
          <w:szCs w:val="28"/>
        </w:rPr>
        <w:t xml:space="preserve">1. Solution Architecture Overview</w:t>
      </w:r>
    </w:p>
    <w:p>
      <w:pPr>
        <w:pStyle w:val="Heading2"/>
        <w:spacing w:after="120" w:before="200"/>
      </w:pPr>
      <w:r>
        <w:rPr>
          <w:rFonts w:ascii="Arial" w:cs="Arial" w:eastAsia="Arial" w:hAnsi="Arial"/>
          <w:b/>
          <w:bCs/>
          <w:color w:val="000000"/>
          <w:sz w:val="24"/>
          <w:szCs w:val="24"/>
        </w:rPr>
        <w:t xml:space="preserve">1.1 Purpose</w:t>
      </w:r>
    </w:p>
    <w:p>
      <w:pPr>
        <w:spacing w:after="120"/>
      </w:pPr>
      <w:r>
        <w:rPr>
          <w:rFonts w:ascii="Arial" w:cs="Arial" w:eastAsia="Arial" w:hAnsi="Arial"/>
          <w:color w:val="000000"/>
          <w:sz w:val="22"/>
          <w:szCs w:val="22"/>
        </w:rPr>
        <w:t xml:space="preserve">This document bridges the IT Service Management (ITSM) business need with ServiceNow platform capabilities to enable </w:t>
      </w:r>
      <w:r>
        <w:rPr>
          <w:rFonts w:ascii="Arial" w:cs="Arial" w:eastAsia="Arial" w:hAnsi="Arial"/>
          <w:b/>
          <w:bCs/>
          <w:color w:val="000000"/>
          <w:sz w:val="22"/>
          <w:szCs w:val="22"/>
        </w:rPr>
        <w:t xml:space="preserve">end-to-end incident lifecycle automation</w:t>
      </w:r>
      <w:r>
        <w:rPr>
          <w:rFonts w:ascii="Arial" w:cs="Arial" w:eastAsia="Arial" w:hAnsi="Arial"/>
          <w:color w:val="000000"/>
          <w:sz w:val="22"/>
          <w:szCs w:val="22"/>
        </w:rPr>
        <w:t xml:space="preserve">. It translates the functional requirements gathered in Phase 1 into a conceptual architecture that can be configured, tested (UAT) and validated for deployment.</w:t>
      </w:r>
    </w:p>
    <w:p>
      <w:pPr>
        <w:pStyle w:val="Heading2"/>
        <w:spacing w:after="120" w:before="200"/>
      </w:pPr>
      <w:r>
        <w:rPr>
          <w:rFonts w:ascii="Arial" w:cs="Arial" w:eastAsia="Arial" w:hAnsi="Arial"/>
          <w:b/>
          <w:bCs/>
          <w:color w:val="000000"/>
          <w:sz w:val="24"/>
          <w:szCs w:val="24"/>
        </w:rPr>
        <w:t xml:space="preserve">1.2 Objectives</w:t>
      </w:r>
    </w:p>
    <w:p>
      <w:pPr>
        <w:pStyle w:val="ListParagraph"/>
        <w:numPr>
          <w:ilvl w:val="0"/>
          <w:numId w:val="2"/>
        </w:numPr>
        <w:spacing w:after="80"/>
      </w:pPr>
      <w:r>
        <w:rPr>
          <w:rFonts w:ascii="Arial" w:cs="Arial" w:eastAsia="Arial" w:hAnsi="Arial"/>
          <w:color w:val="000000"/>
          <w:sz w:val="22"/>
          <w:szCs w:val="22"/>
        </w:rPr>
        <w:t xml:space="preserve">Bridge the ITSM business need with ServiceNow platform capabilities for end-to-end incident lifecycle automation.</w:t>
      </w:r>
    </w:p>
    <w:p>
      <w:pPr>
        <w:pStyle w:val="ListParagraph"/>
        <w:numPr>
          <w:ilvl w:val="0"/>
          <w:numId w:val="2"/>
        </w:numPr>
        <w:spacing w:after="80"/>
      </w:pPr>
      <w:r>
        <w:rPr>
          <w:rFonts w:ascii="Arial" w:cs="Arial" w:eastAsia="Arial" w:hAnsi="Arial"/>
          <w:color w:val="000000"/>
          <w:sz w:val="22"/>
          <w:szCs w:val="22"/>
        </w:rPr>
        <w:t xml:space="preserve">Define the core actors, intake entry points via </w:t>
      </w:r>
      <w:r>
        <w:rPr>
          <w:rFonts w:ascii="Arial" w:cs="Arial" w:eastAsia="Arial" w:hAnsi="Arial"/>
          <w:b/>
          <w:bCs/>
          <w:color w:val="000000"/>
          <w:sz w:val="22"/>
          <w:szCs w:val="22"/>
        </w:rPr>
        <w:t xml:space="preserve">Service Operations Workspace (SOW)</w:t>
      </w:r>
      <w:r>
        <w:rPr>
          <w:rFonts w:ascii="Arial" w:cs="Arial" w:eastAsia="Arial" w:hAnsi="Arial"/>
          <w:color w:val="000000"/>
          <w:sz w:val="22"/>
          <w:szCs w:val="22"/>
        </w:rPr>
        <w:t xml:space="preserve">, shift-left knowledge integration, multi-tier escalation, change management dependencies, parent-child record cascading and post-incident knowledge creation.</w:t>
      </w:r>
    </w:p>
    <w:p>
      <w:pPr>
        <w:pStyle w:val="ListParagraph"/>
        <w:numPr>
          <w:ilvl w:val="0"/>
          <w:numId w:val="2"/>
        </w:numPr>
        <w:spacing w:after="80"/>
      </w:pPr>
      <w:r>
        <w:rPr>
          <w:rFonts w:ascii="Arial" w:cs="Arial" w:eastAsia="Arial" w:hAnsi="Arial"/>
          <w:color w:val="000000"/>
          <w:sz w:val="22"/>
          <w:szCs w:val="22"/>
        </w:rPr>
        <w:t xml:space="preserve">Describe the structure and behavior of incident forms, </w:t>
      </w:r>
      <w:r>
        <w:rPr>
          <w:rFonts w:ascii="Arial" w:cs="Arial" w:eastAsia="Arial" w:hAnsi="Arial"/>
          <w:b/>
          <w:bCs/>
          <w:color w:val="000000"/>
          <w:sz w:val="22"/>
          <w:szCs w:val="22"/>
        </w:rPr>
        <w:t xml:space="preserve">Agent Assist</w:t>
      </w:r>
      <w:r>
        <w:rPr>
          <w:rFonts w:ascii="Arial" w:cs="Arial" w:eastAsia="Arial" w:hAnsi="Arial"/>
          <w:color w:val="000000"/>
          <w:sz w:val="22"/>
          <w:szCs w:val="22"/>
        </w:rPr>
        <w:t xml:space="preserve">, Watch Lists, state transitions, child incident hierarchies and draft Knowledge Base generation.</w:t>
      </w:r>
    </w:p>
    <w:p>
      <w:pPr>
        <w:pStyle w:val="ListParagraph"/>
        <w:numPr>
          <w:ilvl w:val="0"/>
          <w:numId w:val="2"/>
        </w:numPr>
        <w:spacing w:after="80"/>
      </w:pPr>
      <w:r>
        <w:rPr>
          <w:rFonts w:ascii="Arial" w:cs="Arial" w:eastAsia="Arial" w:hAnsi="Arial"/>
          <w:color w:val="000000"/>
          <w:sz w:val="22"/>
          <w:szCs w:val="22"/>
        </w:rPr>
        <w:t xml:space="preserve">Define the complete incident lifecycle and the expected behavior for </w:t>
      </w:r>
      <w:r>
        <w:rPr>
          <w:rFonts w:ascii="Arial" w:cs="Arial" w:eastAsia="Arial" w:hAnsi="Arial"/>
          <w:b/>
          <w:bCs/>
          <w:color w:val="000000"/>
          <w:sz w:val="22"/>
          <w:szCs w:val="22"/>
        </w:rPr>
        <w:t xml:space="preserve">active, on-hold, reassigned, resolved and knowledge-linked</w:t>
      </w:r>
      <w:r>
        <w:rPr>
          <w:rFonts w:ascii="Arial" w:cs="Arial" w:eastAsia="Arial" w:hAnsi="Arial"/>
          <w:color w:val="000000"/>
          <w:sz w:val="22"/>
          <w:szCs w:val="22"/>
        </w:rPr>
        <w:t xml:space="preserve"> incidents.</w:t>
      </w:r>
    </w:p>
    <w:p>
      <w:pPr>
        <w:pStyle w:val="ListParagraph"/>
        <w:numPr>
          <w:ilvl w:val="0"/>
          <w:numId w:val="2"/>
        </w:numPr>
        <w:spacing w:after="80"/>
      </w:pPr>
      <w:r>
        <w:rPr>
          <w:rFonts w:ascii="Arial" w:cs="Arial" w:eastAsia="Arial" w:hAnsi="Arial"/>
          <w:color w:val="000000"/>
          <w:sz w:val="22"/>
          <w:szCs w:val="22"/>
        </w:rPr>
        <w:t xml:space="preserve">Provide a clear conceptual architecture design to support configuration, UAT testing and deployment validation.</w:t>
      </w:r>
    </w:p>
    <w:p>
      <w:pPr>
        <w:pStyle w:val="Heading2"/>
        <w:spacing w:after="120" w:before="200"/>
      </w:pPr>
      <w:r>
        <w:rPr>
          <w:rFonts w:ascii="Arial" w:cs="Arial" w:eastAsia="Arial" w:hAnsi="Arial"/>
          <w:b/>
          <w:bCs/>
          <w:color w:val="000000"/>
          <w:sz w:val="24"/>
          <w:szCs w:val="24"/>
        </w:rPr>
        <w:t xml:space="preserve">1.3 Core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tblHeader/>
        </w:trPr>
        <w:tc>
          <w:tcPr>
            <w:tcW w:type="dxa" w:w="23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Persona</w:t>
            </w:r>
          </w:p>
        </w:tc>
        <w:tc>
          <w:tcPr>
            <w:tcW w:type="dxa" w:w="20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Name</w:t>
            </w:r>
          </w:p>
        </w:tc>
        <w:tc>
          <w:tcPr>
            <w:tcW w:type="dxa" w:w="50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Role in the Solution</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Caller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Michael Hoefer</w:t>
            </w:r>
          </w:p>
        </w:tc>
        <w:tc>
          <w:tcPr>
            <w:tcW w:type="dxa" w:w="50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Reports the IT issue (VPN connectivity) and tracks ticket progress.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Service Desk Agent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Beth Anglin</w:t>
            </w:r>
          </w:p>
        </w:tc>
        <w:tc>
          <w:tcPr>
            <w:tcW w:type="dxa" w:w="50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Logs, classifies and triages the incident; uses Agent Assist; manages Work Notes.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L2 Network Support Analyst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David Loo</w:t>
            </w:r>
          </w:p>
        </w:tc>
        <w:tc>
          <w:tcPr>
            <w:tcW w:type="dxa" w:w="50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Investigates and resolves network incidents escalated to the Level 2 Network group.</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Stakeholder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Samantha Bordwell</w:t>
            </w:r>
          </w:p>
        </w:tc>
        <w:tc>
          <w:tcPr>
            <w:tcW w:type="dxa" w:w="50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Receives updates through the Watch List without working the ticket.</w:t>
            </w:r>
          </w:p>
        </w:tc>
      </w:tr>
    </w:tbl>
    <w:p>
      <w:pPr>
        <w:pStyle w:val="Heading1"/>
        <w:spacing w:after="120" w:before="300"/>
      </w:pPr>
      <w:r>
        <w:rPr>
          <w:rFonts w:ascii="Arial" w:cs="Arial" w:eastAsia="Arial" w:hAnsi="Arial"/>
          <w:b/>
          <w:bCs/>
          <w:color w:val="000000"/>
          <w:sz w:val="28"/>
          <w:szCs w:val="28"/>
        </w:rPr>
        <w:t xml:space="preserve">2. Solution Architecture Diagram Description</w:t>
      </w:r>
    </w:p>
    <w:p>
      <w:pPr>
        <w:spacing w:after="120"/>
      </w:pPr>
      <w:r>
        <w:rPr>
          <w:rFonts w:ascii="Arial" w:cs="Arial" w:eastAsia="Arial" w:hAnsi="Arial"/>
          <w:color w:val="000000"/>
          <w:sz w:val="22"/>
          <w:szCs w:val="22"/>
        </w:rPr>
        <w:t xml:space="preserve">The conceptual architecture is organized into three zones. Data flows from left to right: personas interact with the ServiceNow instance, which persists all records and sends notifications through platform services.</w:t>
      </w:r>
    </w:p>
    <w:p>
      <w:pPr>
        <w:pStyle w:val="Heading2"/>
        <w:spacing w:after="120" w:before="200"/>
      </w:pPr>
      <w:r>
        <w:rPr>
          <w:rFonts w:ascii="Arial" w:cs="Arial" w:eastAsia="Arial" w:hAnsi="Arial"/>
          <w:b/>
          <w:bCs/>
          <w:color w:val="000000"/>
          <w:sz w:val="24"/>
          <w:szCs w:val="24"/>
        </w:rPr>
        <w:t xml:space="preserve">2.1 User / Persona Zone</w:t>
      </w:r>
    </w:p>
    <w:p>
      <w:pPr>
        <w:pStyle w:val="ListParagraph"/>
        <w:numPr>
          <w:ilvl w:val="0"/>
          <w:numId w:val="2"/>
        </w:numPr>
        <w:spacing w:after="80"/>
      </w:pPr>
      <w:r>
        <w:rPr>
          <w:rFonts w:ascii="Arial" w:cs="Arial" w:eastAsia="Arial" w:hAnsi="Arial"/>
          <w:b/>
          <w:bCs/>
          <w:color w:val="000000"/>
          <w:sz w:val="22"/>
          <w:szCs w:val="22"/>
        </w:rPr>
        <w:t xml:space="preserve">Callers (Michael Hoefer):</w:t>
      </w:r>
      <w:r>
        <w:rPr>
          <w:rFonts w:ascii="Arial" w:cs="Arial" w:eastAsia="Arial" w:hAnsi="Arial"/>
          <w:color w:val="000000"/>
          <w:sz w:val="22"/>
          <w:szCs w:val="22"/>
        </w:rPr>
        <w:t xml:space="preserve"> Report the issue by phone, portal or email and receive status updates.</w:t>
      </w:r>
    </w:p>
    <w:p>
      <w:pPr>
        <w:pStyle w:val="ListParagraph"/>
        <w:numPr>
          <w:ilvl w:val="0"/>
          <w:numId w:val="2"/>
        </w:numPr>
        <w:spacing w:after="80"/>
      </w:pPr>
      <w:r>
        <w:rPr>
          <w:rFonts w:ascii="Arial" w:cs="Arial" w:eastAsia="Arial" w:hAnsi="Arial"/>
          <w:b/>
          <w:bCs/>
          <w:color w:val="000000"/>
          <w:sz w:val="22"/>
          <w:szCs w:val="22"/>
        </w:rPr>
        <w:t xml:space="preserve">Service Desk Agents (Beth Anglin):</w:t>
      </w:r>
      <w:r>
        <w:rPr>
          <w:rFonts w:ascii="Arial" w:cs="Arial" w:eastAsia="Arial" w:hAnsi="Arial"/>
          <w:color w:val="000000"/>
          <w:sz w:val="22"/>
          <w:szCs w:val="22"/>
        </w:rPr>
        <w:t xml:space="preserve"> Primary users of Service Operations Workspace for intake, triage, knowledge search and communication.</w:t>
      </w:r>
    </w:p>
    <w:p>
      <w:pPr>
        <w:pStyle w:val="ListParagraph"/>
        <w:numPr>
          <w:ilvl w:val="0"/>
          <w:numId w:val="2"/>
        </w:numPr>
        <w:spacing w:after="80"/>
      </w:pPr>
      <w:r>
        <w:rPr>
          <w:rFonts w:ascii="Arial" w:cs="Arial" w:eastAsia="Arial" w:hAnsi="Arial"/>
          <w:b/>
          <w:bCs/>
          <w:color w:val="000000"/>
          <w:sz w:val="22"/>
          <w:szCs w:val="22"/>
        </w:rPr>
        <w:t xml:space="preserve">L2 Network Support Analysts (David Loo):</w:t>
      </w:r>
      <w:r>
        <w:rPr>
          <w:rFonts w:ascii="Arial" w:cs="Arial" w:eastAsia="Arial" w:hAnsi="Arial"/>
          <w:color w:val="000000"/>
          <w:sz w:val="22"/>
          <w:szCs w:val="22"/>
        </w:rPr>
        <w:t xml:space="preserve"> Receive escalated incidents, coordinate hardware changes and document resolution.</w:t>
      </w:r>
    </w:p>
    <w:p>
      <w:pPr>
        <w:pStyle w:val="ListParagraph"/>
        <w:numPr>
          <w:ilvl w:val="0"/>
          <w:numId w:val="2"/>
        </w:numPr>
        <w:spacing w:after="80"/>
      </w:pPr>
      <w:r>
        <w:rPr>
          <w:rFonts w:ascii="Arial" w:cs="Arial" w:eastAsia="Arial" w:hAnsi="Arial"/>
          <w:b/>
          <w:bCs/>
          <w:color w:val="000000"/>
          <w:sz w:val="22"/>
          <w:szCs w:val="22"/>
        </w:rPr>
        <w:t xml:space="preserve">Stakeholders (Samantha Bordwell):</w:t>
      </w:r>
      <w:r>
        <w:rPr>
          <w:rFonts w:ascii="Arial" w:cs="Arial" w:eastAsia="Arial" w:hAnsi="Arial"/>
          <w:color w:val="000000"/>
          <w:sz w:val="22"/>
          <w:szCs w:val="22"/>
        </w:rPr>
        <w:t xml:space="preserve"> Passive observers added to the Watch List for visibility and email updates.</w:t>
      </w:r>
    </w:p>
    <w:p>
      <w:pPr>
        <w:pStyle w:val="Heading2"/>
        <w:spacing w:after="120" w:before="200"/>
      </w:pPr>
      <w:r>
        <w:rPr>
          <w:rFonts w:ascii="Arial" w:cs="Arial" w:eastAsia="Arial" w:hAnsi="Arial"/>
          <w:b/>
          <w:bCs/>
          <w:color w:val="000000"/>
          <w:sz w:val="24"/>
          <w:szCs w:val="24"/>
        </w:rPr>
        <w:t xml:space="preserve">2.2 ServiceNow Instance Zone</w:t>
      </w:r>
    </w:p>
    <w:p>
      <w:pPr>
        <w:pStyle w:val="ListParagraph"/>
        <w:numPr>
          <w:ilvl w:val="0"/>
          <w:numId w:val="2"/>
        </w:numPr>
        <w:spacing w:after="80"/>
      </w:pPr>
      <w:r>
        <w:rPr>
          <w:rFonts w:ascii="Arial" w:cs="Arial" w:eastAsia="Arial" w:hAnsi="Arial"/>
          <w:b/>
          <w:bCs/>
          <w:color w:val="000000"/>
          <w:sz w:val="22"/>
          <w:szCs w:val="22"/>
        </w:rPr>
        <w:t xml:space="preserve">Service Operations Workspace UI:</w:t>
      </w:r>
      <w:r>
        <w:rPr>
          <w:rFonts w:ascii="Arial" w:cs="Arial" w:eastAsia="Arial" w:hAnsi="Arial"/>
          <w:color w:val="000000"/>
          <w:sz w:val="22"/>
          <w:szCs w:val="22"/>
        </w:rPr>
        <w:t xml:space="preserve"> Agent-facing workspace for creating and working incident records, with mandatory field validation (caller, short description).</w:t>
      </w:r>
    </w:p>
    <w:p>
      <w:pPr>
        <w:pStyle w:val="ListParagraph"/>
        <w:numPr>
          <w:ilvl w:val="0"/>
          <w:numId w:val="2"/>
        </w:numPr>
        <w:spacing w:after="80"/>
      </w:pPr>
      <w:r>
        <w:rPr>
          <w:rFonts w:ascii="Arial" w:cs="Arial" w:eastAsia="Arial" w:hAnsi="Arial"/>
          <w:b/>
          <w:bCs/>
          <w:color w:val="000000"/>
          <w:sz w:val="22"/>
          <w:szCs w:val="22"/>
        </w:rPr>
        <w:t xml:space="preserve">Agent Assist Knowledge Integration:</w:t>
      </w:r>
      <w:r>
        <w:rPr>
          <w:rFonts w:ascii="Arial" w:cs="Arial" w:eastAsia="Arial" w:hAnsi="Arial"/>
          <w:color w:val="000000"/>
          <w:sz w:val="22"/>
          <w:szCs w:val="22"/>
        </w:rPr>
        <w:t xml:space="preserve"> Contextual panel that searches the IT Knowledge Base (for example KB0000008), lets the agent mark an article as helpful and attach it to the activity log.</w:t>
      </w:r>
    </w:p>
    <w:p>
      <w:pPr>
        <w:pStyle w:val="ListParagraph"/>
        <w:numPr>
          <w:ilvl w:val="0"/>
          <w:numId w:val="2"/>
        </w:numPr>
        <w:spacing w:after="80"/>
      </w:pPr>
      <w:r>
        <w:rPr>
          <w:rFonts w:ascii="Arial" w:cs="Arial" w:eastAsia="Arial" w:hAnsi="Arial"/>
          <w:b/>
          <w:bCs/>
          <w:color w:val="000000"/>
          <w:sz w:val="22"/>
          <w:szCs w:val="22"/>
        </w:rPr>
        <w:t xml:space="preserve">Incident Management Core (incident table):</w:t>
      </w:r>
      <w:r>
        <w:rPr>
          <w:rFonts w:ascii="Arial" w:cs="Arial" w:eastAsia="Arial" w:hAnsi="Arial"/>
          <w:color w:val="000000"/>
          <w:sz w:val="22"/>
          <w:szCs w:val="22"/>
        </w:rPr>
        <w:t xml:space="preserve"> Central record holding classification, assignment group, assigned-to, state, On Hold reason, probable cause and resolution details.</w:t>
      </w:r>
    </w:p>
    <w:p>
      <w:pPr>
        <w:pStyle w:val="ListParagraph"/>
        <w:numPr>
          <w:ilvl w:val="0"/>
          <w:numId w:val="2"/>
        </w:numPr>
        <w:spacing w:after="80"/>
      </w:pPr>
      <w:r>
        <w:rPr>
          <w:rFonts w:ascii="Arial" w:cs="Arial" w:eastAsia="Arial" w:hAnsi="Arial"/>
          <w:b/>
          <w:bCs/>
          <w:color w:val="000000"/>
          <w:sz w:val="22"/>
          <w:szCs w:val="22"/>
        </w:rPr>
        <w:t xml:space="preserve">CMDB Mapping:</w:t>
      </w:r>
      <w:r>
        <w:rPr>
          <w:rFonts w:ascii="Arial" w:cs="Arial" w:eastAsia="Arial" w:hAnsi="Arial"/>
          <w:color w:val="000000"/>
          <w:sz w:val="22"/>
          <w:szCs w:val="22"/>
        </w:rPr>
        <w:t xml:space="preserve"> Links the incident to the </w:t>
      </w:r>
      <w:r>
        <w:rPr>
          <w:rFonts w:ascii="Arial" w:cs="Arial" w:eastAsia="Arial" w:hAnsi="Arial"/>
          <w:b/>
          <w:bCs/>
          <w:color w:val="000000"/>
          <w:sz w:val="22"/>
          <w:szCs w:val="22"/>
        </w:rPr>
        <w:t xml:space="preserve">Remote Access</w:t>
      </w:r>
      <w:r>
        <w:rPr>
          <w:rFonts w:ascii="Arial" w:cs="Arial" w:eastAsia="Arial" w:hAnsi="Arial"/>
          <w:color w:val="000000"/>
          <w:sz w:val="22"/>
          <w:szCs w:val="22"/>
        </w:rPr>
        <w:t xml:space="preserve"> Service, the </w:t>
      </w:r>
      <w:r>
        <w:rPr>
          <w:rFonts w:ascii="Arial" w:cs="Arial" w:eastAsia="Arial" w:hAnsi="Arial"/>
          <w:b/>
          <w:bCs/>
          <w:color w:val="000000"/>
          <w:sz w:val="22"/>
          <w:szCs w:val="22"/>
        </w:rPr>
        <w:t xml:space="preserve">Corporate VPN</w:t>
      </w:r>
      <w:r>
        <w:rPr>
          <w:rFonts w:ascii="Arial" w:cs="Arial" w:eastAsia="Arial" w:hAnsi="Arial"/>
          <w:color w:val="000000"/>
          <w:sz w:val="22"/>
          <w:szCs w:val="22"/>
        </w:rPr>
        <w:t xml:space="preserve"> Service Offering and the affected Configuration Item (initially ThinkStation, later updated to </w:t>
      </w:r>
      <w:r>
        <w:rPr>
          <w:rFonts w:ascii="Arial" w:cs="Arial" w:eastAsia="Arial" w:hAnsi="Arial"/>
          <w:b/>
          <w:bCs/>
          <w:color w:val="000000"/>
          <w:sz w:val="22"/>
          <w:szCs w:val="22"/>
        </w:rPr>
        <w:t xml:space="preserve">PowerEdge T110 II</w:t>
      </w:r>
      <w:r>
        <w:rPr>
          <w:rFonts w:ascii="Arial" w:cs="Arial" w:eastAsia="Arial" w:hAnsi="Arial"/>
          <w:color w:val="000000"/>
          <w:sz w:val="22"/>
          <w:szCs w:val="22"/>
        </w:rPr>
        <w:t xml:space="preserve">).</w:t>
      </w:r>
    </w:p>
    <w:p>
      <w:pPr>
        <w:pStyle w:val="ListParagraph"/>
        <w:numPr>
          <w:ilvl w:val="0"/>
          <w:numId w:val="2"/>
        </w:numPr>
        <w:spacing w:after="80"/>
      </w:pPr>
      <w:r>
        <w:rPr>
          <w:rFonts w:ascii="Arial" w:cs="Arial" w:eastAsia="Arial" w:hAnsi="Arial"/>
          <w:b/>
          <w:bCs/>
          <w:color w:val="000000"/>
          <w:sz w:val="22"/>
          <w:szCs w:val="22"/>
        </w:rPr>
        <w:t xml:space="preserve">Change Management Interface:</w:t>
      </w:r>
      <w:r>
        <w:rPr>
          <w:rFonts w:ascii="Arial" w:cs="Arial" w:eastAsia="Arial" w:hAnsi="Arial"/>
          <w:color w:val="000000"/>
          <w:sz w:val="22"/>
          <w:szCs w:val="22"/>
        </w:rPr>
        <w:t xml:space="preserve"> Allows an </w:t>
      </w:r>
      <w:r>
        <w:rPr>
          <w:rFonts w:ascii="Arial" w:cs="Arial" w:eastAsia="Arial" w:hAnsi="Arial"/>
          <w:b/>
          <w:bCs/>
          <w:color w:val="000000"/>
          <w:sz w:val="22"/>
          <w:szCs w:val="22"/>
        </w:rPr>
        <w:t xml:space="preserve">Emergency Change Request</w:t>
      </w:r>
      <w:r>
        <w:rPr>
          <w:rFonts w:ascii="Arial" w:cs="Arial" w:eastAsia="Arial" w:hAnsi="Arial"/>
          <w:color w:val="000000"/>
          <w:sz w:val="22"/>
          <w:szCs w:val="22"/>
        </w:rPr>
        <w:t xml:space="preserve"> to be linked to the incident when hardware updates are required.</w:t>
      </w:r>
    </w:p>
    <w:p>
      <w:pPr>
        <w:pStyle w:val="ListParagraph"/>
        <w:numPr>
          <w:ilvl w:val="0"/>
          <w:numId w:val="2"/>
        </w:numPr>
        <w:spacing w:after="80"/>
      </w:pPr>
      <w:r>
        <w:rPr>
          <w:rFonts w:ascii="Arial" w:cs="Arial" w:eastAsia="Arial" w:hAnsi="Arial"/>
          <w:b/>
          <w:bCs/>
          <w:color w:val="000000"/>
          <w:sz w:val="22"/>
          <w:szCs w:val="22"/>
        </w:rPr>
        <w:t xml:space="preserve">Parent-Child Incident Relationship Manager:</w:t>
      </w:r>
      <w:r>
        <w:rPr>
          <w:rFonts w:ascii="Arial" w:cs="Arial" w:eastAsia="Arial" w:hAnsi="Arial"/>
          <w:color w:val="000000"/>
          <w:sz w:val="22"/>
          <w:szCs w:val="22"/>
        </w:rPr>
        <w:t xml:space="preserve"> Links related user reports as child incidents (INC0010002) under the parent (INC0010001) so state changes and resolution cascade consistently.</w:t>
      </w:r>
    </w:p>
    <w:p>
      <w:pPr>
        <w:pStyle w:val="Heading2"/>
        <w:spacing w:after="120" w:before="200"/>
      </w:pPr>
      <w:r>
        <w:rPr>
          <w:rFonts w:ascii="Arial" w:cs="Arial" w:eastAsia="Arial" w:hAnsi="Arial"/>
          <w:b/>
          <w:bCs/>
          <w:color w:val="000000"/>
          <w:sz w:val="24"/>
          <w:szCs w:val="24"/>
        </w:rPr>
        <w:t xml:space="preserve">2.3 Platform Services Zone</w:t>
      </w:r>
    </w:p>
    <w:p>
      <w:pPr>
        <w:pStyle w:val="ListParagraph"/>
        <w:numPr>
          <w:ilvl w:val="0"/>
          <w:numId w:val="2"/>
        </w:numPr>
        <w:spacing w:after="80"/>
      </w:pPr>
      <w:r>
        <w:rPr>
          <w:rFonts w:ascii="Arial" w:cs="Arial" w:eastAsia="Arial" w:hAnsi="Arial"/>
          <w:b/>
          <w:bCs/>
          <w:color w:val="000000"/>
          <w:sz w:val="22"/>
          <w:szCs w:val="22"/>
        </w:rPr>
        <w:t xml:space="preserve">Notification Engine:</w:t>
      </w:r>
      <w:r>
        <w:rPr>
          <w:rFonts w:ascii="Arial" w:cs="Arial" w:eastAsia="Arial" w:hAnsi="Arial"/>
          <w:color w:val="000000"/>
          <w:sz w:val="22"/>
          <w:szCs w:val="22"/>
        </w:rPr>
        <w:t xml:space="preserve"> Sends outbound emails to Watch List members when work notes, state changes or resolution events occur.</w:t>
      </w:r>
    </w:p>
    <w:p>
      <w:pPr>
        <w:pStyle w:val="ListParagraph"/>
        <w:numPr>
          <w:ilvl w:val="0"/>
          <w:numId w:val="2"/>
        </w:numPr>
        <w:spacing w:after="80"/>
      </w:pPr>
      <w:r>
        <w:rPr>
          <w:rFonts w:ascii="Arial" w:cs="Arial" w:eastAsia="Arial" w:hAnsi="Arial"/>
          <w:b/>
          <w:bCs/>
          <w:color w:val="000000"/>
          <w:sz w:val="22"/>
          <w:szCs w:val="22"/>
        </w:rPr>
        <w:t xml:space="preserve">Platform Data Store (ServiceNow DB):</w:t>
      </w:r>
      <w:r>
        <w:rPr>
          <w:rFonts w:ascii="Arial" w:cs="Arial" w:eastAsia="Arial" w:hAnsi="Arial"/>
          <w:color w:val="000000"/>
          <w:sz w:val="22"/>
          <w:szCs w:val="22"/>
        </w:rPr>
        <w:t xml:space="preserve"> Persists data in the platform tables </w:t>
      </w:r>
      <w:r>
        <w:rPr>
          <w:rFonts w:ascii="Arial" w:cs="Arial" w:eastAsia="Arial" w:hAnsi="Arial"/>
          <w:b/>
          <w:bCs/>
          <w:color w:val="000000"/>
          <w:sz w:val="22"/>
          <w:szCs w:val="22"/>
        </w:rPr>
        <w:t xml:space="preserve">incident, task_sla, kb_knowledge and cmdb_ci</w:t>
      </w:r>
      <w:r>
        <w:rPr>
          <w:rFonts w:ascii="Arial" w:cs="Arial" w:eastAsia="Arial" w:hAnsi="Arial"/>
          <w:color w:val="000000"/>
          <w:sz w:val="22"/>
          <w:szCs w:val="22"/>
        </w:rPr>
        <w:t xml:space="preserve">, including audit history and outbound email logs.</w:t>
      </w:r>
    </w:p>
    <w:p>
      <w:pPr>
        <w:pStyle w:val="Heading2"/>
        <w:spacing w:after="120" w:before="200"/>
      </w:pPr>
      <w:r>
        <w:rPr>
          <w:rFonts w:ascii="Arial" w:cs="Arial" w:eastAsia="Arial" w:hAnsi="Arial"/>
          <w:b/>
          <w:bCs/>
          <w:color w:val="000000"/>
          <w:sz w:val="24"/>
          <w:szCs w:val="24"/>
        </w:rPr>
        <w:t xml:space="preserve">2.4 Data Flow Summary</w:t>
      </w:r>
    </w:p>
    <w:p>
      <w:pPr>
        <w:pStyle w:val="ListParagraph"/>
        <w:numPr>
          <w:ilvl w:val="0"/>
          <w:numId w:val="3"/>
        </w:numPr>
        <w:spacing w:after="80"/>
      </w:pPr>
      <w:r>
        <w:rPr>
          <w:rFonts w:ascii="Arial" w:cs="Arial" w:eastAsia="Arial" w:hAnsi="Arial"/>
          <w:color w:val="000000"/>
          <w:sz w:val="22"/>
          <w:szCs w:val="22"/>
        </w:rPr>
        <w:t xml:space="preserve">Caller reports issue → Agent logs incident in SOW → record stored in the </w:t>
      </w:r>
      <w:r>
        <w:rPr>
          <w:rFonts w:ascii="Arial" w:cs="Arial" w:eastAsia="Arial" w:hAnsi="Arial"/>
          <w:b/>
          <w:bCs/>
          <w:color w:val="000000"/>
          <w:sz w:val="22"/>
          <w:szCs w:val="22"/>
        </w:rPr>
        <w:t xml:space="preserve">incident</w:t>
      </w:r>
      <w:r>
        <w:rPr>
          <w:rFonts w:ascii="Arial" w:cs="Arial" w:eastAsia="Arial" w:hAnsi="Arial"/>
          <w:color w:val="000000"/>
          <w:sz w:val="22"/>
          <w:szCs w:val="22"/>
        </w:rPr>
        <w:t xml:space="preserve"> table.</w:t>
      </w:r>
    </w:p>
    <w:p>
      <w:pPr>
        <w:pStyle w:val="ListParagraph"/>
        <w:numPr>
          <w:ilvl w:val="0"/>
          <w:numId w:val="3"/>
        </w:numPr>
        <w:spacing w:after="80"/>
      </w:pPr>
      <w:r>
        <w:rPr>
          <w:rFonts w:ascii="Arial" w:cs="Arial" w:eastAsia="Arial" w:hAnsi="Arial"/>
          <w:color w:val="000000"/>
          <w:sz w:val="22"/>
          <w:szCs w:val="22"/>
        </w:rPr>
        <w:t xml:space="preserve">Agent classifies the incident and maps CMDB records (</w:t>
      </w:r>
      <w:r>
        <w:rPr>
          <w:rFonts w:ascii="Arial" w:cs="Arial" w:eastAsia="Arial" w:hAnsi="Arial"/>
          <w:b/>
          <w:bCs/>
          <w:color w:val="000000"/>
          <w:sz w:val="22"/>
          <w:szCs w:val="22"/>
        </w:rPr>
        <w:t xml:space="preserve">cmdb_ci</w:t>
      </w:r>
      <w:r>
        <w:rPr>
          <w:rFonts w:ascii="Arial" w:cs="Arial" w:eastAsia="Arial" w:hAnsi="Arial"/>
          <w:color w:val="000000"/>
          <w:sz w:val="22"/>
          <w:szCs w:val="22"/>
        </w:rPr>
        <w:t xml:space="preserve">).</w:t>
      </w:r>
    </w:p>
    <w:p>
      <w:pPr>
        <w:pStyle w:val="ListParagraph"/>
        <w:numPr>
          <w:ilvl w:val="0"/>
          <w:numId w:val="3"/>
        </w:numPr>
        <w:spacing w:after="80"/>
      </w:pPr>
      <w:r>
        <w:rPr>
          <w:rFonts w:ascii="Arial" w:cs="Arial" w:eastAsia="Arial" w:hAnsi="Arial"/>
          <w:color w:val="000000"/>
          <w:sz w:val="22"/>
          <w:szCs w:val="22"/>
        </w:rPr>
        <w:t xml:space="preserve">Agent Assist queries </w:t>
      </w:r>
      <w:r>
        <w:rPr>
          <w:rFonts w:ascii="Arial" w:cs="Arial" w:eastAsia="Arial" w:hAnsi="Arial"/>
          <w:b/>
          <w:bCs/>
          <w:color w:val="000000"/>
          <w:sz w:val="22"/>
          <w:szCs w:val="22"/>
        </w:rPr>
        <w:t xml:space="preserve">kb_knowledge</w:t>
      </w:r>
      <w:r>
        <w:rPr>
          <w:rFonts w:ascii="Arial" w:cs="Arial" w:eastAsia="Arial" w:hAnsi="Arial"/>
          <w:color w:val="000000"/>
          <w:sz w:val="22"/>
          <w:szCs w:val="22"/>
        </w:rPr>
        <w:t xml:space="preserve"> and attaches the article to the activity feed.</w:t>
      </w:r>
    </w:p>
    <w:p>
      <w:pPr>
        <w:pStyle w:val="ListParagraph"/>
        <w:numPr>
          <w:ilvl w:val="0"/>
          <w:numId w:val="3"/>
        </w:numPr>
        <w:spacing w:after="80"/>
      </w:pPr>
      <w:r>
        <w:rPr>
          <w:rFonts w:ascii="Arial" w:cs="Arial" w:eastAsia="Arial" w:hAnsi="Arial"/>
          <w:color w:val="000000"/>
          <w:sz w:val="22"/>
          <w:szCs w:val="22"/>
        </w:rPr>
        <w:t xml:space="preserve">Incident is reassigned to the L2 Network group; Watch List notifications are generated by the Notification Engine.</w:t>
      </w:r>
    </w:p>
    <w:p>
      <w:pPr>
        <w:pStyle w:val="ListParagraph"/>
        <w:numPr>
          <w:ilvl w:val="0"/>
          <w:numId w:val="3"/>
        </w:numPr>
        <w:spacing w:after="80"/>
      </w:pPr>
      <w:r>
        <w:rPr>
          <w:rFonts w:ascii="Arial" w:cs="Arial" w:eastAsia="Arial" w:hAnsi="Arial"/>
          <w:color w:val="000000"/>
          <w:sz w:val="22"/>
          <w:szCs w:val="22"/>
        </w:rPr>
        <w:t xml:space="preserve">Emergency Change is linked; incident moves to </w:t>
      </w:r>
      <w:r>
        <w:rPr>
          <w:rFonts w:ascii="Arial" w:cs="Arial" w:eastAsia="Arial" w:hAnsi="Arial"/>
          <w:b/>
          <w:bCs/>
          <w:color w:val="000000"/>
          <w:sz w:val="22"/>
          <w:szCs w:val="22"/>
        </w:rPr>
        <w:t xml:space="preserve">On Hold – Awaiting Change</w:t>
      </w:r>
      <w:r>
        <w:rPr>
          <w:rFonts w:ascii="Arial" w:cs="Arial" w:eastAsia="Arial" w:hAnsi="Arial"/>
          <w:color w:val="000000"/>
          <w:sz w:val="22"/>
          <w:szCs w:val="22"/>
        </w:rPr>
        <w:t xml:space="preserve"> (Task SLA paused in </w:t>
      </w:r>
      <w:r>
        <w:rPr>
          <w:rFonts w:ascii="Arial" w:cs="Arial" w:eastAsia="Arial" w:hAnsi="Arial"/>
          <w:b/>
          <w:bCs/>
          <w:color w:val="000000"/>
          <w:sz w:val="22"/>
          <w:szCs w:val="22"/>
        </w:rPr>
        <w:t xml:space="preserve">task_sla</w:t>
      </w:r>
      <w:r>
        <w:rPr>
          <w:rFonts w:ascii="Arial" w:cs="Arial" w:eastAsia="Arial" w:hAnsi="Arial"/>
          <w:color w:val="000000"/>
          <w:sz w:val="22"/>
          <w:szCs w:val="22"/>
        </w:rPr>
        <w:t xml:space="preserve">).</w:t>
      </w:r>
    </w:p>
    <w:p>
      <w:pPr>
        <w:pStyle w:val="ListParagraph"/>
        <w:numPr>
          <w:ilvl w:val="0"/>
          <w:numId w:val="3"/>
        </w:numPr>
        <w:spacing w:after="80"/>
      </w:pPr>
      <w:r>
        <w:rPr>
          <w:rFonts w:ascii="Arial" w:cs="Arial" w:eastAsia="Arial" w:hAnsi="Arial"/>
          <w:color w:val="000000"/>
          <w:sz w:val="22"/>
          <w:szCs w:val="22"/>
        </w:rPr>
        <w:t xml:space="preserve">Child incidents are linked; resolution on the parent cascades to the children.</w:t>
      </w:r>
    </w:p>
    <w:p>
      <w:pPr>
        <w:pStyle w:val="ListParagraph"/>
        <w:numPr>
          <w:ilvl w:val="0"/>
          <w:numId w:val="3"/>
        </w:numPr>
        <w:spacing w:after="80"/>
      </w:pPr>
      <w:r>
        <w:rPr>
          <w:rFonts w:ascii="Arial" w:cs="Arial" w:eastAsia="Arial" w:hAnsi="Arial"/>
          <w:color w:val="000000"/>
          <w:sz w:val="22"/>
          <w:szCs w:val="22"/>
        </w:rPr>
        <w:t xml:space="preserve">Incident is Resolved and a draft knowledge article is generated into </w:t>
      </w:r>
      <w:r>
        <w:rPr>
          <w:rFonts w:ascii="Arial" w:cs="Arial" w:eastAsia="Arial" w:hAnsi="Arial"/>
          <w:b/>
          <w:bCs/>
          <w:color w:val="000000"/>
          <w:sz w:val="22"/>
          <w:szCs w:val="22"/>
        </w:rPr>
        <w:t xml:space="preserve">kb_knowledge</w:t>
      </w:r>
      <w:r>
        <w:rPr>
          <w:rFonts w:ascii="Arial" w:cs="Arial" w:eastAsia="Arial" w:hAnsi="Arial"/>
          <w:color w:val="000000"/>
          <w:sz w:val="22"/>
          <w:szCs w:val="22"/>
        </w:rPr>
        <w:t xml:space="preserve">.</w:t>
      </w:r>
    </w:p>
    <w:p>
      <w:pPr>
        <w:pStyle w:val="Heading1"/>
        <w:spacing w:after="120" w:before="300"/>
      </w:pPr>
      <w:r>
        <w:rPr>
          <w:rFonts w:ascii="Arial" w:cs="Arial" w:eastAsia="Arial" w:hAnsi="Arial"/>
          <w:b/>
          <w:bCs/>
          <w:color w:val="000000"/>
          <w:sz w:val="28"/>
          <w:szCs w:val="28"/>
        </w:rPr>
        <w:t xml:space="preserve">3.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Component</w:t>
            </w:r>
          </w:p>
        </w:tc>
        <w:tc>
          <w:tcPr>
            <w:tcW w:type="dxa" w:w="35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Responsibility</w:t>
            </w:r>
          </w:p>
        </w:tc>
        <w:tc>
          <w:tcPr>
            <w:tcW w:type="dxa" w:w="35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Key Artifacts / Data</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Requester / Caller</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Reports IT issue and tracks ticket progress</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Caller profile, Short Description, Incident Number (INC0010001)</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Service Operations Workspace</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Provides agent interface for initial logging, classification and triage</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SOW Workspace forms, mandatory field validation rules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Agent Assist &amp; KB Engine</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Enables Shift-Left support by surfacing contextual solution articles</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Knowledge Base (IT KB), KB articles (KB0000008), Agent Assist panel</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Multi-Tier Support Groups</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Conducts technical investigation and ticket resolution across support tiers</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Service Desk group, Level 2 Network group, assigned agent (David Loo)</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Watch List &amp; Work Notes</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Maintains cross-team transparency and stakeholder communication</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Watch List (Samantha Bordwell), Work Notes List (Beth Anglin), Activity Feed</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Incident State Manager</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Manages state transitions (New → In Progress → On Hold → Resolved)</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State engine, On Hold Reasons (Awaiting Change), Task SLAs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Related Records &amp; Change Linkage</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Links Emergency Change Requests and manages Parent-Child incident relationships</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Child Incidents (INC0010002), Change Request records, Related Records tab</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Post-Incident Knowledge Creation</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Generates standardized draft knowledge articles upon incident resolution</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Standard KB Template, IT Knowledge Base, Draft KB articles (KB0010001)</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Platform Data Store &amp; Notifications</w:t>
            </w:r>
          </w:p>
        </w:tc>
        <w:tc>
          <w:tcPr>
            <w:tcW w:type="dxa" w:w="3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Persists ticket history, audit logs and triggers automated email updates</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Platform tables (incident, kb_knowledge, cmdb_ci), Outbound Email logs</w:t>
            </w:r>
          </w:p>
        </w:tc>
      </w:tr>
    </w:tbl>
    <w:p>
      <w:pPr>
        <w:pStyle w:val="Heading1"/>
        <w:spacing w:after="120" w:before="300"/>
      </w:pPr>
      <w:r>
        <w:rPr>
          <w:rFonts w:ascii="Arial" w:cs="Arial" w:eastAsia="Arial" w:hAnsi="Arial"/>
          <w:b/>
          <w:bCs/>
          <w:color w:val="000000"/>
          <w:sz w:val="28"/>
          <w:szCs w:val="28"/>
        </w:rPr>
        <w:t xml:space="preserve">4. Workflow and Lifecycle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260"/>
      </w:tblGrid>
      <w:tr>
        <w:trPr>
          <w:tblHeader/>
        </w:trPr>
        <w:tc>
          <w:tcPr>
            <w:tcW w:type="dxa" w:w="8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Step</w:t>
            </w:r>
          </w:p>
        </w:tc>
        <w:tc>
          <w:tcPr>
            <w:tcW w:type="dxa" w:w="23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Stage</w:t>
            </w:r>
          </w:p>
        </w:tc>
        <w:tc>
          <w:tcPr>
            <w:tcW w:type="dxa" w:w="62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Description and Decision Rule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Incident Intake &amp; Triage</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Callers report issues; Service Desk Agents (Beth Anglin) log tickets in Service Operations Workspace. Caller and description are </w:t>
            </w:r>
            <w:r>
              <w:rPr>
                <w:rFonts w:ascii="Arial" w:cs="Arial" w:eastAsia="Arial" w:hAnsi="Arial"/>
                <w:b w:val="false"/>
                <w:bCs w:val="false"/>
                <w:color w:val="000000"/>
                <w:sz w:val="20"/>
                <w:szCs w:val="20"/>
              </w:rPr>
              <w:t xml:space="preserve">mandatory</w:t>
            </w:r>
            <w:r>
              <w:rPr>
                <w:rFonts w:ascii="Arial" w:cs="Arial" w:eastAsia="Arial" w:hAnsi="Arial"/>
                <w:b w:val="false"/>
                <w:bCs w:val="false"/>
                <w:color w:val="000000"/>
                <w:sz w:val="20"/>
                <w:szCs w:val="20"/>
              </w:rPr>
              <w:t xml:space="preserve">; the record cannot be saved without them.</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Categorization &amp; CMDB Mapping</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Ticket is classified under the </w:t>
            </w:r>
            <w:r>
              <w:rPr>
                <w:rFonts w:ascii="Arial" w:cs="Arial" w:eastAsia="Arial" w:hAnsi="Arial"/>
                <w:b w:val="false"/>
                <w:bCs w:val="false"/>
                <w:color w:val="000000"/>
                <w:sz w:val="20"/>
                <w:szCs w:val="20"/>
              </w:rPr>
              <w:t xml:space="preserve">Network / VPN</w:t>
            </w:r>
            <w:r>
              <w:rPr>
                <w:rFonts w:ascii="Arial" w:cs="Arial" w:eastAsia="Arial" w:hAnsi="Arial"/>
                <w:b w:val="false"/>
                <w:bCs w:val="false"/>
                <w:color w:val="000000"/>
                <w:sz w:val="20"/>
                <w:szCs w:val="20"/>
              </w:rPr>
              <w:t xml:space="preserve"> category and mapped to the </w:t>
            </w:r>
            <w:r>
              <w:rPr>
                <w:rFonts w:ascii="Arial" w:cs="Arial" w:eastAsia="Arial" w:hAnsi="Arial"/>
                <w:b w:val="false"/>
                <w:bCs w:val="false"/>
                <w:color w:val="000000"/>
                <w:sz w:val="20"/>
                <w:szCs w:val="20"/>
              </w:rPr>
              <w:t xml:space="preserve">Remote Access</w:t>
            </w:r>
            <w:r>
              <w:rPr>
                <w:rFonts w:ascii="Arial" w:cs="Arial" w:eastAsia="Arial" w:hAnsi="Arial"/>
                <w:b w:val="false"/>
                <w:bCs w:val="false"/>
                <w:color w:val="000000"/>
                <w:sz w:val="20"/>
                <w:szCs w:val="20"/>
              </w:rPr>
              <w:t xml:space="preserve"> Service, </w:t>
            </w:r>
            <w:r>
              <w:rPr>
                <w:rFonts w:ascii="Arial" w:cs="Arial" w:eastAsia="Arial" w:hAnsi="Arial"/>
                <w:b w:val="false"/>
                <w:bCs w:val="false"/>
                <w:color w:val="000000"/>
                <w:sz w:val="20"/>
                <w:szCs w:val="20"/>
              </w:rPr>
              <w:t xml:space="preserve">Corporate VPN</w:t>
            </w:r>
            <w:r>
              <w:rPr>
                <w:rFonts w:ascii="Arial" w:cs="Arial" w:eastAsia="Arial" w:hAnsi="Arial"/>
                <w:b w:val="false"/>
                <w:bCs w:val="false"/>
                <w:color w:val="000000"/>
                <w:sz w:val="20"/>
                <w:szCs w:val="20"/>
              </w:rPr>
              <w:t xml:space="preserve"> Offering and </w:t>
            </w:r>
            <w:r>
              <w:rPr>
                <w:rFonts w:ascii="Arial" w:cs="Arial" w:eastAsia="Arial" w:hAnsi="Arial"/>
                <w:b w:val="false"/>
                <w:bCs w:val="false"/>
                <w:color w:val="000000"/>
                <w:sz w:val="20"/>
                <w:szCs w:val="20"/>
              </w:rPr>
              <w:t xml:space="preserve">ThinkStation</w:t>
            </w:r>
            <w:r>
              <w:rPr>
                <w:rFonts w:ascii="Arial" w:cs="Arial" w:eastAsia="Arial" w:hAnsi="Arial"/>
                <w:b w:val="false"/>
                <w:bCs w:val="false"/>
                <w:color w:val="000000"/>
                <w:sz w:val="20"/>
                <w:szCs w:val="20"/>
              </w:rPr>
              <w:t xml:space="preserve"> CI.</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Shift-Left Knowledge Integration</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Agent Assist searches KB articles (KB0000008), the agent marks helpfulness and attaches the documentation directly to the activity log. If the article resolves the issue, the incident may be closed at Level 1.</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Watch List Update &amp; Escalation</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Stakeholders (Samantha Bordwell) are added to the Watch List. If the issue cannot be resolved at Level 1, the ticket is reassigned to the </w:t>
            </w:r>
            <w:r>
              <w:rPr>
                <w:rFonts w:ascii="Arial" w:cs="Arial" w:eastAsia="Arial" w:hAnsi="Arial"/>
                <w:b w:val="false"/>
                <w:bCs w:val="false"/>
                <w:color w:val="000000"/>
                <w:sz w:val="20"/>
                <w:szCs w:val="20"/>
              </w:rPr>
              <w:t xml:space="preserve">L2 Network</w:t>
            </w:r>
            <w:r>
              <w:rPr>
                <w:rFonts w:ascii="Arial" w:cs="Arial" w:eastAsia="Arial" w:hAnsi="Arial"/>
                <w:b w:val="false"/>
                <w:bCs w:val="false"/>
                <w:color w:val="000000"/>
                <w:sz w:val="20"/>
                <w:szCs w:val="20"/>
              </w:rPr>
              <w:t xml:space="preserve"> group and claimed by Analyst </w:t>
            </w:r>
            <w:r>
              <w:rPr>
                <w:rFonts w:ascii="Arial" w:cs="Arial" w:eastAsia="Arial" w:hAnsi="Arial"/>
                <w:b w:val="false"/>
                <w:bCs w:val="false"/>
                <w:color w:val="000000"/>
                <w:sz w:val="20"/>
                <w:szCs w:val="20"/>
              </w:rPr>
              <w:t xml:space="preserve">David Loo</w:t>
            </w:r>
            <w:r>
              <w:rPr>
                <w:rFonts w:ascii="Arial" w:cs="Arial" w:eastAsia="Arial" w:hAnsi="Arial"/>
                <w:b w:val="false"/>
                <w:bCs w:val="false"/>
                <w:color w:val="000000"/>
                <w:sz w:val="20"/>
                <w:szCs w:val="20"/>
              </w:rPr>
              <w:t xml:space="preserv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Emergency Change &amp; On-Hold State</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CI is updated to </w:t>
            </w:r>
            <w:r>
              <w:rPr>
                <w:rFonts w:ascii="Arial" w:cs="Arial" w:eastAsia="Arial" w:hAnsi="Arial"/>
                <w:b w:val="false"/>
                <w:bCs w:val="false"/>
                <w:color w:val="000000"/>
                <w:sz w:val="20"/>
                <w:szCs w:val="20"/>
              </w:rPr>
              <w:t xml:space="preserve">PowerEdge T110 II</w:t>
            </w:r>
            <w:r>
              <w:rPr>
                <w:rFonts w:ascii="Arial" w:cs="Arial" w:eastAsia="Arial" w:hAnsi="Arial"/>
                <w:b w:val="false"/>
                <w:bCs w:val="false"/>
                <w:color w:val="000000"/>
                <w:sz w:val="20"/>
                <w:szCs w:val="20"/>
              </w:rPr>
              <w:t xml:space="preserve">. Incident is placed </w:t>
            </w:r>
            <w:r>
              <w:rPr>
                <w:rFonts w:ascii="Arial" w:cs="Arial" w:eastAsia="Arial" w:hAnsi="Arial"/>
                <w:b w:val="false"/>
                <w:bCs w:val="false"/>
                <w:color w:val="000000"/>
                <w:sz w:val="20"/>
                <w:szCs w:val="20"/>
              </w:rPr>
              <w:t xml:space="preserve">On Hold</w:t>
            </w:r>
            <w:r>
              <w:rPr>
                <w:rFonts w:ascii="Arial" w:cs="Arial" w:eastAsia="Arial" w:hAnsi="Arial"/>
                <w:b w:val="false"/>
                <w:bCs w:val="false"/>
                <w:color w:val="000000"/>
                <w:sz w:val="20"/>
                <w:szCs w:val="20"/>
              </w:rPr>
              <w:t xml:space="preserve"> with reason </w:t>
            </w:r>
            <w:r>
              <w:rPr>
                <w:rFonts w:ascii="Arial" w:cs="Arial" w:eastAsia="Arial" w:hAnsi="Arial"/>
                <w:b w:val="false"/>
                <w:bCs w:val="false"/>
                <w:color w:val="000000"/>
                <w:sz w:val="20"/>
                <w:szCs w:val="20"/>
              </w:rPr>
              <w:t xml:space="preserve">Awaiting Change</w:t>
            </w:r>
            <w:r>
              <w:rPr>
                <w:rFonts w:ascii="Arial" w:cs="Arial" w:eastAsia="Arial" w:hAnsi="Arial"/>
                <w:b w:val="false"/>
                <w:bCs w:val="false"/>
                <w:color w:val="000000"/>
                <w:sz w:val="20"/>
                <w:szCs w:val="20"/>
              </w:rPr>
              <w:t xml:space="preserve"> during emergency hardware updates; the Emergency Change Request is linked in Related Records.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Parent-Child Incident Hierarchy</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Related user reports are linked as child incidents (INC0010002) under parent INC0010001 for synchronized resolution tracking.</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7</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Cause Documentation &amp; Resolution</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Probable Cause</w:t>
            </w:r>
            <w:r>
              <w:rPr>
                <w:rFonts w:ascii="Arial" w:cs="Arial" w:eastAsia="Arial" w:hAnsi="Arial"/>
                <w:b w:val="false"/>
                <w:bCs w:val="false"/>
                <w:color w:val="000000"/>
                <w:sz w:val="20"/>
                <w:szCs w:val="20"/>
              </w:rPr>
              <w:t xml:space="preserve"> is logged, </w:t>
            </w:r>
            <w:r>
              <w:rPr>
                <w:rFonts w:ascii="Arial" w:cs="Arial" w:eastAsia="Arial" w:hAnsi="Arial"/>
                <w:b w:val="false"/>
                <w:bCs w:val="false"/>
                <w:color w:val="000000"/>
                <w:sz w:val="20"/>
                <w:szCs w:val="20"/>
              </w:rPr>
              <w:t xml:space="preserve">Resolution Code</w:t>
            </w:r>
            <w:r>
              <w:rPr>
                <w:rFonts w:ascii="Arial" w:cs="Arial" w:eastAsia="Arial" w:hAnsi="Arial"/>
                <w:b w:val="false"/>
                <w:bCs w:val="false"/>
                <w:color w:val="000000"/>
                <w:sz w:val="20"/>
                <w:szCs w:val="20"/>
              </w:rPr>
              <w:t xml:space="preserve"> is set to Workaround provided, resolution work notes are recorded and state is updated to </w:t>
            </w:r>
            <w:r>
              <w:rPr>
                <w:rFonts w:ascii="Arial" w:cs="Arial" w:eastAsia="Arial" w:hAnsi="Arial"/>
                <w:b w:val="false"/>
                <w:bCs w:val="false"/>
                <w:color w:val="000000"/>
                <w:sz w:val="20"/>
                <w:szCs w:val="20"/>
              </w:rPr>
              <w:t xml:space="preserve">Resolved</w:t>
            </w:r>
            <w:r>
              <w:rPr>
                <w:rFonts w:ascii="Arial" w:cs="Arial" w:eastAsia="Arial" w:hAnsi="Arial"/>
                <w:b w:val="false"/>
                <w:bCs w:val="false"/>
                <w:color w:val="000000"/>
                <w:sz w:val="20"/>
                <w:szCs w:val="20"/>
              </w:rPr>
              <w:t xml:space="preserv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Post-Incident Knowledge Capture</w:t>
            </w:r>
          </w:p>
        </w:tc>
        <w:tc>
          <w:tcPr>
            <w:tcW w:type="dxa" w:w="62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Agent triggers </w:t>
            </w:r>
            <w:r>
              <w:rPr>
                <w:rFonts w:ascii="Arial" w:cs="Arial" w:eastAsia="Arial" w:hAnsi="Arial"/>
                <w:b w:val="false"/>
                <w:bCs w:val="false"/>
                <w:color w:val="000000"/>
                <w:sz w:val="20"/>
                <w:szCs w:val="20"/>
              </w:rPr>
              <w:t xml:space="preserve">Create Knowledge</w:t>
            </w:r>
            <w:r>
              <w:rPr>
                <w:rFonts w:ascii="Arial" w:cs="Arial" w:eastAsia="Arial" w:hAnsi="Arial"/>
                <w:b w:val="false"/>
                <w:bCs w:val="false"/>
                <w:color w:val="000000"/>
                <w:sz w:val="20"/>
                <w:szCs w:val="20"/>
              </w:rPr>
              <w:t xml:space="preserve"> to generate a draft Knowledge Article (KB0010001) under the IT Knowledge Base for future automated reuse.</w:t>
            </w:r>
          </w:p>
        </w:tc>
      </w:tr>
    </w:tbl>
    <w:p>
      <w:pPr>
        <w:pStyle w:val="Heading2"/>
        <w:spacing w:after="120" w:before="200"/>
      </w:pPr>
      <w:r>
        <w:rPr>
          <w:rFonts w:ascii="Arial" w:cs="Arial" w:eastAsia="Arial" w:hAnsi="Arial"/>
          <w:b/>
          <w:bCs/>
          <w:color w:val="000000"/>
          <w:sz w:val="24"/>
          <w:szCs w:val="24"/>
        </w:rPr>
        <w:t xml:space="preserve">4.1 State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From State</w:t>
            </w:r>
          </w:p>
        </w:tc>
        <w:tc>
          <w:tcPr>
            <w:tcW w:type="dxa" w:w="20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To State</w:t>
            </w:r>
          </w:p>
        </w:tc>
        <w:tc>
          <w:tcPr>
            <w:tcW w:type="dxa" w:w="53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Condition</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New</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 Progress</w:t>
            </w:r>
          </w:p>
        </w:tc>
        <w:tc>
          <w:tcPr>
            <w:tcW w:type="dxa" w:w="5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Incident is assigned and work begins.</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 Progress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On Hold</w:t>
            </w:r>
          </w:p>
        </w:tc>
        <w:tc>
          <w:tcPr>
            <w:tcW w:type="dxa" w:w="5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On Hold reason (for example, Awaiting Change) is mandatory; Task SLA pauses.</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On Hold</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 Progress</w:t>
            </w:r>
          </w:p>
        </w:tc>
        <w:tc>
          <w:tcPr>
            <w:tcW w:type="dxa" w:w="5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Linked change is completed or hold reason no longer applies; Task SLA resumes.</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 Progress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Resolved</w:t>
            </w:r>
          </w:p>
        </w:tc>
        <w:tc>
          <w:tcPr>
            <w:tcW w:type="dxa" w:w="5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Probable Cause, Resolution Code and resolution notes are completed.</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Resolved</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Closed</w:t>
            </w:r>
          </w:p>
        </w:tc>
        <w:tc>
          <w:tcPr>
            <w:tcW w:type="dxa" w:w="5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Caller confirms resolution or the auto-close period elapses.</w:t>
            </w:r>
          </w:p>
        </w:tc>
      </w:tr>
    </w:tbl>
    <w:p>
      <w:pPr>
        <w:pStyle w:val="Heading1"/>
        <w:spacing w:after="120" w:before="300"/>
      </w:pPr>
      <w:r>
        <w:rPr>
          <w:rFonts w:ascii="Arial" w:cs="Arial" w:eastAsia="Arial" w:hAnsi="Arial"/>
          <w:b/>
          <w:bCs/>
          <w:color w:val="000000"/>
          <w:sz w:val="28"/>
          <w:szCs w:val="28"/>
        </w:rPr>
        <w:t xml:space="preserve">5. Architecture Assumptions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60"/>
        <w:gridCol w:w="3300"/>
      </w:tblGrid>
      <w:tr>
        <w:trPr>
          <w:tblHeader/>
        </w:trPr>
        <w:tc>
          <w:tcPr>
            <w:tcW w:type="dxa" w:w="22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Area</w:t>
            </w:r>
          </w:p>
        </w:tc>
        <w:tc>
          <w:tcPr>
            <w:tcW w:type="dxa" w:w="38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Assumption</w:t>
            </w:r>
          </w:p>
        </w:tc>
        <w:tc>
          <w:tcPr>
            <w:tcW w:type="dxa" w:w="33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Validation (Functional Testing)</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Instance Configuration</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Developer/test instance has ITSM, Service Operations Workspace, Agent Assist and Knowledge Management plugins activated.</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Workspace loads and Agent Assist panel is visible on the incident form.</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Role-Based Access (ITIL roles)</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Beth Anglin, David Loo and Samantha Bordwell hold appropriate roles (ITIL, knowledge and change access as required); group membership is configured for Service Desk and Level 2 Network.</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Each persona can perform only the actions permitted to their role.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CMDB Data Accuracy</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Remote Access Service, Corporate VPN Offering and the ThinkStation and PowerEdge T110 II CIs exist and are correctly related.</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CI selection and update save correctly and appear on the incident.</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Notification Delivery</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Outbound email is configured and Watch List notifications are active.</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Outbound Email logs show messages to Watch List members.</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Workspace Display Rules</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Mandatory fields, On Hold reason visibility and Related Records tab display behave as designed in SOW.</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Form behavior is verified for new, on-hold, reassigned and resolved states.</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Parent-Child Cascading</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Child incidents inherit resolution handling from the parent.</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Resolving INC0010001 updates INC0010002.</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Knowledge Creation</w:t>
            </w:r>
          </w:p>
        </w:tc>
        <w:tc>
          <w:tcPr>
            <w:tcW w:type="dxa" w:w="38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A standard KB template and the IT Knowledge Base are available for draft publishing.</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Draft article KB0010001 is created and linked to the incident.</w:t>
            </w:r>
          </w:p>
        </w:tc>
      </w:tr>
    </w:tbl>
    <w:p>
      <w:pPr>
        <w:pStyle w:val="Heading1"/>
        <w:spacing w:after="120" w:before="300"/>
      </w:pPr>
      <w:r>
        <w:rPr>
          <w:rFonts w:ascii="Arial" w:cs="Arial" w:eastAsia="Arial" w:hAnsi="Arial"/>
          <w:b/>
          <w:bCs/>
          <w:color w:val="000000"/>
          <w:sz w:val="28"/>
          <w:szCs w:val="28"/>
        </w:rPr>
        <w:t xml:space="preserve">6. References</w:t>
      </w:r>
    </w:p>
    <w:p>
      <w:pPr>
        <w:pStyle w:val="ListParagraph"/>
        <w:numPr>
          <w:ilvl w:val="0"/>
          <w:numId w:val="2"/>
        </w:numPr>
        <w:spacing w:after="80"/>
      </w:pPr>
      <w:r>
        <w:rPr>
          <w:rFonts w:ascii="Arial" w:cs="Arial" w:eastAsia="Arial" w:hAnsi="Arial"/>
          <w:color w:val="000000"/>
          <w:sz w:val="22"/>
          <w:szCs w:val="22"/>
        </w:rPr>
        <w:t xml:space="preserve">ServiceNow ITSM Best Practices and Product Documentation (Incident Management, Service Operations Workspace, Agent Assist, Knowledge Management, Change Management, CMDB).</w:t>
      </w:r>
    </w:p>
    <w:p>
      <w:pPr>
        <w:pStyle w:val="ListParagraph"/>
        <w:numPr>
          <w:ilvl w:val="0"/>
          <w:numId w:val="2"/>
        </w:numPr>
        <w:spacing w:after="80"/>
      </w:pPr>
      <w:r>
        <w:rPr>
          <w:rFonts w:ascii="Arial" w:cs="Arial" w:eastAsia="Arial" w:hAnsi="Arial"/>
          <w:color w:val="000000"/>
          <w:sz w:val="22"/>
          <w:szCs w:val="22"/>
        </w:rPr>
        <w:t xml:space="preserve">ITIL 4 Incident Management and Knowledge Management practice guidance.</w:t>
      </w:r>
    </w:p>
    <w:p>
      <w:pPr>
        <w:pStyle w:val="ListParagraph"/>
        <w:numPr>
          <w:ilvl w:val="0"/>
          <w:numId w:val="2"/>
        </w:numPr>
        <w:spacing w:after="80"/>
      </w:pPr>
      <w:r>
        <w:rPr>
          <w:rFonts w:ascii="Arial" w:cs="Arial" w:eastAsia="Arial" w:hAnsi="Arial"/>
          <w:color w:val="000000"/>
          <w:sz w:val="22"/>
          <w:szCs w:val="22"/>
        </w:rPr>
        <w:t xml:space="preserve">Reference framework for architecture documentation structure (AWS Architecture / Clinical Research Design Considerations), used only as a template for document layout.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2026-10-22T17:35:38.123Z</dcterms:created>
  <dcterms:modified xsi:type="dcterms:W3CDTF">2026-10-22T17:35:38.124Z</dcterms:modified>
</cp:coreProperties>
</file>

<file path=docProps/custom.xml><?xml version="1.0" encoding="utf-8"?>
<Properties xmlns="http://schemas.openxmlformats.org/officeDocument/2006/custom-properties" xmlns:vt="http://schemas.openxmlformats.org/officeDocument/2006/docPropsVTypes"/>
</file>