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8"/>
          <w:szCs w:val="38"/>
        </w:rPr>
        <w:t xml:space="preserve">Phase 10: Incident Resolution Document</w:t>
      </w:r>
    </w:p>
    <w:p>
      <w:pPr>
        <w:spacing w:after="240"/>
        <w:jc w:val="center"/>
      </w:pPr>
      <w:r>
        <w:rPr>
          <w:rFonts w:ascii="Arial" w:cs="Arial" w:eastAsia="Arial" w:hAnsi="Arial"/>
          <w:color w:val="000000"/>
          <w:sz w:val="26"/>
          <w:szCs w:val="26"/>
        </w:rPr>
        <w:t xml:space="preserve">Incident Lifecycle Automation in ServiceNow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Details</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Project Name</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Lifecycle Automation in ServiceNow</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Team ID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Individual participant – 324103312L29@gvpce.ac.in</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Current Task</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Phase 10 – Incident Resolution (Combining Add Cause &amp; Add Resolution)</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Platform</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ServiceNow – Service Operations Workspace</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Record</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INC0010001</w:t>
            </w:r>
          </w:p>
        </w:tc>
      </w:tr>
      <w:tr>
        <w:trPr>
          <w:cantSplit/>
          <w:tblHeader w:val="false"/>
        </w:trPr>
        <w:tc>
          <w:tcPr>
            <w:tcW w:type="dxa" w:w="26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State Transition</w:t>
            </w:r>
          </w:p>
        </w:tc>
        <w:tc>
          <w:tcPr>
            <w:tcW w:type="dxa" w:w="71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On Hold → Resolved</w:t>
            </w:r>
          </w:p>
        </w:tc>
      </w:tr>
    </w:tbl>
    <w:p>
      <w:pPr>
        <w:pStyle w:val="Heading1"/>
        <w:pBdr>
          <w:bottom w:val="single" w:color="000000" w:sz="8" w:space="2"/>
        </w:pBdr>
        <w:spacing w:after="140" w:before="320"/>
      </w:pPr>
      <w:r>
        <w:rPr>
          <w:rFonts w:ascii="Arial" w:cs="Arial" w:eastAsia="Arial" w:hAnsi="Arial"/>
          <w:b/>
          <w:bCs/>
          <w:color w:val="000000"/>
          <w:sz w:val="28"/>
          <w:szCs w:val="28"/>
        </w:rPr>
        <w:t xml:space="preserve">1. Task Overview &amp; Executive Summary</w:t>
      </w:r>
    </w:p>
    <w:p>
      <w:pPr>
        <w:spacing w:after="120" w:line="276"/>
      </w:pPr>
      <w:r>
        <w:rPr>
          <w:rFonts w:ascii="Arial" w:cs="Arial" w:eastAsia="Arial" w:hAnsi="Arial"/>
          <w:b/>
          <w:bCs/>
          <w:color w:val="000000"/>
          <w:sz w:val="22"/>
          <w:szCs w:val="22"/>
        </w:rPr>
        <w:t xml:space="preserve">Objective: </w:t>
      </w:r>
      <w:r>
        <w:rPr>
          <w:rFonts w:ascii="Arial" w:cs="Arial" w:eastAsia="Arial" w:hAnsi="Arial"/>
          <w:color w:val="000000"/>
          <w:sz w:val="22"/>
          <w:szCs w:val="22"/>
        </w:rPr>
        <w:t xml:space="preserve">Documenting the complete resolution workflow in Service Operations Workspace, including </w:t>
      </w:r>
      <w:r>
        <w:rPr>
          <w:rFonts w:ascii="Arial" w:cs="Arial" w:eastAsia="Arial" w:hAnsi="Arial"/>
          <w:b/>
          <w:bCs/>
          <w:color w:val="000000"/>
          <w:sz w:val="22"/>
          <w:szCs w:val="22"/>
        </w:rPr>
        <w:t xml:space="preserve">root-cause determination</w:t>
      </w:r>
      <w:r>
        <w:rPr>
          <w:rFonts w:ascii="Arial" w:cs="Arial" w:eastAsia="Arial" w:hAnsi="Arial"/>
          <w:color w:val="000000"/>
          <w:sz w:val="22"/>
          <w:szCs w:val="22"/>
        </w:rPr>
        <w:t xml:space="preserve"> and full </w:t>
      </w:r>
      <w:r>
        <w:rPr>
          <w:rFonts w:ascii="Arial" w:cs="Arial" w:eastAsia="Arial" w:hAnsi="Arial"/>
          <w:b/>
          <w:bCs/>
          <w:color w:val="000000"/>
          <w:sz w:val="22"/>
          <w:szCs w:val="22"/>
        </w:rPr>
        <w:t xml:space="preserve">resolution details</w:t>
      </w:r>
      <w:r>
        <w:rPr>
          <w:rFonts w:ascii="Arial" w:cs="Arial" w:eastAsia="Arial" w:hAnsi="Arial"/>
          <w:color w:val="000000"/>
          <w:sz w:val="22"/>
          <w:szCs w:val="22"/>
        </w:rPr>
        <w:t xml:space="preserve"> to transition the incident state from </w:t>
      </w:r>
      <w:r>
        <w:rPr>
          <w:rFonts w:ascii="Arial" w:cs="Arial" w:eastAsia="Arial" w:hAnsi="Arial"/>
          <w:b/>
          <w:bCs/>
          <w:color w:val="000000"/>
          <w:sz w:val="22"/>
          <w:szCs w:val="22"/>
        </w:rPr>
        <w:t xml:space="preserve">On Hold</w:t>
      </w:r>
      <w:r>
        <w:rPr>
          <w:rFonts w:ascii="Arial" w:cs="Arial" w:eastAsia="Arial" w:hAnsi="Arial"/>
          <w:color w:val="000000"/>
          <w:sz w:val="22"/>
          <w:szCs w:val="22"/>
        </w:rPr>
        <w:t xml:space="preserve"> to </w:t>
      </w:r>
      <w:r>
        <w:rPr>
          <w:rFonts w:ascii="Arial" w:cs="Arial" w:eastAsia="Arial" w:hAnsi="Arial"/>
          <w:b/>
          <w:bCs/>
          <w:color w:val="000000"/>
          <w:sz w:val="22"/>
          <w:szCs w:val="22"/>
        </w:rPr>
        <w:t xml:space="preserve">Resolved</w:t>
      </w:r>
      <w:r>
        <w:rPr>
          <w:rFonts w:ascii="Arial" w:cs="Arial" w:eastAsia="Arial" w:hAnsi="Arial"/>
          <w:color w:val="000000"/>
          <w:sz w:val="22"/>
          <w:szCs w:val="22"/>
        </w:rPr>
        <w:t xml:space="preserve">.</w:t>
      </w:r>
    </w:p>
    <w:p>
      <w:pPr>
        <w:spacing w:after="120" w:line="276"/>
      </w:pPr>
      <w:r>
        <w:rPr>
          <w:rFonts w:ascii="Arial" w:cs="Arial" w:eastAsia="Arial" w:hAnsi="Arial"/>
          <w:b/>
          <w:bCs/>
          <w:color w:val="000000"/>
          <w:sz w:val="22"/>
          <w:szCs w:val="22"/>
        </w:rPr>
        <w:t xml:space="preserve">Executive Summary: </w:t>
      </w:r>
      <w:r>
        <w:rPr>
          <w:rFonts w:ascii="Arial" w:cs="Arial" w:eastAsia="Arial" w:hAnsi="Arial"/>
          <w:color w:val="000000"/>
          <w:sz w:val="22"/>
          <w:szCs w:val="22"/>
        </w:rPr>
        <w:t xml:space="preserve">Once the emergency change was carried out, the incident could be closed out. The agent recorded the </w:t>
      </w:r>
      <w:r>
        <w:rPr>
          <w:rFonts w:ascii="Arial" w:cs="Arial" w:eastAsia="Arial" w:hAnsi="Arial"/>
          <w:b/>
          <w:bCs/>
          <w:color w:val="000000"/>
          <w:sz w:val="22"/>
          <w:szCs w:val="22"/>
        </w:rPr>
        <w:t xml:space="preserve">Probable cause</w:t>
      </w:r>
      <w:r>
        <w:rPr>
          <w:rFonts w:ascii="Arial" w:cs="Arial" w:eastAsia="Arial" w:hAnsi="Arial"/>
          <w:color w:val="000000"/>
          <w:sz w:val="22"/>
          <w:szCs w:val="22"/>
        </w:rPr>
        <w:t xml:space="preserve"> (the PowerEdge service had been suspended and needed a restart), then completed the </w:t>
      </w:r>
      <w:r>
        <w:rPr>
          <w:rFonts w:ascii="Arial" w:cs="Arial" w:eastAsia="Arial" w:hAnsi="Arial"/>
          <w:b/>
          <w:bCs/>
          <w:color w:val="000000"/>
          <w:sz w:val="22"/>
          <w:szCs w:val="22"/>
        </w:rPr>
        <w:t xml:space="preserve">Resolution</w:t>
      </w:r>
      <w:r>
        <w:rPr>
          <w:rFonts w:ascii="Arial" w:cs="Arial" w:eastAsia="Arial" w:hAnsi="Arial"/>
          <w:color w:val="000000"/>
          <w:sz w:val="22"/>
          <w:szCs w:val="22"/>
        </w:rPr>
        <w:t xml:space="preserve"> section with the resolution code </w:t>
      </w:r>
      <w:r>
        <w:rPr>
          <w:rFonts w:ascii="Arial" w:cs="Arial" w:eastAsia="Arial" w:hAnsi="Arial"/>
          <w:b/>
          <w:bCs/>
          <w:color w:val="000000"/>
          <w:sz w:val="22"/>
          <w:szCs w:val="22"/>
        </w:rPr>
        <w:t xml:space="preserve">Workaround provided</w:t>
      </w:r>
      <w:r>
        <w:rPr>
          <w:rFonts w:ascii="Arial" w:cs="Arial" w:eastAsia="Arial" w:hAnsi="Arial"/>
          <w:color w:val="000000"/>
          <w:sz w:val="22"/>
          <w:szCs w:val="22"/>
        </w:rPr>
        <w:t xml:space="preserve"> and detailed resolution notes. Using </w:t>
      </w:r>
      <w:r>
        <w:rPr>
          <w:rFonts w:ascii="Arial" w:cs="Arial" w:eastAsia="Arial" w:hAnsi="Arial"/>
          <w:b/>
          <w:bCs/>
          <w:color w:val="000000"/>
          <w:sz w:val="22"/>
          <w:szCs w:val="22"/>
        </w:rPr>
        <w:t xml:space="preserve">Save resolution</w:t>
      </w:r>
      <w:r>
        <w:rPr>
          <w:rFonts w:ascii="Arial" w:cs="Arial" w:eastAsia="Arial" w:hAnsi="Arial"/>
          <w:color w:val="000000"/>
          <w:sz w:val="22"/>
          <w:szCs w:val="22"/>
        </w:rPr>
        <w:t xml:space="preserve"> and then </w:t>
      </w:r>
      <w:r>
        <w:rPr>
          <w:rFonts w:ascii="Arial" w:cs="Arial" w:eastAsia="Arial" w:hAnsi="Arial"/>
          <w:b/>
          <w:bCs/>
          <w:color w:val="000000"/>
          <w:sz w:val="22"/>
          <w:szCs w:val="22"/>
        </w:rPr>
        <w:t xml:space="preserve">Resolve</w:t>
      </w:r>
      <w:r>
        <w:rPr>
          <w:rFonts w:ascii="Arial" w:cs="Arial" w:eastAsia="Arial" w:hAnsi="Arial"/>
          <w:color w:val="000000"/>
          <w:sz w:val="22"/>
          <w:szCs w:val="22"/>
        </w:rPr>
        <w:t xml:space="preserve"> with confirmation, the incident moved to the </w:t>
      </w:r>
      <w:r>
        <w:rPr>
          <w:rFonts w:ascii="Arial" w:cs="Arial" w:eastAsia="Arial" w:hAnsi="Arial"/>
          <w:b/>
          <w:bCs/>
          <w:color w:val="000000"/>
          <w:sz w:val="22"/>
          <w:szCs w:val="22"/>
        </w:rPr>
        <w:t xml:space="preserve">Resolved</w:t>
      </w:r>
      <w:r>
        <w:rPr>
          <w:rFonts w:ascii="Arial" w:cs="Arial" w:eastAsia="Arial" w:hAnsi="Arial"/>
          <w:color w:val="000000"/>
          <w:sz w:val="22"/>
          <w:szCs w:val="22"/>
        </w:rPr>
        <w:t xml:space="preserve"> state.</w:t>
      </w:r>
    </w:p>
    <w:p>
      <w:pPr>
        <w:pStyle w:val="Heading2"/>
        <w:spacing w:after="80" w:before="200"/>
      </w:pPr>
      <w:r>
        <w:rPr>
          <w:rFonts w:ascii="Arial" w:cs="Arial" w:eastAsia="Arial" w:hAnsi="Arial"/>
          <w:b/>
          <w:bCs/>
          <w:color w:val="000000"/>
          <w:sz w:val="23"/>
          <w:szCs w:val="23"/>
        </w:rPr>
        <w:t xml:space="preserve">Key outcomes</w:t>
      </w:r>
    </w:p>
    <w:p>
      <w:pPr>
        <w:pStyle w:val="ListParagraph"/>
        <w:numPr>
          <w:ilvl w:val="0"/>
          <w:numId w:val="2"/>
        </w:numPr>
        <w:spacing w:after="70" w:line="276"/>
      </w:pPr>
      <w:r>
        <w:rPr>
          <w:rFonts w:ascii="Arial" w:cs="Arial" w:eastAsia="Arial" w:hAnsi="Arial"/>
          <w:b/>
          <w:bCs/>
          <w:color w:val="000000"/>
          <w:sz w:val="22"/>
          <w:szCs w:val="22"/>
        </w:rPr>
        <w:t xml:space="preserve">Root cause</w:t>
      </w:r>
      <w:r>
        <w:rPr>
          <w:rFonts w:ascii="Arial" w:cs="Arial" w:eastAsia="Arial" w:hAnsi="Arial"/>
          <w:color w:val="000000"/>
          <w:sz w:val="22"/>
          <w:szCs w:val="22"/>
        </w:rPr>
        <w:t xml:space="preserve"> documented: PowerEdge service was suspended and required restart.</w:t>
      </w:r>
    </w:p>
    <w:p>
      <w:pPr>
        <w:pStyle w:val="ListParagraph"/>
        <w:numPr>
          <w:ilvl w:val="0"/>
          <w:numId w:val="2"/>
        </w:numPr>
        <w:spacing w:after="70" w:line="276"/>
      </w:pPr>
      <w:r>
        <w:rPr>
          <w:rFonts w:ascii="Arial" w:cs="Arial" w:eastAsia="Arial" w:hAnsi="Arial"/>
          <w:b/>
          <w:bCs/>
          <w:color w:val="000000"/>
          <w:sz w:val="22"/>
          <w:szCs w:val="22"/>
        </w:rPr>
        <w:t xml:space="preserve">Resolution</w:t>
      </w:r>
      <w:r>
        <w:rPr>
          <w:rFonts w:ascii="Arial" w:cs="Arial" w:eastAsia="Arial" w:hAnsi="Arial"/>
          <w:color w:val="000000"/>
          <w:sz w:val="22"/>
          <w:szCs w:val="22"/>
        </w:rPr>
        <w:t xml:space="preserve"> documented: Workaround provided; VPN-SRV-02 service restarted as per the emergency change request.</w:t>
      </w:r>
    </w:p>
    <w:p>
      <w:pPr>
        <w:pStyle w:val="ListParagraph"/>
        <w:numPr>
          <w:ilvl w:val="0"/>
          <w:numId w:val="2"/>
        </w:numPr>
        <w:spacing w:after="70" w:line="276"/>
      </w:pPr>
      <w:r>
        <w:rPr>
          <w:rFonts w:ascii="Arial" w:cs="Arial" w:eastAsia="Arial" w:hAnsi="Arial"/>
          <w:color w:val="000000"/>
          <w:sz w:val="22"/>
          <w:szCs w:val="22"/>
        </w:rPr>
        <w:t xml:space="preserve">Incident state changed from </w:t>
      </w:r>
      <w:r>
        <w:rPr>
          <w:rFonts w:ascii="Arial" w:cs="Arial" w:eastAsia="Arial" w:hAnsi="Arial"/>
          <w:b/>
          <w:bCs/>
          <w:color w:val="000000"/>
          <w:sz w:val="22"/>
          <w:szCs w:val="22"/>
        </w:rPr>
        <w:t xml:space="preserve">On Hold</w:t>
      </w:r>
      <w:r>
        <w:rPr>
          <w:rFonts w:ascii="Arial" w:cs="Arial" w:eastAsia="Arial" w:hAnsi="Arial"/>
          <w:color w:val="000000"/>
          <w:sz w:val="22"/>
          <w:szCs w:val="22"/>
        </w:rPr>
        <w:t xml:space="preserve"> to </w:t>
      </w:r>
      <w:r>
        <w:rPr>
          <w:rFonts w:ascii="Arial" w:cs="Arial" w:eastAsia="Arial" w:hAnsi="Arial"/>
          <w:b/>
          <w:bCs/>
          <w:color w:val="000000"/>
          <w:sz w:val="22"/>
          <w:szCs w:val="22"/>
        </w:rPr>
        <w:t xml:space="preserve">Resolved</w:t>
      </w:r>
      <w:r>
        <w:rPr>
          <w:rFonts w:ascii="Arial" w:cs="Arial" w:eastAsia="Arial" w:hAnsi="Arial"/>
          <w:color w:val="000000"/>
          <w:sz w:val="22"/>
          <w:szCs w:val="22"/>
        </w:rPr>
        <w:t xml:space="preserve">, recorded in the Activity log.</w:t>
      </w:r>
    </w:p>
    <w:p>
      <w:pPr>
        <w:pStyle w:val="Heading1"/>
        <w:pBdr>
          <w:bottom w:val="single" w:color="000000" w:sz="8" w:space="2"/>
        </w:pBdr>
        <w:spacing w:after="140" w:before="320"/>
      </w:pPr>
      <w:r>
        <w:rPr>
          <w:rFonts w:ascii="Arial" w:cs="Arial" w:eastAsia="Arial" w:hAnsi="Arial"/>
          <w:b/>
          <w:bCs/>
          <w:color w:val="000000"/>
          <w:sz w:val="28"/>
          <w:szCs w:val="28"/>
        </w:rPr>
        <w:t xml:space="preserve">2. Step-by-Step Implementation Details (Phase 10)</w:t>
      </w:r>
    </w:p>
    <w:p>
      <w:pPr>
        <w:pStyle w:val="Heading2"/>
        <w:spacing w:after="80" w:before="200"/>
      </w:pPr>
      <w:r>
        <w:rPr>
          <w:rFonts w:ascii="Arial" w:cs="Arial" w:eastAsia="Arial" w:hAnsi="Arial"/>
          <w:b/>
          <w:bCs/>
          <w:color w:val="000000"/>
          <w:sz w:val="23"/>
          <w:szCs w:val="23"/>
        </w:rPr>
        <w:t xml:space="preserve">Task 1: Add Cause</w:t>
      </w:r>
    </w:p>
    <w:p>
      <w:pPr>
        <w:pStyle w:val="ListParagraph"/>
        <w:numPr>
          <w:ilvl w:val="0"/>
          <w:numId w:val="2"/>
        </w:numPr>
        <w:spacing w:after="70" w:line="276"/>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Navigated to the Overview tab of incident record INC0010001 in Service Operations Workspace.</w:t>
      </w:r>
    </w:p>
    <w:p>
      <w:pPr>
        <w:pStyle w:val="ListParagraph"/>
        <w:numPr>
          <w:ilvl w:val="0"/>
          <w:numId w:val="2"/>
        </w:numPr>
        <w:spacing w:after="70" w:line="276"/>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Configured the Probable Cause: “PowerEdge service was suspended and required restart.”</w:t>
      </w:r>
    </w:p>
    <w:p>
      <w:pPr>
        <w:pStyle w:val="ListParagraph"/>
        <w:numPr>
          <w:ilvl w:val="0"/>
          <w:numId w:val="2"/>
        </w:numPr>
        <w:spacing w:after="70" w:line="276"/>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Saved the record updates.</w:t>
      </w:r>
    </w:p>
    <w:p>
      <w:pPr>
        <w:pStyle w:val="Heading2"/>
        <w:spacing w:after="80" w:before="200"/>
      </w:pPr>
      <w:r>
        <w:rPr>
          <w:rFonts w:ascii="Arial" w:cs="Arial" w:eastAsia="Arial" w:hAnsi="Arial"/>
          <w:b/>
          <w:bCs/>
          <w:color w:val="000000"/>
          <w:sz w:val="23"/>
          <w:szCs w:val="23"/>
        </w:rPr>
        <w:t xml:space="preserve">Task 2: Add Resolution</w:t>
      </w:r>
    </w:p>
    <w:p>
      <w:pPr>
        <w:pStyle w:val="ListParagraph"/>
        <w:numPr>
          <w:ilvl w:val="0"/>
          <w:numId w:val="2"/>
        </w:numPr>
        <w:spacing w:after="70" w:line="276"/>
      </w:pPr>
      <w:r>
        <w:rPr>
          <w:rFonts w:ascii="Arial" w:cs="Arial" w:eastAsia="Arial" w:hAnsi="Arial"/>
          <w:b/>
          <w:bCs/>
          <w:color w:val="000000"/>
          <w:sz w:val="22"/>
          <w:szCs w:val="22"/>
        </w:rPr>
        <w:t xml:space="preserve">Step 1: </w:t>
      </w:r>
      <w:r>
        <w:rPr>
          <w:rFonts w:ascii="Arial" w:cs="Arial" w:eastAsia="Arial" w:hAnsi="Arial"/>
          <w:color w:val="000000"/>
          <w:sz w:val="22"/>
          <w:szCs w:val="22"/>
        </w:rPr>
        <w:t xml:space="preserve">Navigated to the Resolution tab/section of the incident form.</w:t>
      </w:r>
    </w:p>
    <w:p>
      <w:pPr>
        <w:pStyle w:val="ListParagraph"/>
        <w:numPr>
          <w:ilvl w:val="0"/>
          <w:numId w:val="2"/>
        </w:numPr>
        <w:spacing w:after="70" w:line="276"/>
      </w:pPr>
      <w:r>
        <w:rPr>
          <w:rFonts w:ascii="Arial" w:cs="Arial" w:eastAsia="Arial" w:hAnsi="Arial"/>
          <w:b/>
          <w:bCs/>
          <w:color w:val="000000"/>
          <w:sz w:val="22"/>
          <w:szCs w:val="22"/>
        </w:rPr>
        <w:t xml:space="preserve">Step 2: </w:t>
      </w:r>
      <w:r>
        <w:rPr>
          <w:rFonts w:ascii="Arial" w:cs="Arial" w:eastAsia="Arial" w:hAnsi="Arial"/>
          <w:color w:val="000000"/>
          <w:sz w:val="22"/>
          <w:szCs w:val="22"/>
        </w:rPr>
        <w:t xml:space="preserve">Configured the Resolution Code: Workaround provided.</w:t>
      </w:r>
    </w:p>
    <w:p>
      <w:pPr>
        <w:pStyle w:val="ListParagraph"/>
        <w:numPr>
          <w:ilvl w:val="0"/>
          <w:numId w:val="2"/>
        </w:numPr>
        <w:spacing w:after="70" w:line="276"/>
      </w:pPr>
      <w:r>
        <w:rPr>
          <w:rFonts w:ascii="Arial" w:cs="Arial" w:eastAsia="Arial" w:hAnsi="Arial"/>
          <w:b/>
          <w:bCs/>
          <w:color w:val="000000"/>
          <w:sz w:val="22"/>
          <w:szCs w:val="22"/>
        </w:rPr>
        <w:t xml:space="preserve">Step 3: </w:t>
      </w:r>
      <w:r>
        <w:rPr>
          <w:rFonts w:ascii="Arial" w:cs="Arial" w:eastAsia="Arial" w:hAnsi="Arial"/>
          <w:color w:val="000000"/>
          <w:sz w:val="22"/>
          <w:szCs w:val="22"/>
        </w:rPr>
        <w:t xml:space="preserve">Entered the Resolution Notes: “Restarted VPN-SRV-02 service as per emergency change request.”</w:t>
      </w:r>
    </w:p>
    <w:p>
      <w:pPr>
        <w:pStyle w:val="ListParagraph"/>
        <w:numPr>
          <w:ilvl w:val="0"/>
          <w:numId w:val="2"/>
        </w:numPr>
        <w:spacing w:after="70" w:line="276"/>
      </w:pPr>
      <w:r>
        <w:rPr>
          <w:rFonts w:ascii="Arial" w:cs="Arial" w:eastAsia="Arial" w:hAnsi="Arial"/>
          <w:b/>
          <w:bCs/>
          <w:color w:val="000000"/>
          <w:sz w:val="22"/>
          <w:szCs w:val="22"/>
        </w:rPr>
        <w:t xml:space="preserve">Step 4: </w:t>
      </w:r>
      <w:r>
        <w:rPr>
          <w:rFonts w:ascii="Arial" w:cs="Arial" w:eastAsia="Arial" w:hAnsi="Arial"/>
          <w:color w:val="000000"/>
          <w:sz w:val="22"/>
          <w:szCs w:val="22"/>
        </w:rPr>
        <w:t xml:space="preserve">Clicked Save resolution.</w:t>
      </w:r>
    </w:p>
    <w:p>
      <w:pPr>
        <w:pStyle w:val="ListParagraph"/>
        <w:numPr>
          <w:ilvl w:val="0"/>
          <w:numId w:val="2"/>
        </w:numPr>
        <w:spacing w:after="70" w:line="276"/>
      </w:pPr>
      <w:r>
        <w:rPr>
          <w:rFonts w:ascii="Arial" w:cs="Arial" w:eastAsia="Arial" w:hAnsi="Arial"/>
          <w:b/>
          <w:bCs/>
          <w:color w:val="000000"/>
          <w:sz w:val="22"/>
          <w:szCs w:val="22"/>
        </w:rPr>
        <w:t xml:space="preserve">Step 5: </w:t>
      </w:r>
      <w:r>
        <w:rPr>
          <w:rFonts w:ascii="Arial" w:cs="Arial" w:eastAsia="Arial" w:hAnsi="Arial"/>
          <w:color w:val="000000"/>
          <w:sz w:val="22"/>
          <w:szCs w:val="22"/>
        </w:rPr>
        <w:t xml:space="preserve">Clicked the Resolve button in the workspace header.</w:t>
      </w:r>
    </w:p>
    <w:p>
      <w:pPr>
        <w:pStyle w:val="ListParagraph"/>
        <w:numPr>
          <w:ilvl w:val="0"/>
          <w:numId w:val="2"/>
        </w:numPr>
        <w:spacing w:after="70" w:line="276"/>
      </w:pPr>
      <w:r>
        <w:rPr>
          <w:rFonts w:ascii="Arial" w:cs="Arial" w:eastAsia="Arial" w:hAnsi="Arial"/>
          <w:b/>
          <w:bCs/>
          <w:color w:val="000000"/>
          <w:sz w:val="22"/>
          <w:szCs w:val="22"/>
        </w:rPr>
        <w:t xml:space="preserve">Step 6: </w:t>
      </w:r>
      <w:r>
        <w:rPr>
          <w:rFonts w:ascii="Arial" w:cs="Arial" w:eastAsia="Arial" w:hAnsi="Arial"/>
          <w:color w:val="000000"/>
          <w:sz w:val="22"/>
          <w:szCs w:val="22"/>
        </w:rPr>
        <w:t xml:space="preserve">Confirmed the modal popup prompt by clicking Resolve to formally set the incident state to Resolved.</w:t>
      </w:r>
    </w:p>
    <w:p>
      <w:pPr>
        <w:pStyle w:val="Heading2"/>
        <w:spacing w:after="80" w:before="200"/>
      </w:pPr>
      <w:r>
        <w:rPr>
          <w:rFonts w:ascii="Arial" w:cs="Arial" w:eastAsia="Arial" w:hAnsi="Arial"/>
          <w:b/>
          <w:bCs/>
          <w:color w:val="000000"/>
          <w:sz w:val="23"/>
          <w:szCs w:val="23"/>
        </w:rPr>
        <w:t xml:space="preserve">Screenshot – Cause and Resolution on the Overview tab</w:t>
      </w:r>
    </w:p>
    <w:p>
      <w:pPr>
        <w:keepNext/>
        <w:spacing w:after="60" w:before="120"/>
        <w:jc w:val="center"/>
      </w:pPr>
      <w:r>
        <w:drawing>
          <wp:inline distT="0" distB="0" distL="0" distR="0">
            <wp:extent cx="5905500" cy="2990850"/>
            <wp:effectExtent t="0" r="0" b="0" l="0"/>
            <wp:docPr id="1" name="shot" descr="ServiceNow incident Details tab"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90850"/>
                    </a:xfrm>
                    <a:prstGeom prst="rect">
                      <a:avLst/>
                    </a:prstGeom>
                  </pic:spPr>
                </pic:pic>
              </a:graphicData>
            </a:graphic>
          </wp:inline>
        </w:drawing>
      </w:r>
    </w:p>
    <w:p>
      <w:pPr>
        <w:spacing w:after="200"/>
        <w:jc w:val="center"/>
      </w:pPr>
      <w:r>
        <w:rPr>
          <w:rFonts w:ascii="Arial" w:cs="Arial" w:eastAsia="Arial" w:hAnsi="Arial"/>
          <w:i/>
          <w:iCs/>
          <w:color w:val="000000"/>
          <w:sz w:val="19"/>
          <w:szCs w:val="19"/>
        </w:rPr>
        <w:t xml:space="preserve">Figure 1: INC0010001 Overview tab showing Cause (probable cause), Resolution (code: Workaround provided, with resolution notes) and the Activity entry “Incident state: Resolved was On Hold”.</w:t>
      </w:r>
    </w:p>
    <w:p>
      <w:pPr>
        <w:pStyle w:val="Heading1"/>
        <w:pBdr>
          <w:bottom w:val="single" w:color="000000" w:sz="8" w:space="2"/>
        </w:pBdr>
        <w:spacing w:after="140" w:before="320"/>
      </w:pPr>
      <w:r>
        <w:rPr>
          <w:rFonts w:ascii="Arial" w:cs="Arial" w:eastAsia="Arial" w:hAnsi="Arial"/>
          <w:b/>
          <w:bCs/>
          <w:color w:val="000000"/>
          <w:sz w:val="28"/>
          <w:szCs w:val="28"/>
        </w:rPr>
        <w:t xml:space="preserve">3. Business Impact &amp; ITIL Best Practices</w:t>
      </w:r>
    </w:p>
    <w:p>
      <w:pPr>
        <w:spacing w:after="120" w:line="276"/>
      </w:pPr>
      <w:r>
        <w:rPr>
          <w:rFonts w:ascii="Arial" w:cs="Arial" w:eastAsia="Arial" w:hAnsi="Arial"/>
          <w:color w:val="000000"/>
          <w:sz w:val="22"/>
          <w:szCs w:val="22"/>
        </w:rPr>
        <w:t xml:space="preserve">Documenting both why an incident happened and how it was fixed is central to ITIL incident and problem management.</w:t>
      </w:r>
    </w:p>
    <w:p>
      <w:pPr>
        <w:pStyle w:val="ListParagraph"/>
        <w:numPr>
          <w:ilvl w:val="0"/>
          <w:numId w:val="2"/>
        </w:numPr>
        <w:spacing w:after="70" w:line="276"/>
      </w:pPr>
      <w:r>
        <w:rPr>
          <w:rFonts w:ascii="Arial" w:cs="Arial" w:eastAsia="Arial" w:hAnsi="Arial"/>
          <w:b/>
          <w:bCs/>
          <w:color w:val="000000"/>
          <w:sz w:val="22"/>
          <w:szCs w:val="22"/>
        </w:rPr>
        <w:t xml:space="preserve">Complete incident transparency: </w:t>
      </w:r>
      <w:r>
        <w:rPr>
          <w:rFonts w:ascii="Arial" w:cs="Arial" w:eastAsia="Arial" w:hAnsi="Arial"/>
          <w:color w:val="000000"/>
          <w:sz w:val="22"/>
          <w:szCs w:val="22"/>
        </w:rPr>
        <w:t xml:space="preserve">Recording the probable cause together with the resolution code and notes gives anyone reading the ticket the full story, from symptom through cause to fix.</w:t>
      </w:r>
    </w:p>
    <w:p>
      <w:pPr>
        <w:pStyle w:val="ListParagraph"/>
        <w:numPr>
          <w:ilvl w:val="0"/>
          <w:numId w:val="2"/>
        </w:numPr>
        <w:spacing w:after="70" w:line="276"/>
      </w:pPr>
      <w:r>
        <w:rPr>
          <w:rFonts w:ascii="Arial" w:cs="Arial" w:eastAsia="Arial" w:hAnsi="Arial"/>
          <w:b/>
          <w:bCs/>
          <w:color w:val="000000"/>
          <w:sz w:val="22"/>
          <w:szCs w:val="22"/>
        </w:rPr>
        <w:t xml:space="preserve">SLA compliance metrics: </w:t>
      </w:r>
      <w:r>
        <w:rPr>
          <w:rFonts w:ascii="Arial" w:cs="Arial" w:eastAsia="Arial" w:hAnsi="Arial"/>
          <w:color w:val="000000"/>
          <w:sz w:val="22"/>
          <w:szCs w:val="22"/>
        </w:rPr>
        <w:t xml:space="preserve">Moving the incident to Resolved through the proper workflow stops the resolution clock at the right time and provides the data needed to report on SLA performance.</w:t>
      </w:r>
    </w:p>
    <w:p>
      <w:pPr>
        <w:pStyle w:val="ListParagraph"/>
        <w:numPr>
          <w:ilvl w:val="0"/>
          <w:numId w:val="2"/>
        </w:numPr>
        <w:spacing w:after="70" w:line="276"/>
      </w:pPr>
      <w:r>
        <w:rPr>
          <w:rFonts w:ascii="Arial" w:cs="Arial" w:eastAsia="Arial" w:hAnsi="Arial"/>
          <w:b/>
          <w:bCs/>
          <w:color w:val="000000"/>
          <w:sz w:val="22"/>
          <w:szCs w:val="22"/>
        </w:rPr>
        <w:t xml:space="preserve">Knowledge Base population: </w:t>
      </w:r>
      <w:r>
        <w:rPr>
          <w:rFonts w:ascii="Arial" w:cs="Arial" w:eastAsia="Arial" w:hAnsi="Arial"/>
          <w:color w:val="000000"/>
          <w:sz w:val="22"/>
          <w:szCs w:val="22"/>
        </w:rPr>
        <w:t xml:space="preserve">Structured cause and resolution notes can be turned into knowledge articles (the workspace’s Edit knowledge action supports this), so similar future incidents can be triaged and resolved faster, including by automation.</w:t>
      </w:r>
    </w:p>
    <w:p>
      <w:pPr>
        <w:pStyle w:val="ListParagraph"/>
        <w:numPr>
          <w:ilvl w:val="0"/>
          <w:numId w:val="2"/>
        </w:numPr>
        <w:spacing w:after="70" w:line="276"/>
      </w:pPr>
      <w:r>
        <w:rPr>
          <w:rFonts w:ascii="Arial" w:cs="Arial" w:eastAsia="Arial" w:hAnsi="Arial"/>
          <w:b/>
          <w:bCs/>
          <w:color w:val="000000"/>
          <w:sz w:val="22"/>
          <w:szCs w:val="22"/>
        </w:rPr>
        <w:t xml:space="preserve">Problem management input: </w:t>
      </w:r>
      <w:r>
        <w:rPr>
          <w:rFonts w:ascii="Arial" w:cs="Arial" w:eastAsia="Arial" w:hAnsi="Arial"/>
          <w:color w:val="000000"/>
          <w:sz w:val="22"/>
          <w:szCs w:val="22"/>
        </w:rPr>
        <w:t xml:space="preserve">A documented root cause helps identify recurring issues, such as a service that repeatedly stops, so that permanent fixes can be raised.</w:t>
      </w:r>
    </w:p>
    <w:p>
      <w:pPr>
        <w:pStyle w:val="ListParagraph"/>
        <w:numPr>
          <w:ilvl w:val="0"/>
          <w:numId w:val="2"/>
        </w:numPr>
        <w:spacing w:after="70" w:line="276"/>
      </w:pPr>
      <w:r>
        <w:rPr>
          <w:rFonts w:ascii="Arial" w:cs="Arial" w:eastAsia="Arial" w:hAnsi="Arial"/>
          <w:b/>
          <w:bCs/>
          <w:color w:val="000000"/>
          <w:sz w:val="22"/>
          <w:szCs w:val="22"/>
        </w:rPr>
        <w:t xml:space="preserve">Controlled closure: </w:t>
      </w:r>
      <w:r>
        <w:rPr>
          <w:rFonts w:ascii="Arial" w:cs="Arial" w:eastAsia="Arial" w:hAnsi="Arial"/>
          <w:color w:val="000000"/>
          <w:sz w:val="22"/>
          <w:szCs w:val="22"/>
        </w:rPr>
        <w:t xml:space="preserve">Requiring Save resolution and a confirmation step before Resolve prevents accidental or incomplete resolutions.</w:t>
      </w:r>
    </w:p>
    <w:p>
      <w:pPr>
        <w:pStyle w:val="ListParagraph"/>
        <w:numPr>
          <w:ilvl w:val="0"/>
          <w:numId w:val="2"/>
        </w:numPr>
        <w:spacing w:after="70" w:line="276"/>
      </w:pPr>
      <w:r>
        <w:rPr>
          <w:rFonts w:ascii="Arial" w:cs="Arial" w:eastAsia="Arial" w:hAnsi="Arial"/>
          <w:b/>
          <w:bCs/>
          <w:color w:val="000000"/>
          <w:sz w:val="22"/>
          <w:szCs w:val="22"/>
        </w:rPr>
        <w:t xml:space="preserve">Audit trail: </w:t>
      </w:r>
      <w:r>
        <w:rPr>
          <w:rFonts w:ascii="Arial" w:cs="Arial" w:eastAsia="Arial" w:hAnsi="Arial"/>
          <w:color w:val="000000"/>
          <w:sz w:val="22"/>
          <w:szCs w:val="22"/>
        </w:rPr>
        <w:t xml:space="preserve">The state change from On Hold to Resolved is logged in the Activity feed with the user and timestamp.</w:t>
      </w:r>
    </w:p>
    <w:p>
      <w:pPr>
        <w:pStyle w:val="Heading1"/>
        <w:pageBreakBefore/>
        <w:pBdr>
          <w:bottom w:val="single" w:color="000000" w:sz="8" w:space="2"/>
        </w:pBdr>
        <w:spacing w:after="140" w:before="0"/>
      </w:pPr>
      <w:r>
        <w:rPr>
          <w:rFonts w:ascii="Arial" w:cs="Arial" w:eastAsia="Arial" w:hAnsi="Arial"/>
          <w:b/>
          <w:bCs/>
          <w:color w:val="000000"/>
          <w:sz w:val="28"/>
          <w:szCs w:val="28"/>
        </w:rPr>
        <w:t xml:space="preserve">4. Combined Configuration &amp; Verification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946"/>
        <w:gridCol w:w="11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Section / Sub-task</w:t>
            </w:r>
          </w:p>
        </w:tc>
        <w:tc>
          <w:tcPr>
            <w:tcW w:type="dxa" w:w="27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Field Name / Navigation</w:t>
            </w:r>
          </w:p>
        </w:tc>
        <w:tc>
          <w:tcPr>
            <w:tcW w:type="dxa" w:w="3946"/>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left"/>
            </w:pPr>
            <w:r>
              <w:rPr>
                <w:rFonts w:ascii="Arial" w:cs="Arial" w:eastAsia="Arial" w:hAnsi="Arial"/>
                <w:b/>
                <w:bCs/>
                <w:color w:val="000000"/>
                <w:sz w:val="19"/>
                <w:szCs w:val="19"/>
              </w:rPr>
              <w:t xml:space="preserve">Parameter / Value Entered</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Execution Status (Pass/Fail)</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1 – Add Cause</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Navigation</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Overview tab of INC0010001 in Service Operations Workspace</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1 – Add Cause</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Probable cause</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PowerEdge service was suspended and required restart.</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1 – Add Cause</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Save</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Record updates saved</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2 – Add Resolution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Navigation</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Resolution section of the incident form</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2 – Add Resolution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Resolution code</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Workaround provided</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2 – Add Resolution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Resolution notes</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Restarted VPN-SRV-02 service as per emergency change request.</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2 – Add Resolution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Save resolution (button)</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Resolution details saved</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2 – Add Resolution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Resolve (header button)</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Resolve clicked in the workspace header</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Task 2 – Add Resolution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Resolve (modal popup)</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Confirmed; incident state set to Resolved</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r>
        <w:trPr>
          <w:cantSplit/>
          <w:tblHeader w:val="false"/>
        </w:trPr>
        <w:tc>
          <w:tcPr>
            <w:tcW w:type="dxa" w:w="20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Verification</w:t>
            </w:r>
          </w:p>
        </w:tc>
        <w:tc>
          <w:tcPr>
            <w:tcW w:type="dxa" w:w="27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Activity log</w:t>
            </w:r>
          </w:p>
        </w:tc>
        <w:tc>
          <w:tcPr>
            <w:tcW w:type="dxa" w:w="3946"/>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left"/>
            </w:pPr>
            <w:r>
              <w:rPr>
                <w:rFonts w:ascii="Arial" w:cs="Arial" w:eastAsia="Arial" w:hAnsi="Arial"/>
                <w:b w:val="false"/>
                <w:bCs w:val="false"/>
                <w:color w:val="000000"/>
                <w:sz w:val="19"/>
                <w:szCs w:val="19"/>
              </w:rPr>
              <w:t xml:space="preserve">Incident state: Resolved was On Hold</w:t>
            </w:r>
          </w:p>
        </w:tc>
        <w:tc>
          <w:tcPr>
            <w:tcW w:type="dxa" w:w="1100"/>
            <w:tcBorders>
              <w:top w:val="single" w:color="000000" w:sz="4"/>
              <w:left w:val="single" w:color="000000" w:sz="4"/>
              <w:bottom w:val="single" w:color="000000" w:sz="4"/>
              <w:right w:val="single" w:color="000000" w:sz="4"/>
            </w:tcBorders>
            <w:shd w:fill="FFFFFF" w:color="auto" w:val="clear"/>
            <w:tcMar>
              <w:top w:type="dxa" w:w="70"/>
              <w:left w:type="dxa" w:w="90"/>
              <w:bottom w:type="dxa" w:w="70"/>
              <w:right w:type="dxa" w:w="90"/>
            </w:tcMar>
          </w:tcPr>
          <w:p>
            <w:pPr>
              <w:jc w:val="center"/>
            </w:pPr>
            <w:r>
              <w:rPr>
                <w:rFonts w:ascii="Arial" w:cs="Arial" w:eastAsia="Arial" w:hAnsi="Arial"/>
                <w:b/>
                <w:bCs/>
                <w:color w:val="000000"/>
                <w:sz w:val="19"/>
                <w:szCs w:val="19"/>
              </w:rPr>
              <w:t xml:space="preserve">Pass</w:t>
            </w:r>
          </w:p>
        </w:tc>
      </w:tr>
    </w:tbl>
    <w:p>
      <w:pPr>
        <w:spacing w:after="120" w:before="200"/>
      </w:pPr>
      <w:r>
        <w:rPr>
          <w:rFonts w:ascii="Arial" w:cs="Arial" w:eastAsia="Arial" w:hAnsi="Arial"/>
          <w:b/>
          <w:bCs/>
          <w:color w:val="000000"/>
          <w:sz w:val="22"/>
          <w:szCs w:val="22"/>
        </w:rPr>
        <w:t xml:space="preserve">Summary: </w:t>
      </w:r>
      <w:r>
        <w:rPr>
          <w:rFonts w:ascii="Arial" w:cs="Arial" w:eastAsia="Arial" w:hAnsi="Arial"/>
          <w:color w:val="000000"/>
          <w:sz w:val="22"/>
          <w:szCs w:val="22"/>
        </w:rPr>
        <w:t xml:space="preserve">All Phase 10 cause and resolution steps were executed and verified. INC0010001 is in the Resolved state.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7"/>
        <w:szCs w:val="17"/>
      </w:rPr>
      <w:t xml:space="preserve">Incident Lifecycle Automation in ServiceNow  |  Phase 10  |  Page </w:t>
    </w:r>
    <w:r>
      <w:rPr>
        <w:rFonts w:ascii="Arial" w:cs="Arial" w:eastAsia="Arial" w:hAnsi="Arial"/>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bf7bb453b640210e2bb35c1caab112053424c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2026-10-22T16:50:21.089Z</dcterms:created>
  <dcterms:modified xsi:type="dcterms:W3CDTF">2026-10-22T16:50:21.093Z</dcterms:modified>
</cp:coreProperties>
</file>

<file path=docProps/custom.xml><?xml version="1.0" encoding="utf-8"?>
<Properties xmlns="http://schemas.openxmlformats.org/officeDocument/2006/custom-properties" xmlns:vt="http://schemas.openxmlformats.org/officeDocument/2006/docPropsVTypes"/>
</file>