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000000"/>
          <w:sz w:val="38"/>
          <w:szCs w:val="38"/>
        </w:rPr>
        <w:t xml:space="preserve">Phase 6: Reassignment &amp; Escalation Document</w:t>
      </w:r>
    </w:p>
    <w:p>
      <w:pPr>
        <w:spacing w:after="240"/>
        <w:jc w:val="center"/>
      </w:pPr>
      <w:r>
        <w:rPr>
          <w:rFonts w:ascii="Arial" w:cs="Arial" w:eastAsia="Arial" w:hAnsi="Arial"/>
          <w:color w:val="000000"/>
          <w:sz w:val="26"/>
          <w:szCs w:val="26"/>
        </w:rPr>
        <w:t xml:space="preserve">Incident Lifecycle Automation in ServiceNow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146"/>
      </w:tblGrid>
      <w:tr>
        <w:trPr>
          <w:cantSplit/>
          <w:tblHeader/>
        </w:trP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Field</w:t>
            </w:r>
          </w:p>
        </w:tc>
        <w:tc>
          <w:tcPr>
            <w:tcW w:type="dxa" w:w="714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Details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Project Name</w:t>
            </w:r>
          </w:p>
        </w:tc>
        <w:tc>
          <w:tcPr>
            <w:tcW w:type="dxa" w:w="714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Incident Lifecycle Automation in ServiceNow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Team ID</w:t>
            </w:r>
          </w:p>
        </w:tc>
        <w:tc>
          <w:tcPr>
            <w:tcW w:type="dxa" w:w="714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Individual participant – 324103312L29@gvpce.ac.in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Current Task</w:t>
            </w:r>
          </w:p>
        </w:tc>
        <w:tc>
          <w:tcPr>
            <w:tcW w:type="dxa" w:w="714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Phase 6 – Reassignment &amp; Escalation (Watch List Update &amp; Ticket Reassignment)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Platform</w:t>
            </w:r>
          </w:p>
        </w:tc>
        <w:tc>
          <w:tcPr>
            <w:tcW w:type="dxa" w:w="714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ServiceNow – Service Operations Workspace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Incident Record</w:t>
            </w:r>
          </w:p>
        </w:tc>
        <w:tc>
          <w:tcPr>
            <w:tcW w:type="dxa" w:w="714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INC0010001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Escalation Target</w:t>
            </w:r>
          </w:p>
        </w:tc>
        <w:tc>
          <w:tcPr>
            <w:tcW w:type="dxa" w:w="714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Network group (Level 2) – David Loo</w:t>
            </w:r>
          </w:p>
        </w:tc>
      </w:tr>
    </w:tbl>
    <w:p>
      <w:pPr>
        <w:pStyle w:val="Heading1"/>
        <w:pBdr>
          <w:bottom w:val="single" w:color="000000" w:sz="8" w:space="2"/>
        </w:pBdr>
        <w:spacing w:after="140" w:before="32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1. Task Overview &amp; Executive Summary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Objective: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Updating incident stakeholder visibility (</w:t>
      </w: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Watch List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 &amp; </w:t>
      </w: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Work Notes List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) and reassigning the incident to a </w:t>
      </w: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Level 2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 support team for advanced investigation and resolution.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Executive Summary: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With the incident classified (Phase 4) and supported by knowledge (Phase 5), this phase widens who can follow the ticket and moves it to the right specialists. </w:t>
      </w: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Samantha Bordwell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 was added to the </w:t>
      </w: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Watch list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 and </w:t>
      </w: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Beth Anglin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 to the </w:t>
      </w: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Work notes list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. The incident was then reassigned to the </w:t>
      </w: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Network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 group and to </w:t>
      </w: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David Loo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, with a work note explaining the escalation.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000000"/>
          <w:sz w:val="23"/>
          <w:szCs w:val="23"/>
        </w:rPr>
        <w:t xml:space="preserve">Key outcomes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Stakeholder </w:t>
      </w: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Samantha Bordwell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 receives automated updates through the Watch list.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Initial Service Desk agent </w:t>
      </w: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Beth Anglin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 stays informed of progress through the Work notes list.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Incident ownership moved to the </w:t>
      </w: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Network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 group (L2), assigned to </w:t>
      </w: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David Loo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Escalation reason recorded in the Work notes for audit purposes.</w:t>
      </w:r>
    </w:p>
    <w:p>
      <w:pPr>
        <w:pStyle w:val="Heading1"/>
        <w:pBdr>
          <w:bottom w:val="single" w:color="000000" w:sz="8" w:space="2"/>
        </w:pBdr>
        <w:spacing w:after="140" w:before="32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2. Step-by-Step Implementation Details (Phase 6)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000000"/>
          <w:sz w:val="23"/>
          <w:szCs w:val="23"/>
        </w:rPr>
        <w:t xml:space="preserve">Task 1: Watch List &amp; Work Notes List Update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Navigated to the Details tab of incident INC0010001 in Service Operations Workspace.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Added </w:t>
      </w: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Samantha Bordwell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 to the </w:t>
      </w: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Watch list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 to ensure stakeholder tracking and automated email updates.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Added </w:t>
      </w: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Beth Anglin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 to the </w:t>
      </w: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Work notes list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 to keep the initial Service Desk agent informed of resolution progress.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Saved the record.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000000"/>
          <w:sz w:val="23"/>
          <w:szCs w:val="23"/>
        </w:rPr>
        <w:t xml:space="preserve">Task 2: Reassignment to Level 2 Support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Cleared the current assignment fields in the Details tab.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Set </w:t>
      </w: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Assignment Group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 to: </w:t>
      </w: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Network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Set </w:t>
      </w: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Assigned to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: </w:t>
      </w: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David Loo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Added Work Note: “Reassigned incident to Network group for L2 investigation.”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Saved the incident record to complete the escalation.</w:t>
      </w:r>
    </w:p>
    <w:p>
      <w:pPr>
        <w:pStyle w:val="Heading1"/>
        <w:pBdr>
          <w:bottom w:val="single" w:color="000000" w:sz="8" w:space="2"/>
        </w:pBdr>
        <w:spacing w:after="140" w:before="32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3. Business Impact &amp; Stakeholder Communication</w:t>
      </w:r>
    </w:p>
    <w:p>
      <w:pPr>
        <w:spacing w:after="120" w:line="276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Controlling who is informed and who owns the ticket is central to effective escalation.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Cross-team transparency: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An active Watch list means interested stakeholders receive updates automatically, so they do not need to ask for status or be copied manually.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Continuity for the original agent: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Adding the Service Desk agent to the Work notes list preserves the context of the case and lets them follow the resolution and answer any follow-up from the caller.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Right skills, faster: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Reassigning to the specialized Network L2 team puts a VPN authentication problem in front of engineers who can diagnose it, preventing bottlenecks at Tier 1.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Optimized SLA performance: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Prompt escalation to the correct group helps meet Response and Resolution SLA targets and avoids breaches caused by tickets waiting in the wrong queue.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Clear accountability and audit trail: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A named assignee and a work note explaining the reason for reassignment make ownership unambiguous and the handoff traceable in the Activity log.</w:t>
      </w:r>
    </w:p>
    <w:p>
      <w:pPr>
        <w:pStyle w:val="Heading1"/>
        <w:pageBreakBefore/>
        <w:pBdr>
          <w:bottom w:val="single" w:color="000000" w:sz="8" w:space="2"/>
        </w:pBdr>
        <w:spacing w:after="140" w:before="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4. Configuration &amp; Verification Matrix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400"/>
        <w:gridCol w:w="3846"/>
        <w:gridCol w:w="1600"/>
      </w:tblGrid>
      <w:tr>
        <w:trPr>
          <w:cantSplit/>
          <w:tblHeader/>
        </w:trPr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Phase / Sub-task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Configuration Field</w:t>
            </w:r>
          </w:p>
        </w:tc>
        <w:tc>
          <w:tcPr>
            <w:tcW w:type="dxa" w:w="384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Updated Value / Action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Execution Status (Pass/Fail)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Task 1 – Watch List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Navigation</w:t>
            </w:r>
          </w:p>
        </w:tc>
        <w:tc>
          <w:tcPr>
            <w:tcW w:type="dxa" w:w="384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Incident INC0010001 &gt; Details tab (Service Operations Workspace)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Pass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Task 1 – Watch List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Watch list</w:t>
            </w:r>
          </w:p>
        </w:tc>
        <w:tc>
          <w:tcPr>
            <w:tcW w:type="dxa" w:w="384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Added Samantha Bordwell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Pass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Task 1 – Watch List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Work notes list</w:t>
            </w:r>
          </w:p>
        </w:tc>
        <w:tc>
          <w:tcPr>
            <w:tcW w:type="dxa" w:w="384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Added Beth Anglin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Pass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Task 1 – Watch List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Save</w:t>
            </w:r>
          </w:p>
        </w:tc>
        <w:tc>
          <w:tcPr>
            <w:tcW w:type="dxa" w:w="384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Record saved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Pass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Task 2 – Reassignment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Assignment fields</w:t>
            </w:r>
          </w:p>
        </w:tc>
        <w:tc>
          <w:tcPr>
            <w:tcW w:type="dxa" w:w="384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Cleared the current Assignment group and Assigned to values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Pass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Task 2 – Reassignment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Assignment group</w:t>
            </w:r>
          </w:p>
        </w:tc>
        <w:tc>
          <w:tcPr>
            <w:tcW w:type="dxa" w:w="384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Network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Pass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Task 2 – Reassignment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Assigned to</w:t>
            </w:r>
          </w:p>
        </w:tc>
        <w:tc>
          <w:tcPr>
            <w:tcW w:type="dxa" w:w="384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David Loo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Pass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Task 2 – Reassignment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Work notes</w:t>
            </w:r>
          </w:p>
        </w:tc>
        <w:tc>
          <w:tcPr>
            <w:tcW w:type="dxa" w:w="384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Reassigned incident to Network group for L2 investigation.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Pass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Task 2 – Reassignment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Save</w:t>
            </w:r>
          </w:p>
        </w:tc>
        <w:tc>
          <w:tcPr>
            <w:tcW w:type="dxa" w:w="384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Incident saved; escalation to L2 complete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Pass</w:t>
            </w:r>
          </w:p>
        </w:tc>
      </w:tr>
    </w:tbl>
    <w:p>
      <w:pPr>
        <w:spacing w:after="120" w:before="20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Summary: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All Phase 6 watch list updates and reassignment steps were executed and verified for INC0010001.</w:t>
      </w:r>
    </w:p>
    <w:sectPr>
      <w:footerReference w:type="default" r:id="rId7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000000"/>
        <w:sz w:val="17"/>
        <w:szCs w:val="17"/>
      </w:rPr>
      <w:t xml:space="preserve">Incident Lifecycle Automation in ServiceNow  |  Phase 6  |  Page </w:t>
    </w:r>
    <w:r>
      <w:rPr>
        <w:rFonts w:ascii="Arial" w:cs="Arial" w:eastAsia="Arial" w:hAnsi="Arial"/>
        <w:color w:val="000000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  <w:lvl w:ilvl="1" w15:tentative="1">
      <w:start w:val="1"/>
      <w:numFmt w:val="bullet"/>
      <w:lvlText w:val="–"/>
      <w:lvlJc w:val="left"/>
      <w:pPr>
        <w:ind w:left="108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0000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2026-10-21T16:22:46.647Z</dcterms:created>
  <dcterms:modified xsi:type="dcterms:W3CDTF">2026-10-21T16:22:46.647Z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