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000000"/>
          <w:sz w:val="36"/>
          <w:szCs w:val="36"/>
        </w:rPr>
        <w:t xml:space="preserve">Project Design Phase — Proposed Solution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Date</w:t>
            </w:r>
          </w:p>
        </w:tc>
        <w:tc>
          <w:tcPr>
            <w:tcW w:type="dxa" w:w="6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22-10-2026</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Team ID</w:t>
            </w:r>
          </w:p>
        </w:tc>
        <w:tc>
          <w:tcPr>
            <w:tcW w:type="dxa" w:w="6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Individual participant — 324103312L29@gvpce.ac.in</w:t>
            </w:r>
          </w:p>
        </w:tc>
      </w:tr>
      <w:tr>
        <w:trPr>
          <w:tblHeader w:val="false"/>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Project Name</w:t>
            </w:r>
          </w:p>
        </w:tc>
        <w:tc>
          <w:tcPr>
            <w:tcW w:type="dxa" w:w="67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Incident Lifecycle Automation in ServiceNow</w:t>
            </w:r>
          </w:p>
        </w:tc>
      </w:tr>
    </w:tbl>
    <w:p>
      <w:pPr>
        <w:pStyle w:val="Heading1"/>
        <w:spacing w:after="120" w:before="300"/>
      </w:pPr>
      <w:r>
        <w:rPr>
          <w:rFonts w:ascii="Arial" w:cs="Arial" w:eastAsia="Arial" w:hAnsi="Arial"/>
          <w:b/>
          <w:bCs/>
          <w:color w:val="000000"/>
          <w:sz w:val="28"/>
          <w:szCs w:val="28"/>
        </w:rPr>
        <w:t xml:space="preserve">1. Proposed Solution Parameter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S.No.</w:t>
            </w:r>
          </w:p>
        </w:tc>
        <w:tc>
          <w:tcPr>
            <w:tcW w:type="dxa" w:w="24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Parameter</w:t>
            </w:r>
          </w:p>
        </w:tc>
        <w:tc>
          <w:tcPr>
            <w:tcW w:type="dxa" w:w="616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r>
              <w:rPr>
                <w:rFonts w:ascii="Arial" w:cs="Arial" w:eastAsia="Arial" w:hAnsi="Arial"/>
                <w:b/>
                <w:bCs/>
                <w:color w:val="000000"/>
                <w:sz w:val="20"/>
                <w:szCs w:val="20"/>
              </w:rPr>
              <w:t xml:space="preserve">Description</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Problem Statement</w:t>
            </w:r>
            <w:r>
              <w:rPr>
                <w:rFonts w:ascii="Arial" w:cs="Arial" w:eastAsia="Arial" w:hAnsi="Arial"/>
                <w:b w:val="false"/>
                <w:bCs w:val="false"/>
                <w:color w:val="000000"/>
                <w:sz w:val="20"/>
                <w:szCs w:val="20"/>
              </w:rPr>
              <w:t xml:space="preserve"> (Problem to be solved)</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IT Service Desk teams often experience high Mean Time to Resolve (MTTR), disconnected incident investigation logs, lack of shift-left self-service knowledge integration, manual ticket escalation overhead, and uncoordinated emergency change execution. Without automated lifecycle management, incident tracking lacks auditability, leading to missed SLAs and disjointed stakeholder communication.</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Idea / Solution Description</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Implement an automated end-to-end incident lifecycle solution within ServiceNow Service Operations Workspace. The solution enables structured intake and categorization, incorporates Agent Assist for shift-left Knowledge Base article attachment, enables Watch List stakeholder tracking, supports seamless L2 Network group escalation, links Emergency Change Requests during hardware dependencies, manages parent-child incident relationship hierarchies for multi-issue cascading resolutions, and automatically generates draft Knowledge Articles upon incident resolution.</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Novelty / Uniqueness</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The novelty lies in the complete workflow integration across ServiceNow Service Operations Workspace: unifying AI-powered Agent Assist knowledge recommendations, dynamic Watch List transparency, CMDB CI mapping, emergency change state handling (On Hold - Awaiting Change), child incident resolution synchronization, and automated post-incident knowledge creation within a single platform-native framework.</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Social Impact / Customer Satisfaction</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Drastically improves user experience and IT agent productivity by enabling faster resolution times (MTTR reduction) and total transparency through automated email notifications to Watch Lists. Service Desk agents gain immediate contextual knowledge, L2 teams receive pre-classified tickets, and organizational end-users experience minimal service downtime.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Business Model</w:t>
            </w:r>
            <w:r>
              <w:rPr>
                <w:rFonts w:ascii="Arial" w:cs="Arial" w:eastAsia="Arial" w:hAnsi="Arial"/>
                <w:b w:val="false"/>
                <w:bCs w:val="false"/>
                <w:color w:val="000000"/>
                <w:sz w:val="20"/>
                <w:szCs w:val="20"/>
              </w:rPr>
              <w:t xml:space="preserve"> (Revenue Model)</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The solution is an internal enterprise IT Service Management (ITSM) optimization framework rather than a commercial product. Its business value is operational: lowering support desk costs, preventing SLA breach penalties, reducing duplicate agent labor through child-incident cascading, and continuously growing the enterprise Knowledge Base.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6</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Scalability of the Solution</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color w:val="000000"/>
                <w:sz w:val="20"/>
                <w:szCs w:val="20"/>
              </w:rPr>
              <w:t xml:space="preserve">Built natively on ServiceNow's cloud architecture (incident, kb_knowledge, cmdb_ci, task_sla tables), allowing the automated lifecycle pattern to easily scale across additional IT services, global support tiers, higher ticket volumes, and multi-departmental service desks (HR, Facilities, Security Ops).</w:t>
            </w:r>
          </w:p>
        </w:tc>
      </w:tr>
    </w:tbl>
    <w:p>
      <w:pPr>
        <w:pStyle w:val="Heading1"/>
        <w:spacing w:after="120" w:before="300"/>
      </w:pPr>
      <w:r>
        <w:rPr>
          <w:rFonts w:ascii="Arial" w:cs="Arial" w:eastAsia="Arial" w:hAnsi="Arial"/>
          <w:b/>
          <w:bCs/>
          <w:color w:val="000000"/>
          <w:sz w:val="28"/>
          <w:szCs w:val="28"/>
        </w:rPr>
        <w:t xml:space="preserve">2. Implementation Principle</w:t>
      </w:r>
    </w:p>
    <w:p>
      <w:pPr>
        <w:spacing w:after="120"/>
      </w:pPr>
      <w:r>
        <w:rPr>
          <w:rFonts w:ascii="Arial" w:cs="Arial" w:eastAsia="Arial" w:hAnsi="Arial"/>
          <w:color w:val="000000"/>
          <w:sz w:val="22"/>
          <w:szCs w:val="22"/>
        </w:rPr>
        <w:t xml:space="preserve">The core operational principle enforces strict ITIL incident management separation: tickets undergo structured classification and shift-left knowledge application before escalation; dependency on external changes triggers an </w:t>
      </w:r>
      <w:r>
        <w:rPr>
          <w:rFonts w:ascii="Arial" w:cs="Arial" w:eastAsia="Arial" w:hAnsi="Arial"/>
          <w:b/>
          <w:bCs/>
          <w:color w:val="000000"/>
          <w:sz w:val="22"/>
          <w:szCs w:val="22"/>
        </w:rPr>
        <w:t xml:space="preserve">On Hold</w:t>
      </w:r>
      <w:r>
        <w:rPr>
          <w:rFonts w:ascii="Arial" w:cs="Arial" w:eastAsia="Arial" w:hAnsi="Arial"/>
          <w:color w:val="000000"/>
          <w:sz w:val="22"/>
          <w:szCs w:val="22"/>
        </w:rPr>
        <w:t xml:space="preserve"> state to freeze SLA clocks; and ticket resolution requires mandatory root cause and resolution code logging before triggering automated draft Knowledge Article creation.</w:t>
      </w:r>
    </w:p>
    <w:p>
      <w:pPr>
        <w:pStyle w:val="Heading1"/>
        <w:spacing w:after="120" w:before="300"/>
      </w:pPr>
      <w:r>
        <w:rPr>
          <w:rFonts w:ascii="Arial" w:cs="Arial" w:eastAsia="Arial" w:hAnsi="Arial"/>
          <w:b/>
          <w:bCs/>
          <w:color w:val="000000"/>
          <w:sz w:val="28"/>
          <w:szCs w:val="28"/>
        </w:rPr>
        <w:t xml:space="preserve">3. Validation Note</w:t>
      </w:r>
    </w:p>
    <w:p>
      <w:pPr>
        <w:spacing w:after="120"/>
      </w:pPr>
      <w:r>
        <w:rPr>
          <w:rFonts w:ascii="Arial" w:cs="Arial" w:eastAsia="Arial" w:hAnsi="Arial"/>
          <w:color w:val="000000"/>
          <w:sz w:val="22"/>
          <w:szCs w:val="22"/>
        </w:rPr>
        <w:t xml:space="preserve">This document describes the proposed ITSM lifecycle automation architecture and expected business value. Operational efficiency gains and SLA improvements describe intended outcomes and are validated during UAT and post-deployment performance monitoring.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2026-10-22T17:40:16.278Z</dcterms:created>
  <dcterms:modified xsi:type="dcterms:W3CDTF">2026-10-22T17:40:16.286Z</dcterms:modified>
</cp:coreProperties>
</file>

<file path=docProps/custom.xml><?xml version="1.0" encoding="utf-8"?>
<Properties xmlns="http://schemas.openxmlformats.org/officeDocument/2006/custom-properties" xmlns:vt="http://schemas.openxmlformats.org/officeDocument/2006/docPropsVTypes"/>
</file>