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eastAsia="Calibri"/>
          <w:b/>
          <w:color w:val="1F4E79"/>
          <w:sz w:val="36"/>
        </w:rPr>
        <w:t>HRMS Product / QA Audit Report</w:t>
      </w:r>
    </w:p>
    <w:p>
      <w:pPr>
        <w:spacing w:after="80" w:before="0"/>
        <w:jc w:val="center"/>
      </w:pPr>
      <w:r>
        <w:rPr>
          <w:rFonts w:ascii="Calibri" w:hAnsi="Calibri" w:eastAsia="Calibri"/>
          <w:b w:val="0"/>
          <w:color w:val="595959"/>
          <w:sz w:val="24"/>
        </w:rPr>
        <w:t>Onboarding &amp; Offboarding Module — Completeness Across Industries &amp; Global Compliance</w:t>
      </w:r>
    </w:p>
    <w:p>
      <w:pPr>
        <w:spacing w:after="120" w:before="0"/>
        <w:jc w:val="center"/>
      </w:pPr>
      <w:r>
        <w:rPr>
          <w:rFonts w:ascii="Calibri" w:hAnsi="Calibri" w:eastAsia="Calibri"/>
          <w:b w:val="0"/>
          <w:color w:val="595959"/>
          <w:sz w:val="18"/>
        </w:rPr>
        <w:t>Product: EMS (Employee Management System)  |  Audit Date: 22 July 2026  |  Scope: Employee Lifecycle (Onboarding + Offboarding + Lifecycle Platform)</w:t>
      </w:r>
    </w:p>
    <w:p>
      <w:pPr>
        <w:spacing w:after="80" w:before="0"/>
      </w:pPr>
      <w:r>
        <w:rPr>
          <w:rFonts w:ascii="Calibri" w:hAnsi="Calibri" w:eastAsia="Calibri"/>
          <w:b/>
          <w:color w:val="1F4E79"/>
          <w:sz w:val="26"/>
        </w:rPr>
        <w:t>Executive Summary</w:t>
      </w:r>
    </w:p>
    <w:p>
      <w:pPr>
        <w:spacing w:after="160" w:before="0"/>
      </w:pPr>
      <w:r>
        <w:rPr>
          <w:rFonts w:ascii="Calibri" w:hAnsi="Calibri" w:eastAsia="Calibri"/>
          <w:b w:val="0"/>
          <w:sz w:val="18"/>
        </w:rPr>
        <w:t>EMS has evolved into a configurable lifecycle platform (feature registry, industry/compliance packs, form builder, letter generator, BGV/F&amp;F/notice-period services, exit interviews) layered on top of workflow engines in OnboardingHub and OffboardingHub. Core India onboarding (docs, tasks, buddy, induction) and offboarding (clearance, assets, KT, notice period, F&amp;F calc) are strong. Gaps remain in production-grade e-sign, LMS integration, 30-60-90 milestones, KRA/KPI linkage, automated access revoke, non-India compliance packs (US/UK/EU/ME), and industry packs that are mostly configuration flags without dedicated workflow implementations. Several advanced features exist in Lifecycle Configuration but are disabled by default or not surfaced in the primary Hub UI.</w:t>
      </w:r>
    </w:p>
    <w:p>
      <w:pPr>
        <w:spacing w:after="120" w:before="0"/>
      </w:pPr>
      <w:r>
        <w:rPr>
          <w:rFonts w:ascii="Calibri" w:hAnsi="Calibri" w:eastAsia="Calibri"/>
          <w:b/>
          <w:sz w:val="18"/>
        </w:rPr>
        <w:t>Legend:  ✅ Covered  |  ⚠️ Partially Covered  |  ❌ Not Covered  |  ⬜ Not Applicable</w:t>
      </w:r>
    </w:p>
    <w:tbl>
      <w:tblPr>
        <w:tblStyle w:val="TableGrid"/>
        <w:tblW w:type="auto" w:w="0"/>
        <w:tblLook w:firstColumn="1" w:firstRow="1" w:lastColumn="0" w:lastRow="0" w:noHBand="0" w:noVBand="1" w:val="04A0"/>
      </w:tblPr>
      <w:tblGrid>
        <w:gridCol w:w="2179"/>
        <w:gridCol w:w="2179"/>
        <w:gridCol w:w="2179"/>
        <w:gridCol w:w="2179"/>
        <w:gridCol w:w="2179"/>
        <w:gridCol w:w="2179"/>
        <w:gridCol w:w="2179"/>
      </w:tblGrid>
      <w:tr>
        <w:tc>
          <w:tcPr>
            <w:tcW w:type="dxa" w:w="567"/>
            <w:shd w:fill="1F4E79" w:val="clear"/>
          </w:tcPr>
          <w:p>
            <w:pPr>
              <w:spacing w:before="40" w:after="40"/>
            </w:pPr>
            <w:r>
              <w:rPr>
                <w:rFonts w:ascii="Calibri" w:hAnsi="Calibri"/>
                <w:b/>
                <w:color w:val="FFFFFF"/>
                <w:sz w:val="16"/>
              </w:rPr>
            </w:r>
            <w:r>
              <w:rPr>
                <w:rFonts w:ascii="Calibri" w:hAnsi="Calibri" w:eastAsia="Calibri"/>
                <w:b/>
                <w:color w:val="FFFFFF"/>
                <w:sz w:val="16"/>
              </w:rPr>
              <w:t>#</w:t>
            </w:r>
          </w:p>
        </w:tc>
        <w:tc>
          <w:tcPr>
            <w:tcW w:type="dxa" w:w="3118"/>
            <w:shd w:fill="1F4E79" w:val="clear"/>
          </w:tcPr>
          <w:p>
            <w:pPr>
              <w:spacing w:before="40" w:after="40"/>
            </w:pPr>
            <w:r>
              <w:rPr>
                <w:rFonts w:ascii="Calibri" w:hAnsi="Calibri"/>
                <w:b/>
                <w:color w:val="FFFFFF"/>
                <w:sz w:val="16"/>
              </w:rPr>
            </w:r>
            <w:r>
              <w:rPr>
                <w:rFonts w:ascii="Calibri" w:hAnsi="Calibri" w:eastAsia="Calibri"/>
                <w:b/>
                <w:color w:val="FFFFFF"/>
                <w:sz w:val="16"/>
              </w:rPr>
              <w:t>Capability</w:t>
            </w:r>
          </w:p>
        </w:tc>
        <w:tc>
          <w:tcPr>
            <w:tcW w:type="dxa" w:w="1814"/>
            <w:shd w:fill="1F4E79" w:val="clear"/>
          </w:tcPr>
          <w:p>
            <w:pPr>
              <w:spacing w:before="40" w:after="40"/>
            </w:pPr>
            <w:r>
              <w:rPr>
                <w:rFonts w:ascii="Calibri" w:hAnsi="Calibri"/>
                <w:b/>
                <w:color w:val="FFFFFF"/>
                <w:sz w:val="16"/>
              </w:rPr>
            </w:r>
            <w:r>
              <w:rPr>
                <w:rFonts w:ascii="Calibri" w:hAnsi="Calibri" w:eastAsia="Calibri"/>
                <w:b/>
                <w:color w:val="FFFFFF"/>
                <w:sz w:val="16"/>
              </w:rPr>
              <w:t>Status</w:t>
            </w:r>
          </w:p>
        </w:tc>
        <w:tc>
          <w:tcPr>
            <w:tcW w:type="dxa" w:w="3969"/>
            <w:shd w:fill="1F4E79" w:val="clear"/>
          </w:tcPr>
          <w:p>
            <w:pPr>
              <w:spacing w:before="40" w:after="40"/>
            </w:pPr>
            <w:r>
              <w:rPr>
                <w:rFonts w:ascii="Calibri" w:hAnsi="Calibri"/>
                <w:b/>
                <w:color w:val="FFFFFF"/>
                <w:sz w:val="16"/>
              </w:rPr>
            </w:r>
            <w:r>
              <w:rPr>
                <w:rFonts w:ascii="Calibri" w:hAnsi="Calibri" w:eastAsia="Calibri"/>
                <w:b/>
                <w:color w:val="FFFFFF"/>
                <w:sz w:val="16"/>
              </w:rPr>
              <w:t>Evidence / Current State</w:t>
            </w:r>
          </w:p>
        </w:tc>
        <w:tc>
          <w:tcPr>
            <w:tcW w:type="dxa" w:w="3685"/>
            <w:shd w:fill="1F4E79" w:val="clear"/>
          </w:tcPr>
          <w:p>
            <w:pPr>
              <w:spacing w:before="40" w:after="40"/>
            </w:pPr>
            <w:r>
              <w:rPr>
                <w:rFonts w:ascii="Calibri" w:hAnsi="Calibri"/>
                <w:b/>
                <w:color w:val="FFFFFF"/>
                <w:sz w:val="16"/>
              </w:rPr>
            </w:r>
            <w:r>
              <w:rPr>
                <w:rFonts w:ascii="Calibri" w:hAnsi="Calibri" w:eastAsia="Calibri"/>
                <w:b/>
                <w:color w:val="FFFFFF"/>
                <w:sz w:val="16"/>
              </w:rPr>
              <w:t>What's Missing</w:t>
            </w:r>
          </w:p>
        </w:tc>
        <w:tc>
          <w:tcPr>
            <w:tcW w:type="dxa" w:w="1134"/>
            <w:shd w:fill="1F4E79" w:val="clear"/>
          </w:tcPr>
          <w:p>
            <w:pPr>
              <w:spacing w:before="40" w:after="40"/>
            </w:pPr>
            <w:r>
              <w:rPr>
                <w:rFonts w:ascii="Calibri" w:hAnsi="Calibri"/>
                <w:b/>
                <w:color w:val="FFFFFF"/>
                <w:sz w:val="16"/>
              </w:rPr>
            </w:r>
            <w:r>
              <w:rPr>
                <w:rFonts w:ascii="Calibri" w:hAnsi="Calibri" w:eastAsia="Calibri"/>
                <w:b/>
                <w:color w:val="FFFFFF"/>
                <w:sz w:val="16"/>
              </w:rPr>
              <w:t>Priority</w:t>
            </w:r>
          </w:p>
        </w:tc>
        <w:tc>
          <w:tcPr>
            <w:tcW w:type="dxa" w:w="1020"/>
            <w:shd w:fill="1F4E79" w:val="clear"/>
          </w:tcPr>
          <w:p>
            <w:pPr>
              <w:spacing w:before="40" w:after="40"/>
            </w:pPr>
            <w:r>
              <w:rPr>
                <w:rFonts w:ascii="Calibri" w:hAnsi="Calibri"/>
                <w:b/>
                <w:color w:val="FFFFFF"/>
                <w:sz w:val="16"/>
              </w:rPr>
            </w:r>
            <w:r>
              <w:rPr>
                <w:rFonts w:ascii="Calibri" w:hAnsi="Calibri" w:eastAsia="Calibri"/>
                <w:b/>
                <w:color w:val="FFFFFF"/>
                <w:sz w:val="16"/>
              </w:rPr>
              <w:t>Effort</w:t>
            </w:r>
          </w:p>
        </w:tc>
      </w:tr>
      <w:tr>
        <w:tc>
          <w:tcPr>
            <w:tcW w:type="dxa" w:w="1020"/>
            <w:gridSpan w:val="7"/>
            <w:shd w:fill="2E75B6" w:val="clear"/>
          </w:tcPr>
          <w:p>
            <w:pPr>
              <w:spacing w:before="20" w:after="20"/>
            </w:pPr>
            <w:r/>
            <w:r>
              <w:rPr>
                <w:rFonts w:ascii="Calibri" w:hAnsi="Calibri" w:eastAsia="Calibri"/>
                <w:b/>
                <w:color w:val="FFFFFF"/>
                <w:sz w:val="18"/>
              </w:rPr>
              <w:t>ONBOARDING</w:t>
            </w:r>
          </w:p>
        </w:tc>
      </w:tr>
      <w:tr>
        <w:tc>
          <w:tcPr>
            <w:tcW w:type="dxa" w:w="567"/>
          </w:tcPr>
          <w:p>
            <w:pPr>
              <w:spacing w:before="20" w:after="20"/>
            </w:pPr>
            <w:r/>
            <w:r>
              <w:rPr>
                <w:rFonts w:ascii="Calibri" w:hAnsi="Calibri" w:eastAsia="Calibri"/>
                <w:b/>
                <w:sz w:val="16"/>
              </w:rPr>
              <w:t>1</w:t>
            </w:r>
          </w:p>
        </w:tc>
        <w:tc>
          <w:tcPr>
            <w:tcW w:type="dxa" w:w="3118"/>
          </w:tcPr>
          <w:p>
            <w:pPr>
              <w:spacing w:before="20" w:after="20"/>
            </w:pPr>
            <w:r/>
            <w:r>
              <w:rPr>
                <w:rFonts w:ascii="Calibri" w:hAnsi="Calibri" w:eastAsia="Calibri"/>
                <w:b/>
                <w:sz w:val="16"/>
              </w:rPr>
              <w:t>Offer letter generation &amp; e-signature</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offerLetterService: HTML templates, PDF generation, approval workflow, candidate portal, audit. OfferLetterPanel in Recruitment module. esignAdapter: internal typed acknowledgment + stub vendor. Onboarding checklist still uses click-to-ack policy signatures.</w:t>
            </w:r>
          </w:p>
        </w:tc>
        <w:tc>
          <w:tcPr>
            <w:tcW w:type="dxa" w:w="3685"/>
          </w:tcPr>
          <w:p>
            <w:pPr>
              <w:spacing w:before="20" w:after="20"/>
            </w:pPr>
            <w:r/>
            <w:r>
              <w:rPr>
                <w:rFonts w:ascii="Calibri" w:hAnsi="Calibri" w:eastAsia="Calibri"/>
                <w:b w:val="0"/>
                <w:sz w:val="14"/>
              </w:rPr>
              <w:t>Production e-sign (DocuSign/Adobe Sign/Aadhaar eSign); seamless offer-to-onboarding handoff in OnboardingHub; legally defensible signature certificate.</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2</w:t>
            </w:r>
          </w:p>
        </w:tc>
        <w:tc>
          <w:tcPr>
            <w:tcW w:type="dxa" w:w="3118"/>
          </w:tcPr>
          <w:p>
            <w:pPr>
              <w:spacing w:before="20" w:after="20"/>
            </w:pPr>
            <w:r/>
            <w:r>
              <w:rPr>
                <w:rFonts w:ascii="Calibri" w:hAnsi="Calibri" w:eastAsia="Calibri"/>
                <w:b/>
                <w:sz w:val="16"/>
              </w:rPr>
              <w:t>Pre-boarding document collection (ID, address, education proof)</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Document catalog + defaults: Aadhaar, PAN, Passport, Degree, Experience, Resume, Photo, Bank; ADDRESS_PROOF in catalog; upload/verify with HR blockers; profile photo and bank sync.</w:t>
            </w:r>
          </w:p>
        </w:tc>
        <w:tc>
          <w:tcPr>
            <w:tcW w:type="dxa" w:w="3685"/>
          </w:tcPr>
          <w:p>
            <w:pPr>
              <w:spacing w:before="20" w:after="20"/>
            </w:pPr>
            <w:r/>
            <w:r>
              <w:rPr>
                <w:rFonts w:ascii="Calibri" w:hAnsi="Calibri" w:eastAsia="Calibri"/>
                <w:b w:val="0"/>
                <w:sz w:val="14"/>
              </w:rPr>
              <w:t>Address proof not in default mandatory pack; pre-boarding candidate portal (feature exists, default off).</w:t>
            </w:r>
          </w:p>
        </w:tc>
        <w:tc>
          <w:tcPr>
            <w:tcW w:type="dxa" w:w="1134"/>
          </w:tcPr>
          <w:p>
            <w:pPr>
              <w:spacing w:before="20" w:after="20"/>
            </w:pPr>
            <w:r/>
            <w:r>
              <w:rPr>
                <w:rFonts w:ascii="Calibri" w:hAnsi="Calibri" w:eastAsia="Calibri"/>
                <w:b/>
                <w:sz w:val="16"/>
              </w:rPr>
              <w:t>Low</w:t>
            </w:r>
          </w:p>
        </w:tc>
        <w:tc>
          <w:tcPr>
            <w:tcW w:type="dxa" w:w="1020"/>
          </w:tcPr>
          <w:p>
            <w:pPr>
              <w:spacing w:before="20" w:after="20"/>
            </w:pPr>
            <w:r/>
            <w:r>
              <w:rPr>
                <w:rFonts w:ascii="Calibri" w:hAnsi="Calibri" w:eastAsia="Calibri"/>
                <w:b w:val="0"/>
                <w:sz w:val="16"/>
              </w:rPr>
              <w:t>Small</w:t>
            </w:r>
          </w:p>
        </w:tc>
      </w:tr>
      <w:tr>
        <w:tc>
          <w:tcPr>
            <w:tcW w:type="dxa" w:w="567"/>
          </w:tcPr>
          <w:p>
            <w:pPr>
              <w:spacing w:before="20" w:after="20"/>
            </w:pPr>
            <w:r/>
            <w:r>
              <w:rPr>
                <w:rFonts w:ascii="Calibri" w:hAnsi="Calibri" w:eastAsia="Calibri"/>
                <w:b/>
                <w:sz w:val="16"/>
              </w:rPr>
              <w:t>3</w:t>
            </w:r>
          </w:p>
        </w:tc>
        <w:tc>
          <w:tcPr>
            <w:tcW w:type="dxa" w:w="3118"/>
          </w:tcPr>
          <w:p>
            <w:pPr>
              <w:spacing w:before="20" w:after="20"/>
            </w:pPr>
            <w:r/>
            <w:r>
              <w:rPr>
                <w:rFonts w:ascii="Calibri" w:hAnsi="Calibri" w:eastAsia="Calibri"/>
                <w:b/>
                <w:sz w:val="16"/>
              </w:rPr>
              <w:t>Background verification workflow</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backgroundVerificationService: vendor adapter (manual + stub), check types (employment, education, criminal, etc.), dashboard. BGV UI in OnboardingDetailPage (not routed) + Lifecycle Reports. Feature defaultEnabled: false; not exposed in OnboardingHub.</w:t>
            </w:r>
          </w:p>
        </w:tc>
        <w:tc>
          <w:tcPr>
            <w:tcW w:type="dxa" w:w="3685"/>
          </w:tcPr>
          <w:p>
            <w:pPr>
              <w:spacing w:before="20" w:after="20"/>
            </w:pPr>
            <w:r/>
            <w:r>
              <w:rPr>
                <w:rFonts w:ascii="Calibri" w:hAnsi="Calibri" w:eastAsia="Calibri"/>
                <w:b w:val="0"/>
                <w:sz w:val="14"/>
              </w:rPr>
              <w:t>Surface BGV in primary OnboardingHub; enable by default for regulated industries; real vendor integrations (SpringVerify, AuthBridge); block joining until clear.</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4</w:t>
            </w:r>
          </w:p>
        </w:tc>
        <w:tc>
          <w:tcPr>
            <w:tcW w:type="dxa" w:w="3118"/>
          </w:tcPr>
          <w:p>
            <w:pPr>
              <w:spacing w:before="20" w:after="20"/>
            </w:pPr>
            <w:r/>
            <w:r>
              <w:rPr>
                <w:rFonts w:ascii="Calibri" w:hAnsi="Calibri" w:eastAsia="Calibri"/>
                <w:b/>
                <w:sz w:val="16"/>
              </w:rPr>
              <w:t>Digital forms (tax, bank details, emergency contact)</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FormBuilderHub + lifecycleFormEngine for custom forms. Bank synced to BANK_DETAILS. Tax (PAN, UAN, regime, 80C/HRA) on Financial Details profile. emergencyContact feature in registry.</w:t>
            </w:r>
          </w:p>
        </w:tc>
        <w:tc>
          <w:tcPr>
            <w:tcW w:type="dxa" w:w="3685"/>
          </w:tcPr>
          <w:p>
            <w:pPr>
              <w:spacing w:before="20" w:after="20"/>
            </w:pPr>
            <w:r/>
            <w:r>
              <w:rPr>
                <w:rFonts w:ascii="Calibri" w:hAnsi="Calibri" w:eastAsia="Calibri"/>
                <w:b w:val="0"/>
                <w:sz w:val="14"/>
              </w:rPr>
              <w:t>Emergency contact not gated in onboarding workflow; tax/bank not native onboarding forms with mandatory completion blockers; no default statutory form templates pre-loaded.</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5</w:t>
            </w:r>
          </w:p>
        </w:tc>
        <w:tc>
          <w:tcPr>
            <w:tcW w:type="dxa" w:w="3118"/>
          </w:tcPr>
          <w:p>
            <w:pPr>
              <w:spacing w:before="20" w:after="20"/>
            </w:pPr>
            <w:r/>
            <w:r>
              <w:rPr>
                <w:rFonts w:ascii="Calibri" w:hAnsi="Calibri" w:eastAsia="Calibri"/>
                <w:b/>
                <w:sz w:val="16"/>
              </w:rPr>
              <w:t>IT asset request &amp; provisioning workflow</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Default assets (Laptop, ID/Access Card, etc.); IT task Assign laptop; status Pending→Assigned; serial tracking; softwareAccessRequest feature. Lifecycle stages include IT Setup.</w:t>
            </w:r>
          </w:p>
        </w:tc>
        <w:tc>
          <w:tcPr>
            <w:tcW w:type="dxa" w:w="3685"/>
          </w:tcPr>
          <w:p>
            <w:pPr>
              <w:spacing w:before="20" w:after="20"/>
            </w:pPr>
            <w:r/>
            <w:r>
              <w:rPr>
                <w:rFonts w:ascii="Calibri" w:hAnsi="Calibri" w:eastAsia="Calibri"/>
                <w:b w:val="0"/>
                <w:sz w:val="14"/>
              </w:rPr>
              <w:t>Employee-initiated asset request catalog; approval chain; inventory/CMDB integration; automated provisioning tickets (Jira/ServiceNow).</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6</w:t>
            </w:r>
          </w:p>
        </w:tc>
        <w:tc>
          <w:tcPr>
            <w:tcW w:type="dxa" w:w="3118"/>
          </w:tcPr>
          <w:p>
            <w:pPr>
              <w:spacing w:before="20" w:after="20"/>
            </w:pPr>
            <w:r/>
            <w:r>
              <w:rPr>
                <w:rFonts w:ascii="Calibri" w:hAnsi="Calibri" w:eastAsia="Calibri"/>
                <w:b/>
                <w:sz w:val="16"/>
              </w:rPr>
              <w:t>Role-based task assignment (HR/IT/Manager/Compliance)</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assigneeRole: employee/hr/manager/buddy/it/payroll/admin; resolveAssigneeByRole; role-filtered Hub views; default task pack by role and stage.</w:t>
            </w:r>
          </w:p>
        </w:tc>
        <w:tc>
          <w:tcPr>
            <w:tcW w:type="dxa" w:w="3685"/>
          </w:tcPr>
          <w:p>
            <w:pPr>
              <w:spacing w:before="20" w:after="20"/>
            </w:pPr>
            <w:r/>
            <w:r>
              <w:rPr>
                <w:rFonts w:ascii="Calibri" w:hAnsi="Calibri" w:eastAsia="Calibri"/>
                <w:b w:val="0"/>
                <w:sz w:val="14"/>
              </w:rPr>
              <w:t>Optional: dedicated Compliance default task pack beyond admin enum.</w:t>
            </w:r>
          </w:p>
        </w:tc>
        <w:tc>
          <w:tcPr>
            <w:tcW w:type="dxa" w:w="1134"/>
          </w:tcPr>
          <w:p>
            <w:pPr>
              <w:spacing w:before="20" w:after="20"/>
            </w:pPr>
            <w:r/>
            <w:r>
              <w:rPr>
                <w:rFonts w:ascii="Calibri" w:hAnsi="Calibri" w:eastAsia="Calibri"/>
                <w:b/>
                <w:sz w:val="16"/>
              </w:rPr>
              <w:t>Low</w:t>
            </w:r>
          </w:p>
        </w:tc>
        <w:tc>
          <w:tcPr>
            <w:tcW w:type="dxa" w:w="1020"/>
          </w:tcPr>
          <w:p>
            <w:pPr>
              <w:spacing w:before="20" w:after="20"/>
            </w:pPr>
            <w:r/>
            <w:r>
              <w:rPr>
                <w:rFonts w:ascii="Calibri" w:hAnsi="Calibri" w:eastAsia="Calibri"/>
                <w:b w:val="0"/>
                <w:sz w:val="16"/>
              </w:rPr>
              <w:t>Small</w:t>
            </w:r>
          </w:p>
        </w:tc>
      </w:tr>
      <w:tr>
        <w:tc>
          <w:tcPr>
            <w:tcW w:type="dxa" w:w="567"/>
          </w:tcPr>
          <w:p>
            <w:pPr>
              <w:spacing w:before="20" w:after="20"/>
            </w:pPr>
            <w:r/>
            <w:r>
              <w:rPr>
                <w:rFonts w:ascii="Calibri" w:hAnsi="Calibri" w:eastAsia="Calibri"/>
                <w:b/>
                <w:sz w:val="16"/>
              </w:rPr>
              <w:t>7</w:t>
            </w:r>
          </w:p>
        </w:tc>
        <w:tc>
          <w:tcPr>
            <w:tcW w:type="dxa" w:w="3118"/>
          </w:tcPr>
          <w:p>
            <w:pPr>
              <w:spacing w:before="20" w:after="20"/>
            </w:pPr>
            <w:r/>
            <w:r>
              <w:rPr>
                <w:rFonts w:ascii="Calibri" w:hAnsi="Calibri" w:eastAsia="Calibri"/>
                <w:b/>
                <w:sz w:val="16"/>
              </w:rPr>
              <w:t>Statutory/compliance forms (country-specific)</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lifecycleCompliancePacks (India core/tax/gratuity/labour); installCompliancePack enables PF/ESI/nomination/UAN docs in catalog. Payroll statutorys (PF/ESI/PT/TDS) in payroll module.</w:t>
            </w:r>
          </w:p>
        </w:tc>
        <w:tc>
          <w:tcPr>
            <w:tcW w:type="dxa" w:w="3685"/>
          </w:tcPr>
          <w:p>
            <w:pPr>
              <w:spacing w:before="20" w:after="20"/>
            </w:pPr>
            <w:r/>
            <w:r>
              <w:rPr>
                <w:rFonts w:ascii="Calibri" w:hAnsi="Calibri" w:eastAsia="Calibri"/>
                <w:b w:val="0"/>
                <w:sz w:val="14"/>
              </w:rPr>
              <w:t>Packs are India-only; must be manually installed; no US/UK/EU/ME statutory forms; Form 16 generation not implemented; packs enable flags/docs but not full filing workflows.</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8</w:t>
            </w:r>
          </w:p>
        </w:tc>
        <w:tc>
          <w:tcPr>
            <w:tcW w:type="dxa" w:w="3118"/>
          </w:tcPr>
          <w:p>
            <w:pPr>
              <w:spacing w:before="20" w:after="20"/>
            </w:pPr>
            <w:r/>
            <w:r>
              <w:rPr>
                <w:rFonts w:ascii="Calibri" w:hAnsi="Calibri" w:eastAsia="Calibri"/>
                <w:b/>
                <w:sz w:val="16"/>
              </w:rPr>
              <w:t>Induction/orientation checklist</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DEFAULT_ONBOARDING_CHECKLIST with Day 1/Week 1/Week 2 phases; Manager induction task; orientationCompleted flag; policy acceptance; induction stage in workflow.</w:t>
            </w:r>
          </w:p>
        </w:tc>
        <w:tc>
          <w:tcPr>
            <w:tcW w:type="dxa" w:w="3685"/>
          </w:tcPr>
          <w:p>
            <w:pPr>
              <w:spacing w:before="20" w:after="20"/>
            </w:pPr>
            <w:r/>
            <w:r>
              <w:rPr>
                <w:rFonts w:ascii="Calibri" w:hAnsi="Calibri" w:eastAsia="Calibri"/>
                <w:b w:val="0"/>
                <w:sz w:val="14"/>
              </w:rPr>
              <w:t>—</w:t>
            </w:r>
          </w:p>
        </w:tc>
        <w:tc>
          <w:tcPr>
            <w:tcW w:type="dxa" w:w="1134"/>
          </w:tcPr>
          <w:p>
            <w:pPr>
              <w:spacing w:before="20" w:after="20"/>
            </w:pPr>
            <w:r/>
            <w:r>
              <w:rPr>
                <w:rFonts w:ascii="Calibri" w:hAnsi="Calibri" w:eastAsia="Calibri"/>
                <w:b w:val="0"/>
                <w:sz w:val="16"/>
              </w:rPr>
              <w:t>—</w:t>
            </w:r>
          </w:p>
        </w:tc>
        <w:tc>
          <w:tcPr>
            <w:tcW w:type="dxa" w:w="1020"/>
          </w:tcPr>
          <w:p>
            <w:pPr>
              <w:spacing w:before="20" w:after="20"/>
            </w:pPr>
            <w:r/>
            <w:r>
              <w:rPr>
                <w:rFonts w:ascii="Calibri" w:hAnsi="Calibri" w:eastAsia="Calibri"/>
                <w:b w:val="0"/>
                <w:sz w:val="16"/>
              </w:rPr>
              <w:t>—</w:t>
            </w:r>
          </w:p>
        </w:tc>
      </w:tr>
      <w:tr>
        <w:tc>
          <w:tcPr>
            <w:tcW w:type="dxa" w:w="567"/>
          </w:tcPr>
          <w:p>
            <w:pPr>
              <w:spacing w:before="20" w:after="20"/>
            </w:pPr>
            <w:r/>
            <w:r>
              <w:rPr>
                <w:rFonts w:ascii="Calibri" w:hAnsi="Calibri" w:eastAsia="Calibri"/>
                <w:b/>
                <w:sz w:val="16"/>
              </w:rPr>
              <w:t>9</w:t>
            </w:r>
          </w:p>
        </w:tc>
        <w:tc>
          <w:tcPr>
            <w:tcW w:type="dxa" w:w="3118"/>
          </w:tcPr>
          <w:p>
            <w:pPr>
              <w:spacing w:before="20" w:after="20"/>
            </w:pPr>
            <w:r/>
            <w:r>
              <w:rPr>
                <w:rFonts w:ascii="Calibri" w:hAnsi="Calibri" w:eastAsia="Calibri"/>
                <w:b/>
                <w:sz w:val="16"/>
              </w:rPr>
              <w:t>Buddy/mentor assignment</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assignedBuddy; check-ins welcome_meeting/first_week/day_30; status + feedback/rating; buddyProgram feature; Hub buddy section.</w:t>
            </w:r>
          </w:p>
        </w:tc>
        <w:tc>
          <w:tcPr>
            <w:tcW w:type="dxa" w:w="3685"/>
          </w:tcPr>
          <w:p>
            <w:pPr>
              <w:spacing w:before="20" w:after="20"/>
            </w:pPr>
            <w:r/>
            <w:r>
              <w:rPr>
                <w:rFonts w:ascii="Calibri" w:hAnsi="Calibri" w:eastAsia="Calibri"/>
                <w:b w:val="0"/>
                <w:sz w:val="14"/>
              </w:rPr>
              <w:t>Separate long-term mentor entity (beyond buddy) — optional.</w:t>
            </w:r>
          </w:p>
        </w:tc>
        <w:tc>
          <w:tcPr>
            <w:tcW w:type="dxa" w:w="1134"/>
          </w:tcPr>
          <w:p>
            <w:pPr>
              <w:spacing w:before="20" w:after="20"/>
            </w:pPr>
            <w:r/>
            <w:r>
              <w:rPr>
                <w:rFonts w:ascii="Calibri" w:hAnsi="Calibri" w:eastAsia="Calibri"/>
                <w:b/>
                <w:sz w:val="16"/>
              </w:rPr>
              <w:t>Low</w:t>
            </w:r>
          </w:p>
        </w:tc>
        <w:tc>
          <w:tcPr>
            <w:tcW w:type="dxa" w:w="1020"/>
          </w:tcPr>
          <w:p>
            <w:pPr>
              <w:spacing w:before="20" w:after="20"/>
            </w:pPr>
            <w:r/>
            <w:r>
              <w:rPr>
                <w:rFonts w:ascii="Calibri" w:hAnsi="Calibri" w:eastAsia="Calibri"/>
                <w:b w:val="0"/>
                <w:sz w:val="16"/>
              </w:rPr>
              <w:t>Small</w:t>
            </w:r>
          </w:p>
        </w:tc>
      </w:tr>
      <w:tr>
        <w:tc>
          <w:tcPr>
            <w:tcW w:type="dxa" w:w="567"/>
          </w:tcPr>
          <w:p>
            <w:pPr>
              <w:spacing w:before="20" w:after="20"/>
            </w:pPr>
            <w:r/>
            <w:r>
              <w:rPr>
                <w:rFonts w:ascii="Calibri" w:hAnsi="Calibri" w:eastAsia="Calibri"/>
                <w:b/>
                <w:sz w:val="16"/>
              </w:rPr>
              <w:t>10</w:t>
            </w:r>
          </w:p>
        </w:tc>
        <w:tc>
          <w:tcPr>
            <w:tcW w:type="dxa" w:w="3118"/>
          </w:tcPr>
          <w:p>
            <w:pPr>
              <w:spacing w:before="20" w:after="20"/>
            </w:pPr>
            <w:r/>
            <w:r>
              <w:rPr>
                <w:rFonts w:ascii="Calibri" w:hAnsi="Calibri" w:eastAsia="Calibri"/>
                <w:b/>
                <w:sz w:val="16"/>
              </w:rPr>
              <w:t>LMS/training integration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Embedded trainingModules (video/quiz/document) with scoring in workflow. Mandatory training tracking feature. Separate HR Learning module exists.</w:t>
            </w:r>
          </w:p>
        </w:tc>
        <w:tc>
          <w:tcPr>
            <w:tcW w:type="dxa" w:w="3685"/>
          </w:tcPr>
          <w:p>
            <w:pPr>
              <w:spacing w:before="20" w:after="20"/>
            </w:pPr>
            <w:r/>
            <w:r>
              <w:rPr>
                <w:rFonts w:ascii="Calibri" w:hAnsi="Calibri" w:eastAsia="Calibri"/>
                <w:b w:val="0"/>
                <w:sz w:val="14"/>
              </w:rPr>
              <w:t>trainingLms feature default off; no SSO/API to external LMS; no auto-enroll; completion not synced from LMS; defaults lack content URLs.</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11</w:t>
            </w:r>
          </w:p>
        </w:tc>
        <w:tc>
          <w:tcPr>
            <w:tcW w:type="dxa" w:w="3118"/>
          </w:tcPr>
          <w:p>
            <w:pPr>
              <w:spacing w:before="20" w:after="20"/>
            </w:pPr>
            <w:r/>
            <w:r>
              <w:rPr>
                <w:rFonts w:ascii="Calibri" w:hAnsi="Calibri" w:eastAsia="Calibri"/>
                <w:b/>
                <w:sz w:val="16"/>
              </w:rPr>
              <w:t>30-60-90 day milestone tracking</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milestone30_60_90 in feature registry (defaultEnabled: false). Phases Day 0→Month 1 and buddy day_30 only. No 60/90 milestone objects or tasks.</w:t>
            </w:r>
          </w:p>
        </w:tc>
        <w:tc>
          <w:tcPr>
            <w:tcW w:type="dxa" w:w="3685"/>
          </w:tcPr>
          <w:p>
            <w:pPr>
              <w:spacing w:before="20" w:after="20"/>
            </w:pPr>
            <w:r/>
            <w:r>
              <w:rPr>
                <w:rFonts w:ascii="Calibri" w:hAnsi="Calibri" w:eastAsia="Calibri"/>
                <w:b w:val="0"/>
                <w:sz w:val="14"/>
              </w:rPr>
              <w:t>Configurable 30/60/90 milestones with owners, review forms, overdue alerts, and progress weighting.</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12</w:t>
            </w:r>
          </w:p>
        </w:tc>
        <w:tc>
          <w:tcPr>
            <w:tcW w:type="dxa" w:w="3118"/>
          </w:tcPr>
          <w:p>
            <w:pPr>
              <w:spacing w:before="20" w:after="20"/>
            </w:pPr>
            <w:r/>
            <w:r>
              <w:rPr>
                <w:rFonts w:ascii="Calibri" w:hAnsi="Calibri" w:eastAsia="Calibri"/>
                <w:b/>
                <w:sz w:val="16"/>
              </w:rPr>
              <w:t>Probation period tracking</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Manager action Approve Probation Goals; probation_confirmed letter trigger in LetterGeneratorHub; probationNoticeDays in notice policy. Leave policy has probation restrictions.</w:t>
            </w:r>
          </w:p>
        </w:tc>
        <w:tc>
          <w:tcPr>
            <w:tcW w:type="dxa" w:w="3685"/>
          </w:tcPr>
          <w:p>
            <w:pPr>
              <w:spacing w:before="20" w:after="20"/>
            </w:pPr>
            <w:r/>
            <w:r>
              <w:rPr>
                <w:rFonts w:ascii="Calibri" w:hAnsi="Calibri" w:eastAsia="Calibri"/>
                <w:b w:val="0"/>
                <w:sz w:val="14"/>
              </w:rPr>
              <w:t>No probationStartDate/probationEndDate on workflow; no confirm/extend/terminate workflow; no mid-probation review; probation feature default off.</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13</w:t>
            </w:r>
          </w:p>
        </w:tc>
        <w:tc>
          <w:tcPr>
            <w:tcW w:type="dxa" w:w="3118"/>
          </w:tcPr>
          <w:p>
            <w:pPr>
              <w:spacing w:before="20" w:after="20"/>
            </w:pPr>
            <w:r/>
            <w:r>
              <w:rPr>
                <w:rFonts w:ascii="Calibri" w:hAnsi="Calibri" w:eastAsia="Calibri"/>
                <w:b/>
                <w:sz w:val="16"/>
              </w:rPr>
              <w:t>Manager/employee feedback forms</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Buddy feedback/rating; manager action notes; Form Builder for custom forms; managerFeedback/employeeFeedback features (default off).</w:t>
            </w:r>
          </w:p>
        </w:tc>
        <w:tc>
          <w:tcPr>
            <w:tcW w:type="dxa" w:w="3685"/>
          </w:tcPr>
          <w:p>
            <w:pPr>
              <w:spacing w:before="20" w:after="20"/>
            </w:pPr>
            <w:r/>
            <w:r>
              <w:rPr>
                <w:rFonts w:ascii="Calibri" w:hAnsi="Calibri" w:eastAsia="Calibri"/>
                <w:b w:val="0"/>
                <w:sz w:val="14"/>
              </w:rPr>
              <w:t>No default structured probation/induction feedback templates; not integrated into onboarding progress as mandatory gates.</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14</w:t>
            </w:r>
          </w:p>
        </w:tc>
        <w:tc>
          <w:tcPr>
            <w:tcW w:type="dxa" w:w="3118"/>
          </w:tcPr>
          <w:p>
            <w:pPr>
              <w:spacing w:before="20" w:after="20"/>
            </w:pPr>
            <w:r/>
            <w:r>
              <w:rPr>
                <w:rFonts w:ascii="Calibri" w:hAnsi="Calibri" w:eastAsia="Calibri"/>
                <w:b/>
                <w:sz w:val="16"/>
              </w:rPr>
              <w:t>Goal setting (KRA/KPI linkage)</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goalAssignment feature in registry (default off). Separate Goals module (goalController) exists but not linked to onboarding/probation workflow.</w:t>
            </w:r>
          </w:p>
        </w:tc>
        <w:tc>
          <w:tcPr>
            <w:tcW w:type="dxa" w:w="3685"/>
          </w:tcPr>
          <w:p>
            <w:pPr>
              <w:spacing w:before="20" w:after="20"/>
            </w:pPr>
            <w:r/>
            <w:r>
              <w:rPr>
                <w:rFonts w:ascii="Calibri" w:hAnsi="Calibri" w:eastAsia="Calibri"/>
                <w:b w:val="0"/>
                <w:sz w:val="14"/>
              </w:rPr>
              <w:t>KRA/KPI objects linked to probation confirmation; approve goals during onboarding; cascade to performance module.</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15</w:t>
            </w:r>
          </w:p>
        </w:tc>
        <w:tc>
          <w:tcPr>
            <w:tcW w:type="dxa" w:w="3118"/>
          </w:tcPr>
          <w:p>
            <w:pPr>
              <w:spacing w:before="20" w:after="20"/>
            </w:pPr>
            <w:r/>
            <w:r>
              <w:rPr>
                <w:rFonts w:ascii="Calibri" w:hAnsi="Calibri" w:eastAsia="Calibri"/>
                <w:b/>
                <w:sz w:val="16"/>
              </w:rPr>
              <w:t>Multi-country compliance auto-configuration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installIndustryPack / installCompliancePack in lifecycleConfigService; LifecycleConfigurationPanel for org setup. India compliance packs only.</w:t>
            </w:r>
          </w:p>
        </w:tc>
        <w:tc>
          <w:tcPr>
            <w:tcW w:type="dxa" w:w="3685"/>
          </w:tcPr>
          <w:p>
            <w:pPr>
              <w:spacing w:before="20" w:after="20"/>
            </w:pPr>
            <w:r/>
            <w:r>
              <w:rPr>
                <w:rFonts w:ascii="Calibri" w:hAnsi="Calibri" w:eastAsia="Calibri"/>
                <w:b w:val="0"/>
                <w:sz w:val="14"/>
              </w:rPr>
              <w:t>No auto-detect from org country; no US/UK/EU/ME packs; industry field does not auto-install packs; manual configuration required.</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1020"/>
            <w:gridSpan w:val="7"/>
            <w:shd w:fill="C45911" w:val="clear"/>
          </w:tcPr>
          <w:p>
            <w:pPr>
              <w:spacing w:before="20" w:after="20"/>
            </w:pPr>
            <w:r/>
            <w:r>
              <w:rPr>
                <w:rFonts w:ascii="Calibri" w:hAnsi="Calibri" w:eastAsia="Calibri"/>
                <w:b/>
                <w:color w:val="FFFFFF"/>
                <w:sz w:val="18"/>
              </w:rPr>
              <w:t>OFFBOARDING</w:t>
            </w:r>
          </w:p>
        </w:tc>
      </w:tr>
      <w:tr>
        <w:tc>
          <w:tcPr>
            <w:tcW w:type="dxa" w:w="567"/>
          </w:tcPr>
          <w:p>
            <w:pPr>
              <w:spacing w:before="20" w:after="20"/>
            </w:pPr>
            <w:r/>
            <w:r>
              <w:rPr>
                <w:rFonts w:ascii="Calibri" w:hAnsi="Calibri" w:eastAsia="Calibri"/>
                <w:b/>
                <w:sz w:val="16"/>
              </w:rPr>
              <w:t>16</w:t>
            </w:r>
          </w:p>
        </w:tc>
        <w:tc>
          <w:tcPr>
            <w:tcW w:type="dxa" w:w="3118"/>
          </w:tcPr>
          <w:p>
            <w:pPr>
              <w:spacing w:before="20" w:after="20"/>
            </w:pPr>
            <w:r/>
            <w:r>
              <w:rPr>
                <w:rFonts w:ascii="Calibri" w:hAnsi="Calibri" w:eastAsia="Calibri"/>
                <w:b/>
                <w:sz w:val="16"/>
              </w:rPr>
              <w:t>Resignation/termination initiation workflow</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OffboardingWorkflow: Resignation/Termination/Retirement/Contract End/Other; LWD, resignationDate, assignees, Draft→publish. Separate terminateEmployee on employee profile (not auto-linked).</w:t>
            </w:r>
          </w:p>
        </w:tc>
        <w:tc>
          <w:tcPr>
            <w:tcW w:type="dxa" w:w="3685"/>
          </w:tcPr>
          <w:p>
            <w:pPr>
              <w:spacing w:before="20" w:after="20"/>
            </w:pPr>
            <w:r/>
            <w:r>
              <w:rPr>
                <w:rFonts w:ascii="Calibri" w:hAnsi="Calibri" w:eastAsia="Calibri"/>
                <w:b w:val="0"/>
                <w:sz w:val="14"/>
              </w:rPr>
              <w:t>Auto-create offboarding on terminate; sync employee status on workflow completion.</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Small</w:t>
            </w:r>
          </w:p>
        </w:tc>
      </w:tr>
      <w:tr>
        <w:tc>
          <w:tcPr>
            <w:tcW w:type="dxa" w:w="567"/>
          </w:tcPr>
          <w:p>
            <w:pPr>
              <w:spacing w:before="20" w:after="20"/>
            </w:pPr>
            <w:r/>
            <w:r>
              <w:rPr>
                <w:rFonts w:ascii="Calibri" w:hAnsi="Calibri" w:eastAsia="Calibri"/>
                <w:b/>
                <w:sz w:val="16"/>
              </w:rPr>
              <w:t>17</w:t>
            </w:r>
          </w:p>
        </w:tc>
        <w:tc>
          <w:tcPr>
            <w:tcW w:type="dxa" w:w="3118"/>
          </w:tcPr>
          <w:p>
            <w:pPr>
              <w:spacing w:before="20" w:after="20"/>
            </w:pPr>
            <w:r/>
            <w:r>
              <w:rPr>
                <w:rFonts w:ascii="Calibri" w:hAnsi="Calibri" w:eastAsia="Calibri"/>
                <w:b/>
                <w:sz w:val="16"/>
              </w:rPr>
              <w:t>Notice period tracking &amp; alerts</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noticePeriodService: policy days, served/remaining, buyout, leave adjustment; applied on workflow create. OffboardingHub notice section; reminders 7/3/1/0 days before LWD.</w:t>
            </w:r>
          </w:p>
        </w:tc>
        <w:tc>
          <w:tcPr>
            <w:tcW w:type="dxa" w:w="3685"/>
          </w:tcPr>
          <w:p>
            <w:pPr>
              <w:spacing w:before="20" w:after="20"/>
            </w:pPr>
            <w:r/>
            <w:r>
              <w:rPr>
                <w:rFonts w:ascii="Calibri" w:hAnsi="Calibri" w:eastAsia="Calibri"/>
                <w:b w:val="0"/>
                <w:sz w:val="14"/>
              </w:rPr>
              <w:t>Grade/employment-type policy matrix; breach/compliance alerts; leave adjustment during notice default off; limited HR policy UI for complex rules.</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18</w:t>
            </w:r>
          </w:p>
        </w:tc>
        <w:tc>
          <w:tcPr>
            <w:tcW w:type="dxa" w:w="3118"/>
          </w:tcPr>
          <w:p>
            <w:pPr>
              <w:spacing w:before="20" w:after="20"/>
            </w:pPr>
            <w:r/>
            <w:r>
              <w:rPr>
                <w:rFonts w:ascii="Calibri" w:hAnsi="Calibri" w:eastAsia="Calibri"/>
                <w:b/>
                <w:sz w:val="16"/>
              </w:rPr>
              <w:t>Exit interview scheduling &amp; forms</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lifecycleExitInterviewService: templates, sessions, form builder integration, analytics. ExitInterviewHub + ExitInterviewWorkflowPanel in OffboardingHub. Feature defaultEnabled: false.</w:t>
            </w:r>
          </w:p>
        </w:tc>
        <w:tc>
          <w:tcPr>
            <w:tcW w:type="dxa" w:w="3685"/>
          </w:tcPr>
          <w:p>
            <w:pPr>
              <w:spacing w:before="20" w:after="20"/>
            </w:pPr>
            <w:r/>
            <w:r>
              <w:rPr>
                <w:rFonts w:ascii="Calibri" w:hAnsi="Calibri" w:eastAsia="Calibri"/>
                <w:b w:val="0"/>
                <w:sz w:val="14"/>
              </w:rPr>
              <w:t>Must be enabled and templates configured; auto-schedule on offboarding create not default; legacy offboarding path may still waive if template lacks exitInterview.enabled.</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19</w:t>
            </w:r>
          </w:p>
        </w:tc>
        <w:tc>
          <w:tcPr>
            <w:tcW w:type="dxa" w:w="3118"/>
          </w:tcPr>
          <w:p>
            <w:pPr>
              <w:spacing w:before="20" w:after="20"/>
            </w:pPr>
            <w:r/>
            <w:r>
              <w:rPr>
                <w:rFonts w:ascii="Calibri" w:hAnsi="Calibri" w:eastAsia="Calibri"/>
                <w:b/>
                <w:sz w:val="16"/>
              </w:rPr>
              <w:t>Multi-department clearance workflow (IT/Finance/Admin/Manager)</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Role-gated clearanceChecklist + tasks (hr/employee/manager/it/payroll/admin); progress weights; Hub clearance UI; adminClearance feature in registry.</w:t>
            </w:r>
          </w:p>
        </w:tc>
        <w:tc>
          <w:tcPr>
            <w:tcW w:type="dxa" w:w="3685"/>
          </w:tcPr>
          <w:p>
            <w:pPr>
              <w:spacing w:before="20" w:after="20"/>
            </w:pPr>
            <w:r/>
            <w:r>
              <w:rPr>
                <w:rFonts w:ascii="Calibri" w:hAnsi="Calibri" w:eastAsia="Calibri"/>
                <w:b w:val="0"/>
                <w:sz w:val="14"/>
              </w:rPr>
              <w:t>Default Admin/Facilities clearance item could be added to offboardingDefaults.</w:t>
            </w:r>
          </w:p>
        </w:tc>
        <w:tc>
          <w:tcPr>
            <w:tcW w:type="dxa" w:w="1134"/>
          </w:tcPr>
          <w:p>
            <w:pPr>
              <w:spacing w:before="20" w:after="20"/>
            </w:pPr>
            <w:r/>
            <w:r>
              <w:rPr>
                <w:rFonts w:ascii="Calibri" w:hAnsi="Calibri" w:eastAsia="Calibri"/>
                <w:b/>
                <w:sz w:val="16"/>
              </w:rPr>
              <w:t>Low</w:t>
            </w:r>
          </w:p>
        </w:tc>
        <w:tc>
          <w:tcPr>
            <w:tcW w:type="dxa" w:w="1020"/>
          </w:tcPr>
          <w:p>
            <w:pPr>
              <w:spacing w:before="20" w:after="20"/>
            </w:pPr>
            <w:r/>
            <w:r>
              <w:rPr>
                <w:rFonts w:ascii="Calibri" w:hAnsi="Calibri" w:eastAsia="Calibri"/>
                <w:b w:val="0"/>
                <w:sz w:val="16"/>
              </w:rPr>
              <w:t>Small</w:t>
            </w:r>
          </w:p>
        </w:tc>
      </w:tr>
      <w:tr>
        <w:tc>
          <w:tcPr>
            <w:tcW w:type="dxa" w:w="567"/>
          </w:tcPr>
          <w:p>
            <w:pPr>
              <w:spacing w:before="20" w:after="20"/>
            </w:pPr>
            <w:r/>
            <w:r>
              <w:rPr>
                <w:rFonts w:ascii="Calibri" w:hAnsi="Calibri" w:eastAsia="Calibri"/>
                <w:b/>
                <w:sz w:val="16"/>
              </w:rPr>
              <w:t>20</w:t>
            </w:r>
          </w:p>
        </w:tc>
        <w:tc>
          <w:tcPr>
            <w:tcW w:type="dxa" w:w="3118"/>
          </w:tcPr>
          <w:p>
            <w:pPr>
              <w:spacing w:before="20" w:after="20"/>
            </w:pPr>
            <w:r/>
            <w:r>
              <w:rPr>
                <w:rFonts w:ascii="Calibri" w:hAnsi="Calibri" w:eastAsia="Calibri"/>
                <w:b/>
                <w:sz w:val="16"/>
              </w:rPr>
              <w:t>Asset return tracking</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Pulls assigned assets from onboarding; return status/condition; IT/HR updates; auto-completes collect-assets task; assetDamageReporting feature; notifications.</w:t>
            </w:r>
          </w:p>
        </w:tc>
        <w:tc>
          <w:tcPr>
            <w:tcW w:type="dxa" w:w="3685"/>
          </w:tcPr>
          <w:p>
            <w:pPr>
              <w:spacing w:before="20" w:after="20"/>
            </w:pPr>
            <w:r/>
            <w:r>
              <w:rPr>
                <w:rFonts w:ascii="Calibri" w:hAnsi="Calibri" w:eastAsia="Calibri"/>
                <w:b w:val="0"/>
                <w:sz w:val="14"/>
              </w:rPr>
              <w:t>—</w:t>
            </w:r>
          </w:p>
        </w:tc>
        <w:tc>
          <w:tcPr>
            <w:tcW w:type="dxa" w:w="1134"/>
          </w:tcPr>
          <w:p>
            <w:pPr>
              <w:spacing w:before="20" w:after="20"/>
            </w:pPr>
            <w:r/>
            <w:r>
              <w:rPr>
                <w:rFonts w:ascii="Calibri" w:hAnsi="Calibri" w:eastAsia="Calibri"/>
                <w:b w:val="0"/>
                <w:sz w:val="16"/>
              </w:rPr>
              <w:t>—</w:t>
            </w:r>
          </w:p>
        </w:tc>
        <w:tc>
          <w:tcPr>
            <w:tcW w:type="dxa" w:w="1020"/>
          </w:tcPr>
          <w:p>
            <w:pPr>
              <w:spacing w:before="20" w:after="20"/>
            </w:pPr>
            <w:r/>
            <w:r>
              <w:rPr>
                <w:rFonts w:ascii="Calibri" w:hAnsi="Calibri" w:eastAsia="Calibri"/>
                <w:b w:val="0"/>
                <w:sz w:val="16"/>
              </w:rPr>
              <w:t>—</w:t>
            </w:r>
          </w:p>
        </w:tc>
      </w:tr>
      <w:tr>
        <w:tc>
          <w:tcPr>
            <w:tcW w:type="dxa" w:w="567"/>
          </w:tcPr>
          <w:p>
            <w:pPr>
              <w:spacing w:before="20" w:after="20"/>
            </w:pPr>
            <w:r/>
            <w:r>
              <w:rPr>
                <w:rFonts w:ascii="Calibri" w:hAnsi="Calibri" w:eastAsia="Calibri"/>
                <w:b/>
                <w:sz w:val="16"/>
              </w:rPr>
              <w:t>21</w:t>
            </w:r>
          </w:p>
        </w:tc>
        <w:tc>
          <w:tcPr>
            <w:tcW w:type="dxa" w:w="3118"/>
          </w:tcPr>
          <w:p>
            <w:pPr>
              <w:spacing w:before="20" w:after="20"/>
            </w:pPr>
            <w:r/>
            <w:r>
              <w:rPr>
                <w:rFonts w:ascii="Calibri" w:hAnsi="Calibri" w:eastAsia="Calibri"/>
                <w:b/>
                <w:sz w:val="16"/>
              </w:rPr>
              <w:t>Full &amp; Final (F&amp;F) settlement calculation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fnfSettlementService: calculateFnf (leave encashment, dues, recoveries, gratuity estimate), PDF summary, approval workflow. OffboardingHub F&amp;F section with calculate/submit/PDF.</w:t>
            </w:r>
          </w:p>
        </w:tc>
        <w:tc>
          <w:tcPr>
            <w:tcW w:type="dxa" w:w="3685"/>
          </w:tcPr>
          <w:p>
            <w:pPr>
              <w:spacing w:before="20" w:after="20"/>
            </w:pPr>
            <w:r/>
            <w:r>
              <w:rPr>
                <w:rFonts w:ascii="Calibri" w:hAnsi="Calibri" w:eastAsia="Calibri"/>
                <w:b w:val="0"/>
                <w:sz w:val="14"/>
              </w:rPr>
              <w:t>Not fully integrated with payroll off-cycle fnf run; gratuity calc is manual estimate; no statutory F&amp;F rules engine; tax/TDS on settlement basic.</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22</w:t>
            </w:r>
          </w:p>
        </w:tc>
        <w:tc>
          <w:tcPr>
            <w:tcW w:type="dxa" w:w="3118"/>
          </w:tcPr>
          <w:p>
            <w:pPr>
              <w:spacing w:before="20" w:after="20"/>
            </w:pPr>
            <w:r/>
            <w:r>
              <w:rPr>
                <w:rFonts w:ascii="Calibri" w:hAnsi="Calibri" w:eastAsia="Calibri"/>
                <w:b/>
                <w:sz w:val="16"/>
              </w:rPr>
              <w:t>Knowledge transfer checklist</w:t>
            </w:r>
          </w:p>
        </w:tc>
        <w:tc>
          <w:tcPr>
            <w:tcW w:type="dxa" w:w="1814"/>
            <w:shd w:fill="C6EFCE" w:val="clear"/>
          </w:tcPr>
          <w:p>
            <w:pPr>
              <w:spacing w:before="20" w:after="20"/>
            </w:pPr>
            <w:r/>
            <w:r>
              <w:rPr>
                <w:rFonts w:ascii="Calibri" w:hAnsi="Calibri" w:eastAsia="Calibri"/>
                <w:b/>
                <w:color w:val="006400"/>
                <w:sz w:val="16"/>
              </w:rPr>
              <w:t>✅ Covered</w:t>
            </w:r>
          </w:p>
        </w:tc>
        <w:tc>
          <w:tcPr>
            <w:tcW w:type="dxa" w:w="3969"/>
          </w:tcPr>
          <w:p>
            <w:pPr>
              <w:spacing w:before="20" w:after="20"/>
            </w:pPr>
            <w:r/>
            <w:r>
              <w:rPr>
                <w:rFonts w:ascii="Calibri" w:hAnsi="Calibri" w:eastAsia="Calibri"/>
                <w:b w:val="0"/>
                <w:sz w:val="14"/>
              </w:rPr>
              <w:t>KT items with topic/status/due; default handover topic; employee + manager approval tasks; overdue sync; projectHandover feature; Hub section.</w:t>
            </w:r>
          </w:p>
        </w:tc>
        <w:tc>
          <w:tcPr>
            <w:tcW w:type="dxa" w:w="3685"/>
          </w:tcPr>
          <w:p>
            <w:pPr>
              <w:spacing w:before="20" w:after="20"/>
            </w:pPr>
            <w:r/>
            <w:r>
              <w:rPr>
                <w:rFonts w:ascii="Calibri" w:hAnsi="Calibri" w:eastAsia="Calibri"/>
                <w:b w:val="0"/>
                <w:sz w:val="14"/>
              </w:rPr>
              <w:t>—</w:t>
            </w:r>
          </w:p>
        </w:tc>
        <w:tc>
          <w:tcPr>
            <w:tcW w:type="dxa" w:w="1134"/>
          </w:tcPr>
          <w:p>
            <w:pPr>
              <w:spacing w:before="20" w:after="20"/>
            </w:pPr>
            <w:r/>
            <w:r>
              <w:rPr>
                <w:rFonts w:ascii="Calibri" w:hAnsi="Calibri" w:eastAsia="Calibri"/>
                <w:b w:val="0"/>
                <w:sz w:val="16"/>
              </w:rPr>
              <w:t>—</w:t>
            </w:r>
          </w:p>
        </w:tc>
        <w:tc>
          <w:tcPr>
            <w:tcW w:type="dxa" w:w="1020"/>
          </w:tcPr>
          <w:p>
            <w:pPr>
              <w:spacing w:before="20" w:after="20"/>
            </w:pPr>
            <w:r/>
            <w:r>
              <w:rPr>
                <w:rFonts w:ascii="Calibri" w:hAnsi="Calibri" w:eastAsia="Calibri"/>
                <w:b w:val="0"/>
                <w:sz w:val="16"/>
              </w:rPr>
              <w:t>—</w:t>
            </w:r>
          </w:p>
        </w:tc>
      </w:tr>
      <w:tr>
        <w:tc>
          <w:tcPr>
            <w:tcW w:type="dxa" w:w="567"/>
          </w:tcPr>
          <w:p>
            <w:pPr>
              <w:spacing w:before="20" w:after="20"/>
            </w:pPr>
            <w:r/>
            <w:r>
              <w:rPr>
                <w:rFonts w:ascii="Calibri" w:hAnsi="Calibri" w:eastAsia="Calibri"/>
                <w:b/>
                <w:sz w:val="16"/>
              </w:rPr>
              <w:t>23</w:t>
            </w:r>
          </w:p>
        </w:tc>
        <w:tc>
          <w:tcPr>
            <w:tcW w:type="dxa" w:w="3118"/>
          </w:tcPr>
          <w:p>
            <w:pPr>
              <w:spacing w:before="20" w:after="20"/>
            </w:pPr>
            <w:r/>
            <w:r>
              <w:rPr>
                <w:rFonts w:ascii="Calibri" w:hAnsi="Calibri" w:eastAsia="Calibri"/>
                <w:b/>
                <w:sz w:val="16"/>
              </w:rPr>
              <w:t>System/access revocation automation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Manual accessRevocation checklist (email, HRMS, VPN, ID card); IT task auto-completes when done. emailAccessRemoval feature in registry.</w:t>
            </w:r>
          </w:p>
        </w:tc>
        <w:tc>
          <w:tcPr>
            <w:tcW w:type="dxa" w:w="3685"/>
          </w:tcPr>
          <w:p>
            <w:pPr>
              <w:spacing w:before="20" w:after="20"/>
            </w:pPr>
            <w:r/>
            <w:r>
              <w:rPr>
                <w:rFonts w:ascii="Calibri" w:hAnsi="Calibri" w:eastAsia="Calibri"/>
                <w:b w:val="0"/>
                <w:sz w:val="14"/>
              </w:rPr>
              <w:t>No automated revoke via IdP/SSO/AD/Google Workspace; no scheduled revoke on LWD; no audit of disabled accounts from identity provider.</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24</w:t>
            </w:r>
          </w:p>
        </w:tc>
        <w:tc>
          <w:tcPr>
            <w:tcW w:type="dxa" w:w="3118"/>
          </w:tcPr>
          <w:p>
            <w:pPr>
              <w:spacing w:before="20" w:after="20"/>
            </w:pPr>
            <w:r/>
            <w:r>
              <w:rPr>
                <w:rFonts w:ascii="Calibri" w:hAnsi="Calibri" w:eastAsia="Calibri"/>
                <w:b/>
                <w:sz w:val="16"/>
              </w:rPr>
              <w:t>Experience/relieving letter generation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lifecycleLetterService + LetterGeneratorHub: experience_letter, relieving_letter, service_certificate templates, PDF, triggers. OffboardingHub still uses manual experience letter upload.</w:t>
            </w:r>
          </w:p>
        </w:tc>
        <w:tc>
          <w:tcPr>
            <w:tcW w:type="dxa" w:w="3685"/>
          </w:tcPr>
          <w:p>
            <w:pPr>
              <w:spacing w:before="20" w:after="20"/>
            </w:pPr>
            <w:r/>
            <w:r>
              <w:rPr>
                <w:rFonts w:ascii="Calibri" w:hAnsi="Calibri" w:eastAsia="Calibri"/>
                <w:b w:val="0"/>
                <w:sz w:val="14"/>
              </w:rPr>
              <w:t>Wire Letter Generator into OffboardingHub workflow (auto-generate on clearance); relieving letter not in default offboarding task flow; employee self-service for generated letters.</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25</w:t>
            </w:r>
          </w:p>
        </w:tc>
        <w:tc>
          <w:tcPr>
            <w:tcW w:type="dxa" w:w="3118"/>
          </w:tcPr>
          <w:p>
            <w:pPr>
              <w:spacing w:before="20" w:after="20"/>
            </w:pPr>
            <w:r/>
            <w:r>
              <w:rPr>
                <w:rFonts w:ascii="Calibri" w:hAnsi="Calibri" w:eastAsia="Calibri"/>
                <w:b/>
                <w:sz w:val="16"/>
              </w:rPr>
              <w:t>Alumni/rehire tagging</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Employee.eligibleForRehire on terminateEmployee; rehireEligibility in exit interview analytics. alumniManagement/rehireEligibility features in registry (default off).</w:t>
            </w:r>
          </w:p>
        </w:tc>
        <w:tc>
          <w:tcPr>
            <w:tcW w:type="dxa" w:w="3685"/>
          </w:tcPr>
          <w:p>
            <w:pPr>
              <w:spacing w:before="20" w:after="20"/>
            </w:pPr>
            <w:r/>
            <w:r>
              <w:rPr>
                <w:rFonts w:ascii="Calibri" w:hAnsi="Calibri" w:eastAsia="Calibri"/>
                <w:b w:val="0"/>
                <w:sz w:val="14"/>
              </w:rPr>
              <w:t>No alumni pool/module; offboarding completion does not set alumni tag; no alumni portal or rehire workflow automation.</w:t>
            </w:r>
          </w:p>
        </w:tc>
        <w:tc>
          <w:tcPr>
            <w:tcW w:type="dxa" w:w="1134"/>
          </w:tcPr>
          <w:p>
            <w:pPr>
              <w:spacing w:before="20" w:after="20"/>
            </w:pPr>
            <w:r/>
            <w:r>
              <w:rPr>
                <w:rFonts w:ascii="Calibri" w:hAnsi="Calibri" w:eastAsia="Calibri"/>
                <w:b/>
                <w:sz w:val="16"/>
              </w:rPr>
              <w:t>Low</w:t>
            </w:r>
          </w:p>
        </w:tc>
        <w:tc>
          <w:tcPr>
            <w:tcW w:type="dxa" w:w="1020"/>
          </w:tcPr>
          <w:p>
            <w:pPr>
              <w:spacing w:before="20" w:after="20"/>
            </w:pPr>
            <w:r/>
            <w:r>
              <w:rPr>
                <w:rFonts w:ascii="Calibri" w:hAnsi="Calibri" w:eastAsia="Calibri"/>
                <w:b w:val="0"/>
                <w:sz w:val="16"/>
              </w:rPr>
              <w:t>Medium</w:t>
            </w:r>
          </w:p>
        </w:tc>
      </w:tr>
      <w:tr>
        <w:tc>
          <w:tcPr>
            <w:tcW w:type="dxa" w:w="1020"/>
            <w:gridSpan w:val="7"/>
            <w:shd w:fill="548235" w:val="clear"/>
          </w:tcPr>
          <w:p>
            <w:pPr>
              <w:spacing w:before="20" w:after="20"/>
            </w:pPr>
            <w:r/>
            <w:r>
              <w:rPr>
                <w:rFonts w:ascii="Calibri" w:hAnsi="Calibri" w:eastAsia="Calibri"/>
                <w:b/>
                <w:color w:val="FFFFFF"/>
                <w:sz w:val="18"/>
              </w:rPr>
              <w:t>INDUSTRY-SPECIFIC</w:t>
            </w:r>
          </w:p>
        </w:tc>
      </w:tr>
      <w:tr>
        <w:tc>
          <w:tcPr>
            <w:tcW w:type="dxa" w:w="567"/>
          </w:tcPr>
          <w:p>
            <w:pPr>
              <w:spacing w:before="20" w:after="20"/>
            </w:pPr>
            <w:r/>
            <w:r>
              <w:rPr>
                <w:rFonts w:ascii="Calibri" w:hAnsi="Calibri" w:eastAsia="Calibri"/>
                <w:b/>
                <w:sz w:val="16"/>
              </w:rPr>
              <w:t>26</w:t>
            </w:r>
          </w:p>
        </w:tc>
        <w:tc>
          <w:tcPr>
            <w:tcW w:type="dxa" w:w="3118"/>
          </w:tcPr>
          <w:p>
            <w:pPr>
              <w:spacing w:before="20" w:after="20"/>
            </w:pPr>
            <w:r/>
            <w:r>
              <w:rPr>
                <w:rFonts w:ascii="Calibri" w:hAnsi="Calibri" w:eastAsia="Calibri"/>
                <w:b/>
                <w:sz w:val="16"/>
              </w:rPr>
              <w:t>IT/Tech: NDA, IP agreement, code/repo access handling</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NDA checklist + eSignature policy type; industry.it pack (NDA, IP, repositoryAccess, laptop, software) installable via Lifecycle Config. Generic laptop/email assets.</w:t>
            </w:r>
          </w:p>
        </w:tc>
        <w:tc>
          <w:tcPr>
            <w:tcW w:type="dxa" w:w="3685"/>
          </w:tcPr>
          <w:p>
            <w:pPr>
              <w:spacing w:before="20" w:after="20"/>
            </w:pPr>
            <w:r/>
            <w:r>
              <w:rPr>
                <w:rFonts w:ascii="Calibri" w:hAnsi="Calibri" w:eastAsia="Calibri"/>
                <w:b w:val="0"/>
                <w:sz w:val="14"/>
              </w:rPr>
              <w:t>Pack enables feature flags only; no IP assignment agreement workflow; no GitHub/GitLab/repo provisioning or revoke checklist implementation.</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27</w:t>
            </w:r>
          </w:p>
        </w:tc>
        <w:tc>
          <w:tcPr>
            <w:tcW w:type="dxa" w:w="3118"/>
          </w:tcPr>
          <w:p>
            <w:pPr>
              <w:spacing w:before="20" w:after="20"/>
            </w:pPr>
            <w:r/>
            <w:r>
              <w:rPr>
                <w:rFonts w:ascii="Calibri" w:hAnsi="Calibri" w:eastAsia="Calibri"/>
                <w:b/>
                <w:sz w:val="16"/>
              </w:rPr>
              <w:t>Healthcare: License/credential verification &amp; revocation</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industry.healthcare pack defined (license, credentials features). Industry enum on org profile.</w:t>
            </w:r>
          </w:p>
        </w:tc>
        <w:tc>
          <w:tcPr>
            <w:tcW w:type="dxa" w:w="3685"/>
          </w:tcPr>
          <w:p>
            <w:pPr>
              <w:spacing w:before="20" w:after="20"/>
            </w:pPr>
            <w:r/>
            <w:r>
              <w:rPr>
                <w:rFonts w:ascii="Calibri" w:hAnsi="Calibri" w:eastAsia="Calibri"/>
                <w:b w:val="0"/>
                <w:sz w:val="14"/>
              </w:rPr>
              <w:t>No credential registry, expiry alerts, board verification, or privilege revoke on offboarding.</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28</w:t>
            </w:r>
          </w:p>
        </w:tc>
        <w:tc>
          <w:tcPr>
            <w:tcW w:type="dxa" w:w="3118"/>
          </w:tcPr>
          <w:p>
            <w:pPr>
              <w:spacing w:before="20" w:after="20"/>
            </w:pPr>
            <w:r/>
            <w:r>
              <w:rPr>
                <w:rFonts w:ascii="Calibri" w:hAnsi="Calibri" w:eastAsia="Calibri"/>
                <w:b/>
                <w:sz w:val="16"/>
              </w:rPr>
              <w:t>Manufacturing: Safety certification, PPE/tool tracking</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industry.manufacturing pack defined (safetyTraining, ppeAllocation, machineAuthorization).</w:t>
            </w:r>
          </w:p>
        </w:tc>
        <w:tc>
          <w:tcPr>
            <w:tcW w:type="dxa" w:w="3685"/>
          </w:tcPr>
          <w:p>
            <w:pPr>
              <w:spacing w:before="20" w:after="20"/>
            </w:pPr>
            <w:r/>
            <w:r>
              <w:rPr>
                <w:rFonts w:ascii="Calibri" w:hAnsi="Calibri" w:eastAsia="Calibri"/>
                <w:b w:val="0"/>
                <w:sz w:val="14"/>
              </w:rPr>
              <w:t>No safety induction modules, PPE issuance/return tracking, or tool crib workflows.</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29</w:t>
            </w:r>
          </w:p>
        </w:tc>
        <w:tc>
          <w:tcPr>
            <w:tcW w:type="dxa" w:w="3118"/>
          </w:tcPr>
          <w:p>
            <w:pPr>
              <w:spacing w:before="20" w:after="20"/>
            </w:pPr>
            <w:r/>
            <w:r>
              <w:rPr>
                <w:rFonts w:ascii="Calibri" w:hAnsi="Calibri" w:eastAsia="Calibri"/>
                <w:b/>
                <w:sz w:val="16"/>
              </w:rPr>
              <w:t>BFSI: AML/KYC checks, regulatory sign-off, audit trail</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industry.bfsi pack defined (amlKyc, regulatoryApproval). Generic lifecycle audit log exists.</w:t>
            </w:r>
          </w:p>
        </w:tc>
        <w:tc>
          <w:tcPr>
            <w:tcW w:type="dxa" w:w="3685"/>
          </w:tcPr>
          <w:p>
            <w:pPr>
              <w:spacing w:before="20" w:after="20"/>
            </w:pPr>
            <w:r/>
            <w:r>
              <w:rPr>
                <w:rFonts w:ascii="Calibri" w:hAnsi="Calibri" w:eastAsia="Calibri"/>
                <w:b w:val="0"/>
                <w:sz w:val="14"/>
              </w:rPr>
              <w:t>No KYC/AML checklist, maker-checker regulatory sign-off, or immutable compliance audit export.</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30</w:t>
            </w:r>
          </w:p>
        </w:tc>
        <w:tc>
          <w:tcPr>
            <w:tcW w:type="dxa" w:w="3118"/>
          </w:tcPr>
          <w:p>
            <w:pPr>
              <w:spacing w:before="20" w:after="20"/>
            </w:pPr>
            <w:r/>
            <w:r>
              <w:rPr>
                <w:rFonts w:ascii="Calibri" w:hAnsi="Calibri" w:eastAsia="Calibri"/>
                <w:b/>
                <w:sz w:val="16"/>
              </w:rPr>
              <w:t>Retail/Hospitality: High-volume/fast-track onboarding</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industry.retail pack (bulkHiring, fastTrackOnboarding, seasonalEmployee). Org bulk employee import.</w:t>
            </w:r>
          </w:p>
        </w:tc>
        <w:tc>
          <w:tcPr>
            <w:tcW w:type="dxa" w:w="3685"/>
          </w:tcPr>
          <w:p>
            <w:pPr>
              <w:spacing w:before="20" w:after="20"/>
            </w:pPr>
            <w:r/>
            <w:r>
              <w:rPr>
                <w:rFonts w:ascii="Calibri" w:hAnsi="Calibri" w:eastAsia="Calibri"/>
                <w:b w:val="0"/>
                <w:sz w:val="14"/>
              </w:rPr>
              <w:t>No fast-track lifecycle templates, bulk workflow creation, or mobile Day-1 flows.</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Medium</w:t>
            </w:r>
          </w:p>
        </w:tc>
      </w:tr>
      <w:tr>
        <w:tc>
          <w:tcPr>
            <w:tcW w:type="dxa" w:w="567"/>
          </w:tcPr>
          <w:p>
            <w:pPr>
              <w:spacing w:before="20" w:after="20"/>
            </w:pPr>
            <w:r/>
            <w:r>
              <w:rPr>
                <w:rFonts w:ascii="Calibri" w:hAnsi="Calibri" w:eastAsia="Calibri"/>
                <w:b/>
                <w:sz w:val="16"/>
              </w:rPr>
              <w:t>31</w:t>
            </w:r>
          </w:p>
        </w:tc>
        <w:tc>
          <w:tcPr>
            <w:tcW w:type="dxa" w:w="3118"/>
          </w:tcPr>
          <w:p>
            <w:pPr>
              <w:spacing w:before="20" w:after="20"/>
            </w:pPr>
            <w:r/>
            <w:r>
              <w:rPr>
                <w:rFonts w:ascii="Calibri" w:hAnsi="Calibri" w:eastAsia="Calibri"/>
                <w:b/>
                <w:sz w:val="16"/>
              </w:rPr>
              <w:t>Construction: Site safety induction, contractor classification</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industry.construction pack (siteSafety, contractorClassification, safetyCertification). ID card type includes contractor.</w:t>
            </w:r>
          </w:p>
        </w:tc>
        <w:tc>
          <w:tcPr>
            <w:tcW w:type="dxa" w:w="3685"/>
          </w:tcPr>
          <w:p>
            <w:pPr>
              <w:spacing w:before="20" w:after="20"/>
            </w:pPr>
            <w:r/>
            <w:r>
              <w:rPr>
                <w:rFonts w:ascii="Calibri" w:hAnsi="Calibri" w:eastAsia="Calibri"/>
                <w:b w:val="0"/>
                <w:sz w:val="14"/>
              </w:rPr>
              <w:t>No site induction checklist, contractor vs employee classification in lifecycle, or site permits.</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32</w:t>
            </w:r>
          </w:p>
        </w:tc>
        <w:tc>
          <w:tcPr>
            <w:tcW w:type="dxa" w:w="3118"/>
          </w:tcPr>
          <w:p>
            <w:pPr>
              <w:spacing w:before="20" w:after="20"/>
            </w:pPr>
            <w:r/>
            <w:r>
              <w:rPr>
                <w:rFonts w:ascii="Calibri" w:hAnsi="Calibri" w:eastAsia="Calibri"/>
                <w:b/>
                <w:sz w:val="16"/>
              </w:rPr>
              <w:t>Education: Child-safety background checks</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industry.education.childSafetyBgv in pack definition. Generic BGV service supports criminal checks.</w:t>
            </w:r>
          </w:p>
        </w:tc>
        <w:tc>
          <w:tcPr>
            <w:tcW w:type="dxa" w:w="3685"/>
          </w:tcPr>
          <w:p>
            <w:pPr>
              <w:spacing w:before="20" w:after="20"/>
            </w:pPr>
            <w:r/>
            <w:r>
              <w:rPr>
                <w:rFonts w:ascii="Calibri" w:hAnsi="Calibri" w:eastAsia="Calibri"/>
                <w:b w:val="0"/>
                <w:sz w:val="14"/>
              </w:rPr>
              <w:t>No child-protection-specific BGV type, barred-list integration, or periodic recheck workflow.</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Medium</w:t>
            </w:r>
          </w:p>
        </w:tc>
      </w:tr>
      <w:tr>
        <w:tc>
          <w:tcPr>
            <w:tcW w:type="dxa" w:w="1020"/>
            <w:gridSpan w:val="7"/>
            <w:shd w:fill="7030A0" w:val="clear"/>
          </w:tcPr>
          <w:p>
            <w:pPr>
              <w:spacing w:before="20" w:after="20"/>
            </w:pPr>
            <w:r/>
            <w:r>
              <w:rPr>
                <w:rFonts w:ascii="Calibri" w:hAnsi="Calibri" w:eastAsia="Calibri"/>
                <w:b/>
                <w:color w:val="FFFFFF"/>
                <w:sz w:val="18"/>
              </w:rPr>
              <w:t>COMPLIANCE (Country-Specific)</w:t>
            </w:r>
          </w:p>
        </w:tc>
      </w:tr>
      <w:tr>
        <w:tc>
          <w:tcPr>
            <w:tcW w:type="dxa" w:w="567"/>
          </w:tcPr>
          <w:p>
            <w:pPr>
              <w:spacing w:before="20" w:after="20"/>
            </w:pPr>
            <w:r/>
            <w:r>
              <w:rPr>
                <w:rFonts w:ascii="Calibri" w:hAnsi="Calibri" w:eastAsia="Calibri"/>
                <w:b/>
                <w:sz w:val="16"/>
              </w:rPr>
              <w:t>33</w:t>
            </w:r>
          </w:p>
        </w:tc>
        <w:tc>
          <w:tcPr>
            <w:tcW w:type="dxa" w:w="3118"/>
          </w:tcPr>
          <w:p>
            <w:pPr>
              <w:spacing w:before="20" w:after="20"/>
            </w:pPr>
            <w:r/>
            <w:r>
              <w:rPr>
                <w:rFonts w:ascii="Calibri" w:hAnsi="Calibri" w:eastAsia="Calibri"/>
                <w:b/>
                <w:sz w:val="16"/>
              </w:rPr>
              <w:t>US: I-9, W-4, at-will termination</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No US compliance pack, I-9/W-4 forms, E-Verify, or at-will termination artifacts.</w:t>
            </w:r>
          </w:p>
        </w:tc>
        <w:tc>
          <w:tcPr>
            <w:tcW w:type="dxa" w:w="3685"/>
          </w:tcPr>
          <w:p>
            <w:pPr>
              <w:spacing w:before="20" w:after="20"/>
            </w:pPr>
            <w:r/>
            <w:r>
              <w:rPr>
                <w:rFonts w:ascii="Calibri" w:hAnsi="Calibri" w:eastAsia="Calibri"/>
                <w:b w:val="0"/>
                <w:sz w:val="14"/>
              </w:rPr>
              <w:t>US compliance pack with I-9 Section 1/2, W-4 collection, E-Verify optional, at-will acknowledgment.</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34</w:t>
            </w:r>
          </w:p>
        </w:tc>
        <w:tc>
          <w:tcPr>
            <w:tcW w:type="dxa" w:w="3118"/>
          </w:tcPr>
          <w:p>
            <w:pPr>
              <w:spacing w:before="20" w:after="20"/>
            </w:pPr>
            <w:r/>
            <w:r>
              <w:rPr>
                <w:rFonts w:ascii="Calibri" w:hAnsi="Calibri" w:eastAsia="Calibri"/>
                <w:b/>
                <w:sz w:val="16"/>
              </w:rPr>
              <w:t>India: PF, ESI, Gratuity, Form 16</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Aadhaar/PAN onboarding; compliance.india packs (EPF, ESI, nomination, UAN, gratuity, Form 16 flags); PF/ESI/PT in payroll calc; EPF UAN on profile.</w:t>
            </w:r>
          </w:p>
        </w:tc>
        <w:tc>
          <w:tcPr>
            <w:tcW w:type="dxa" w:w="3685"/>
          </w:tcPr>
          <w:p>
            <w:pPr>
              <w:spacing w:before="20" w:after="20"/>
            </w:pPr>
            <w:r/>
            <w:r>
              <w:rPr>
                <w:rFonts w:ascii="Calibri" w:hAnsi="Calibri" w:eastAsia="Calibri"/>
                <w:b w:val="0"/>
                <w:sz w:val="14"/>
              </w:rPr>
              <w:t>Form 16 generation absent; gratuity not in F&amp;F engine; packs not auto-installed; PF/ESI not mandatory onboarding gates by default; statutory filing workflows missing.</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35</w:t>
            </w:r>
          </w:p>
        </w:tc>
        <w:tc>
          <w:tcPr>
            <w:tcW w:type="dxa" w:w="3118"/>
          </w:tcPr>
          <w:p>
            <w:pPr>
              <w:spacing w:before="20" w:after="20"/>
            </w:pPr>
            <w:r/>
            <w:r>
              <w:rPr>
                <w:rFonts w:ascii="Calibri" w:hAnsi="Calibri" w:eastAsia="Calibri"/>
                <w:b/>
                <w:sz w:val="16"/>
              </w:rPr>
              <w:t>UK: P45, Right-to-Work</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No UK compliance pack, P45 generation, or Right-to-Work document/check workflow.</w:t>
            </w:r>
          </w:p>
        </w:tc>
        <w:tc>
          <w:tcPr>
            <w:tcW w:type="dxa" w:w="3685"/>
          </w:tcPr>
          <w:p>
            <w:pPr>
              <w:spacing w:before="20" w:after="20"/>
            </w:pPr>
            <w:r/>
            <w:r>
              <w:rPr>
                <w:rFonts w:ascii="Calibri" w:hAnsi="Calibri" w:eastAsia="Calibri"/>
                <w:b w:val="0"/>
                <w:sz w:val="14"/>
              </w:rPr>
              <w:t>UK pack: RTW document types + expiry, P45 on exit, HMRC-oriented fields.</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36</w:t>
            </w:r>
          </w:p>
        </w:tc>
        <w:tc>
          <w:tcPr>
            <w:tcW w:type="dxa" w:w="3118"/>
          </w:tcPr>
          <w:p>
            <w:pPr>
              <w:spacing w:before="20" w:after="20"/>
            </w:pPr>
            <w:r/>
            <w:r>
              <w:rPr>
                <w:rFonts w:ascii="Calibri" w:hAnsi="Calibri" w:eastAsia="Calibri"/>
                <w:b/>
                <w:sz w:val="16"/>
              </w:rPr>
              <w:t>EU: GDPR consent, works council notification</w:t>
            </w:r>
          </w:p>
        </w:tc>
        <w:tc>
          <w:tcPr>
            <w:tcW w:type="dxa" w:w="1814"/>
            <w:shd w:fill="FFEB9C" w:val="clear"/>
          </w:tcPr>
          <w:p>
            <w:pPr>
              <w:spacing w:before="20" w:after="20"/>
            </w:pPr>
            <w:r/>
            <w:r>
              <w:rPr>
                <w:rFonts w:ascii="Calibri" w:hAnsi="Calibri" w:eastAsia="Calibri"/>
                <w:b/>
                <w:color w:val="965000"/>
                <w:sz w:val="16"/>
              </w:rPr>
              <w:t>⚠️ Partially Covered</w:t>
            </w:r>
          </w:p>
        </w:tc>
        <w:tc>
          <w:tcPr>
            <w:tcW w:type="dxa" w:w="3969"/>
          </w:tcPr>
          <w:p>
            <w:pPr>
              <w:spacing w:before="20" w:after="20"/>
            </w:pPr>
            <w:r/>
            <w:r>
              <w:rPr>
                <w:rFonts w:ascii="Calibri" w:hAnsi="Calibri" w:eastAsia="Calibri"/>
                <w:b w:val="0"/>
                <w:sz w:val="14"/>
              </w:rPr>
              <w:t>Org signup gdprConsent/privacy/DPA flags. compliance.india.digitalConsent for India only.</w:t>
            </w:r>
          </w:p>
        </w:tc>
        <w:tc>
          <w:tcPr>
            <w:tcW w:type="dxa" w:w="3685"/>
          </w:tcPr>
          <w:p>
            <w:pPr>
              <w:spacing w:before="20" w:after="20"/>
            </w:pPr>
            <w:r/>
            <w:r>
              <w:rPr>
                <w:rFonts w:ascii="Calibri" w:hAnsi="Calibri" w:eastAsia="Calibri"/>
                <w:b w:val="0"/>
                <w:sz w:val="14"/>
              </w:rPr>
              <w:t>No employee GDPR consent in onboarding; no DSAR/retention hooks; no works council notification on hire/terminate (DE/FR/NL).</w:t>
            </w:r>
          </w:p>
        </w:tc>
        <w:tc>
          <w:tcPr>
            <w:tcW w:type="dxa" w:w="1134"/>
          </w:tcPr>
          <w:p>
            <w:pPr>
              <w:spacing w:before="20" w:after="20"/>
            </w:pPr>
            <w:r/>
            <w:r>
              <w:rPr>
                <w:rFonts w:ascii="Calibri" w:hAnsi="Calibri" w:eastAsia="Calibri"/>
                <w:b/>
                <w:sz w:val="16"/>
              </w:rPr>
              <w:t>High</w:t>
            </w:r>
          </w:p>
        </w:tc>
        <w:tc>
          <w:tcPr>
            <w:tcW w:type="dxa" w:w="1020"/>
          </w:tcPr>
          <w:p>
            <w:pPr>
              <w:spacing w:before="20" w:after="20"/>
            </w:pPr>
            <w:r/>
            <w:r>
              <w:rPr>
                <w:rFonts w:ascii="Calibri" w:hAnsi="Calibri" w:eastAsia="Calibri"/>
                <w:b w:val="0"/>
                <w:sz w:val="16"/>
              </w:rPr>
              <w:t>Large</w:t>
            </w:r>
          </w:p>
        </w:tc>
      </w:tr>
      <w:tr>
        <w:tc>
          <w:tcPr>
            <w:tcW w:type="dxa" w:w="567"/>
          </w:tcPr>
          <w:p>
            <w:pPr>
              <w:spacing w:before="20" w:after="20"/>
            </w:pPr>
            <w:r/>
            <w:r>
              <w:rPr>
                <w:rFonts w:ascii="Calibri" w:hAnsi="Calibri" w:eastAsia="Calibri"/>
                <w:b/>
                <w:sz w:val="16"/>
              </w:rPr>
              <w:t>37</w:t>
            </w:r>
          </w:p>
        </w:tc>
        <w:tc>
          <w:tcPr>
            <w:tcW w:type="dxa" w:w="3118"/>
          </w:tcPr>
          <w:p>
            <w:pPr>
              <w:spacing w:before="20" w:after="20"/>
            </w:pPr>
            <w:r/>
            <w:r>
              <w:rPr>
                <w:rFonts w:ascii="Calibri" w:hAnsi="Calibri" w:eastAsia="Calibri"/>
                <w:b/>
                <w:sz w:val="16"/>
              </w:rPr>
              <w:t>Middle East: Labour card/visa linkage</w:t>
            </w:r>
          </w:p>
        </w:tc>
        <w:tc>
          <w:tcPr>
            <w:tcW w:type="dxa" w:w="1814"/>
            <w:shd w:fill="FFC7CE" w:val="clear"/>
          </w:tcPr>
          <w:p>
            <w:pPr>
              <w:spacing w:before="20" w:after="20"/>
            </w:pPr>
            <w:r/>
            <w:r>
              <w:rPr>
                <w:rFonts w:ascii="Calibri" w:hAnsi="Calibri" w:eastAsia="Calibri"/>
                <w:b/>
                <w:color w:val="A00000"/>
                <w:sz w:val="16"/>
              </w:rPr>
              <w:t>❌ Not Covered</w:t>
            </w:r>
          </w:p>
        </w:tc>
        <w:tc>
          <w:tcPr>
            <w:tcW w:type="dxa" w:w="3969"/>
          </w:tcPr>
          <w:p>
            <w:pPr>
              <w:spacing w:before="20" w:after="20"/>
            </w:pPr>
            <w:r/>
            <w:r>
              <w:rPr>
                <w:rFonts w:ascii="Calibri" w:hAnsi="Calibri" w:eastAsia="Calibri"/>
                <w:b w:val="0"/>
                <w:sz w:val="14"/>
              </w:rPr>
              <w:t>Timezone/currency options include UAE/Dubai. No labour card, visa, or iqama fields/workflows.</w:t>
            </w:r>
          </w:p>
        </w:tc>
        <w:tc>
          <w:tcPr>
            <w:tcW w:type="dxa" w:w="3685"/>
          </w:tcPr>
          <w:p>
            <w:pPr>
              <w:spacing w:before="20" w:after="20"/>
            </w:pPr>
            <w:r/>
            <w:r>
              <w:rPr>
                <w:rFonts w:ascii="Calibri" w:hAnsi="Calibri" w:eastAsia="Calibri"/>
                <w:b w:val="0"/>
                <w:sz w:val="14"/>
              </w:rPr>
              <w:t>ME compliance pack: visa/labour-card fields, expiry alerts, sponsorship linkage, exit permit checklist.</w:t>
            </w:r>
          </w:p>
        </w:tc>
        <w:tc>
          <w:tcPr>
            <w:tcW w:type="dxa" w:w="1134"/>
          </w:tcPr>
          <w:p>
            <w:pPr>
              <w:spacing w:before="20" w:after="20"/>
            </w:pPr>
            <w:r/>
            <w:r>
              <w:rPr>
                <w:rFonts w:ascii="Calibri" w:hAnsi="Calibri" w:eastAsia="Calibri"/>
                <w:b/>
                <w:sz w:val="16"/>
              </w:rPr>
              <w:t>Medium</w:t>
            </w:r>
          </w:p>
        </w:tc>
        <w:tc>
          <w:tcPr>
            <w:tcW w:type="dxa" w:w="1020"/>
          </w:tcPr>
          <w:p>
            <w:pPr>
              <w:spacing w:before="20" w:after="20"/>
            </w:pPr>
            <w:r/>
            <w:r>
              <w:rPr>
                <w:rFonts w:ascii="Calibri" w:hAnsi="Calibri" w:eastAsia="Calibri"/>
                <w:b w:val="0"/>
                <w:sz w:val="16"/>
              </w:rPr>
              <w:t>Large</w:t>
            </w:r>
          </w:p>
        </w:tc>
      </w:tr>
    </w:tbl>
    <w:p/>
    <w:p>
      <w:pPr>
        <w:spacing w:after="80" w:before="0"/>
      </w:pPr>
      <w:r>
        <w:rPr>
          <w:rFonts w:ascii="Calibri" w:hAnsi="Calibri" w:eastAsia="Calibri"/>
          <w:b/>
          <w:color w:val="1F4E79"/>
          <w:sz w:val="26"/>
        </w:rPr>
        <w:t>Coverage Scorecard</w:t>
      </w:r>
    </w:p>
    <w:tbl>
      <w:tblPr>
        <w:tblStyle w:val="TableGrid"/>
        <w:tblW w:type="auto" w:w="0"/>
        <w:tblLook w:firstColumn="1" w:firstRow="1" w:lastColumn="0" w:lastRow="0" w:noHBand="0" w:noVBand="1" w:val="04A0"/>
      </w:tblPr>
      <w:tblGrid>
        <w:gridCol w:w="3050"/>
        <w:gridCol w:w="3050"/>
        <w:gridCol w:w="3050"/>
        <w:gridCol w:w="3050"/>
        <w:gridCol w:w="3050"/>
      </w:tblGrid>
      <w:tr>
        <w:tc>
          <w:tcPr>
            <w:tcW w:type="dxa" w:w="3050"/>
            <w:shd w:fill="1F4E79" w:val="clear"/>
          </w:tcPr>
          <w:p>
            <w:pPr>
              <w:spacing w:before="20" w:after="20"/>
            </w:pPr>
            <w:r>
              <w:rPr>
                <w:color w:val="FFFFFF"/>
              </w:rPr>
            </w:r>
            <w:r>
              <w:rPr>
                <w:rFonts w:ascii="Calibri" w:hAnsi="Calibri" w:eastAsia="Calibri"/>
                <w:b/>
                <w:color w:val="FFFFFF"/>
                <w:sz w:val="18"/>
              </w:rPr>
              <w:t>Total Items</w:t>
            </w:r>
          </w:p>
        </w:tc>
        <w:tc>
          <w:tcPr>
            <w:tcW w:type="dxa" w:w="3050"/>
            <w:shd w:fill="C6EFCE" w:val="clear"/>
          </w:tcPr>
          <w:p>
            <w:pPr>
              <w:spacing w:before="20" w:after="20"/>
            </w:pPr>
            <w:r/>
            <w:r>
              <w:rPr>
                <w:rFonts w:ascii="Calibri" w:hAnsi="Calibri" w:eastAsia="Calibri"/>
                <w:b/>
                <w:sz w:val="18"/>
              </w:rPr>
              <w:t>Covered</w:t>
            </w:r>
          </w:p>
        </w:tc>
        <w:tc>
          <w:tcPr>
            <w:tcW w:type="dxa" w:w="3050"/>
            <w:shd w:fill="FFEB9C" w:val="clear"/>
          </w:tcPr>
          <w:p>
            <w:pPr>
              <w:spacing w:before="20" w:after="20"/>
            </w:pPr>
            <w:r/>
            <w:r>
              <w:rPr>
                <w:rFonts w:ascii="Calibri" w:hAnsi="Calibri" w:eastAsia="Calibri"/>
                <w:b/>
                <w:sz w:val="18"/>
              </w:rPr>
              <w:t>Partial</w:t>
            </w:r>
          </w:p>
        </w:tc>
        <w:tc>
          <w:tcPr>
            <w:tcW w:type="dxa" w:w="3050"/>
            <w:shd w:fill="FFC7CE" w:val="clear"/>
          </w:tcPr>
          <w:p>
            <w:pPr>
              <w:spacing w:before="20" w:after="20"/>
            </w:pPr>
            <w:r/>
            <w:r>
              <w:rPr>
                <w:rFonts w:ascii="Calibri" w:hAnsi="Calibri" w:eastAsia="Calibri"/>
                <w:b/>
                <w:sz w:val="18"/>
              </w:rPr>
              <w:t>Not Covered</w:t>
            </w:r>
          </w:p>
        </w:tc>
        <w:tc>
          <w:tcPr>
            <w:tcW w:type="dxa" w:w="3050"/>
            <w:shd w:fill="D9D9D9" w:val="clear"/>
          </w:tcPr>
          <w:p>
            <w:pPr>
              <w:spacing w:before="20" w:after="20"/>
            </w:pPr>
            <w:r/>
            <w:r>
              <w:rPr>
                <w:rFonts w:ascii="Calibri" w:hAnsi="Calibri" w:eastAsia="Calibri"/>
                <w:b/>
                <w:sz w:val="18"/>
              </w:rPr>
              <w:t>N/A</w:t>
            </w:r>
          </w:p>
        </w:tc>
      </w:tr>
      <w:tr>
        <w:tc>
          <w:tcPr>
            <w:tcW w:type="dxa" w:w="3050"/>
            <w:shd w:fill="D6E3F0" w:val="clear"/>
          </w:tcPr>
          <w:p>
            <w:pPr>
              <w:spacing w:before="20" w:after="20"/>
            </w:pPr>
            <w:r/>
            <w:r>
              <w:rPr>
                <w:rFonts w:ascii="Calibri" w:hAnsi="Calibri" w:eastAsia="Calibri"/>
                <w:b/>
                <w:sz w:val="28"/>
              </w:rPr>
              <w:t>37</w:t>
            </w:r>
          </w:p>
        </w:tc>
        <w:tc>
          <w:tcPr>
            <w:tcW w:type="dxa" w:w="3050"/>
            <w:shd w:fill="C6EFCE" w:val="clear"/>
          </w:tcPr>
          <w:p>
            <w:pPr>
              <w:spacing w:before="20" w:after="20"/>
            </w:pPr>
            <w:r/>
            <w:r>
              <w:rPr>
                <w:rFonts w:ascii="Calibri" w:hAnsi="Calibri" w:eastAsia="Calibri"/>
                <w:b/>
                <w:sz w:val="28"/>
              </w:rPr>
              <w:t>8</w:t>
            </w:r>
          </w:p>
        </w:tc>
        <w:tc>
          <w:tcPr>
            <w:tcW w:type="dxa" w:w="3050"/>
            <w:shd w:fill="FFEB9C" w:val="clear"/>
          </w:tcPr>
          <w:p>
            <w:pPr>
              <w:spacing w:before="20" w:after="20"/>
            </w:pPr>
            <w:r/>
            <w:r>
              <w:rPr>
                <w:rFonts w:ascii="Calibri" w:hAnsi="Calibri" w:eastAsia="Calibri"/>
                <w:b/>
                <w:sz w:val="28"/>
              </w:rPr>
              <w:t>19</w:t>
            </w:r>
          </w:p>
        </w:tc>
        <w:tc>
          <w:tcPr>
            <w:tcW w:type="dxa" w:w="3050"/>
            <w:shd w:fill="FFC7CE" w:val="clear"/>
          </w:tcPr>
          <w:p>
            <w:pPr>
              <w:spacing w:before="20" w:after="20"/>
            </w:pPr>
            <w:r/>
            <w:r>
              <w:rPr>
                <w:rFonts w:ascii="Calibri" w:hAnsi="Calibri" w:eastAsia="Calibri"/>
                <w:b/>
                <w:sz w:val="28"/>
              </w:rPr>
              <w:t>10</w:t>
            </w:r>
          </w:p>
        </w:tc>
        <w:tc>
          <w:tcPr>
            <w:tcW w:type="dxa" w:w="3050"/>
            <w:shd w:fill="D9D9D9" w:val="clear"/>
          </w:tcPr>
          <w:p>
            <w:pPr>
              <w:spacing w:before="20" w:after="20"/>
            </w:pPr>
            <w:r/>
            <w:r>
              <w:rPr>
                <w:rFonts w:ascii="Calibri" w:hAnsi="Calibri" w:eastAsia="Calibri"/>
                <w:b/>
                <w:sz w:val="28"/>
              </w:rPr>
              <w:t>0</w:t>
            </w:r>
          </w:p>
        </w:tc>
      </w:tr>
    </w:tbl>
    <w:p/>
    <w:p>
      <w:pPr>
        <w:spacing w:after="80" w:before="0"/>
      </w:pPr>
      <w:r>
        <w:rPr>
          <w:rFonts w:ascii="Calibri" w:hAnsi="Calibri" w:eastAsia="Calibri"/>
          <w:b/>
          <w:color w:val="1F4E79"/>
          <w:sz w:val="26"/>
        </w:rPr>
        <w:t>Priority Recommendations (Top Gaps)</w:t>
      </w:r>
    </w:p>
    <w:p>
      <w:pPr>
        <w:spacing w:after="40" w:before="0"/>
      </w:pPr>
      <w:r>
        <w:rPr>
          <w:rFonts w:ascii="Calibri" w:hAnsi="Calibri" w:eastAsia="Calibri"/>
          <w:b w:val="0"/>
          <w:sz w:val="18"/>
        </w:rPr>
        <w:t>1. High / Large — Non-India compliance packs (US I-9/W-4, UK P45/RTW, EU GDPR employee consent, ME visa/labour card) + auto country detection (items 15, 33–37).</w:t>
      </w:r>
    </w:p>
    <w:p>
      <w:pPr>
        <w:spacing w:after="40" w:before="0"/>
      </w:pPr>
      <w:r>
        <w:rPr>
          <w:rFonts w:ascii="Calibri" w:hAnsi="Calibri" w:eastAsia="Calibri"/>
          <w:b w:val="0"/>
          <w:sz w:val="18"/>
        </w:rPr>
        <w:t>2. High / Large — Production e-sign integration + offer-to-onboarding handoff in primary Hub (item 1).</w:t>
      </w:r>
    </w:p>
    <w:p>
      <w:pPr>
        <w:spacing w:after="40" w:before="0"/>
      </w:pPr>
      <w:r>
        <w:rPr>
          <w:rFonts w:ascii="Calibri" w:hAnsi="Calibri" w:eastAsia="Calibri"/>
          <w:b w:val="0"/>
          <w:sz w:val="18"/>
        </w:rPr>
        <w:t>3. High / Medium — Surface BGV in OnboardingHub; enable for regulated industries; vendor integrations (items 3, 32).</w:t>
      </w:r>
    </w:p>
    <w:p>
      <w:pPr>
        <w:spacing w:after="40" w:before="0"/>
      </w:pPr>
      <w:r>
        <w:rPr>
          <w:rFonts w:ascii="Calibri" w:hAnsi="Calibri" w:eastAsia="Calibri"/>
          <w:b w:val="0"/>
          <w:sz w:val="18"/>
        </w:rPr>
        <w:t>4. High / Large — F&amp;F engine bridged to Payroll off-cycle; statutory gratuity/TDS (item 21).</w:t>
      </w:r>
    </w:p>
    <w:p>
      <w:pPr>
        <w:spacing w:after="40" w:before="0"/>
      </w:pPr>
      <w:r>
        <w:rPr>
          <w:rFonts w:ascii="Calibri" w:hAnsi="Calibri" w:eastAsia="Calibri"/>
          <w:b w:val="0"/>
          <w:sz w:val="18"/>
        </w:rPr>
        <w:t>5. High / Large — Automated access revocation via IdP/SSO on LWD (item 23).</w:t>
      </w:r>
    </w:p>
    <w:p>
      <w:pPr>
        <w:spacing w:after="40" w:before="0"/>
      </w:pPr>
      <w:r>
        <w:rPr>
          <w:rFonts w:ascii="Calibri" w:hAnsi="Calibri" w:eastAsia="Calibri"/>
          <w:b w:val="0"/>
          <w:sz w:val="18"/>
        </w:rPr>
        <w:t>6. High / Medium — Full probation lifecycle + wire Letter Generator into offboarding for experience/relieving (items 12, 24).</w:t>
      </w:r>
    </w:p>
    <w:p>
      <w:pPr>
        <w:spacing w:after="40" w:before="0"/>
      </w:pPr>
      <w:r>
        <w:rPr>
          <w:rFonts w:ascii="Calibri" w:hAnsi="Calibri" w:eastAsia="Calibri"/>
          <w:b w:val="0"/>
          <w:sz w:val="18"/>
        </w:rPr>
        <w:t>7. Medium — 30-60-90 milestones; LMS SSO; industry pack workflow implementations (items 10, 11, 26–31).</w:t>
      </w:r>
    </w:p>
    <w:p>
      <w:pPr>
        <w:spacing w:after="40" w:before="0"/>
      </w:pPr>
      <w:r>
        <w:rPr>
          <w:rFonts w:ascii="Calibri" w:hAnsi="Calibri" w:eastAsia="Calibri"/>
          <w:b w:val="0"/>
          <w:sz w:val="18"/>
        </w:rPr>
        <w:t>8. UX — Enable exit interview + BGV by default for enterprise tier; consolidate advanced features from Lifecycle Config into Hub UI.</w:t>
      </w:r>
    </w:p>
    <w:p/>
    <w:p>
      <w:pPr>
        <w:spacing w:after="40" w:before="0"/>
      </w:pPr>
      <w:r>
        <w:rPr>
          <w:rFonts w:ascii="Calibri" w:hAnsi="Calibri" w:eastAsia="Calibri"/>
          <w:b/>
          <w:color w:val="1F4E79"/>
          <w:sz w:val="22"/>
        </w:rPr>
        <w:t>Methodology</w:t>
      </w:r>
    </w:p>
    <w:p>
      <w:pPr>
        <w:spacing w:after="80" w:before="0"/>
      </w:pPr>
      <w:r>
        <w:rPr>
          <w:rFonts w:ascii="Calibri" w:hAnsi="Calibri" w:eastAsia="Calibri"/>
          <w:b w:val="0"/>
          <w:sz w:val="16"/>
        </w:rPr>
        <w:t>Audit based on source inspection of lifecycle platform (lifecycleFeatureRegistry, lifecycleCompliancePacks, lifecycleIndustryPacks, lifecycleDocumentCatalog, offerLetterService, backgroundVerificationService, noticePeriodService, fnfSettlementService, lifecycleExitInterviewService, lifecycleLetterService, lifecycleConfigService, lifecycleFormEngine), workflow engines (onboardingService, offboardingService), and UI (OnboardingHub, OffboardingHub, EmployeeLifecycle, LifecycleConfigurationPanel, LetterGeneratorHub, FormBuilderHub, ExitInterviewHub). Status reflects end-user capability in production paths — features that exist only in unrouted pages or disabled-by-default config are rated Partial or Not Covered.</w:t>
      </w:r>
    </w:p>
    <w:p>
      <w:pPr>
        <w:spacing w:after="120" w:before="0"/>
        <w:jc w:val="center"/>
      </w:pPr>
      <w:r>
        <w:rPr>
          <w:rFonts w:ascii="Calibri" w:hAnsi="Calibri" w:eastAsia="Calibri"/>
          <w:b w:val="0"/>
          <w:color w:val="808080"/>
          <w:sz w:val="16"/>
        </w:rPr>
        <w:t>Confidential — Internal Product / QA Use</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