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END-TO-END-RETAIL-DATA-ENGINEERING-PIPELINE</w:t>
      </w:r>
    </w:p>
    <w:p w:rsidR="00000000" w:rsidDel="00000000" w:rsidP="00000000" w:rsidRDefault="00000000" w:rsidRPr="00000000" w14:paraId="00000002">
      <w:pPr>
        <w:jc w:val="center"/>
        <w:rPr>
          <w:b w:val="1"/>
          <w:bCs w:val="1"/>
          <w:sz w:val="32"/>
          <w:szCs w:val="32"/>
          <w:u w:val="single"/>
        </w:rPr>
      </w:pPr>
      <w:r w:rsidDel="00000000" w:rsidR="00000000" w:rsidRPr="00000000">
        <w:rPr>
          <w:rtl w:val="0"/>
        </w:rPr>
      </w:r>
    </w:p>
    <w:p w:rsidR="00000000" w:rsidDel="00000000" w:rsidP="00000000" w:rsidRDefault="00000000" w:rsidRPr="00000000" w14:paraId="00000003">
      <w:pPr>
        <w:jc w:val="center"/>
        <w:rPr>
          <w:b w:val="1"/>
          <w:bCs w:val="1"/>
          <w:sz w:val="32"/>
          <w:szCs w:val="32"/>
          <w:u w:val="single"/>
        </w:rPr>
      </w:pPr>
      <w:r w:rsidDel="00000000" w:rsidR="00000000" w:rsidRPr="00000000">
        <w:rPr>
          <w:b w:val="1"/>
          <w:bCs w:val="1"/>
          <w:sz w:val="32"/>
          <w:szCs w:val="32"/>
          <w:u w:val="single"/>
          <w:rtl w:val="0"/>
        </w:rPr>
        <w:t xml:space="preserve">SCREENSHOTS</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u w:val="single"/>
        </w:rPr>
      </w:pPr>
      <w:r w:rsidDel="00000000" w:rsidR="00000000" w:rsidRPr="00000000">
        <w:rPr>
          <w:b w:val="1"/>
          <w:bCs w:val="1"/>
          <w:sz w:val="28"/>
          <w:szCs w:val="28"/>
          <w:rtl w:val="0"/>
        </w:rPr>
        <w:t xml:space="preserve">1.</w:t>
      </w:r>
      <w:r w:rsidDel="00000000" w:rsidR="00000000" w:rsidRPr="00000000">
        <w:rPr>
          <w:b w:val="1"/>
          <w:bCs w:val="1"/>
          <w:sz w:val="28"/>
          <w:szCs w:val="28"/>
          <w:u w:val="single"/>
          <w:rtl w:val="0"/>
        </w:rPr>
        <w:t xml:space="preserve"> ARCHITECTURE</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The project follows a modern Lakehouse architecture where retail data is ingested from AWS S3 and PostgreSQL into Databricks using Change Data Capture (CDC). Data is transformed through Bronze, Silver, and Gold layers using dbt and orchestrated end-to-end with Apache Airflow.</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Pr>
        <w:drawing>
          <wp:inline distB="114300" distT="114300" distL="114300" distR="114300">
            <wp:extent cx="5943600" cy="27559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b w:val="1"/>
          <w:bCs w:val="1"/>
          <w:sz w:val="28"/>
          <w:szCs w:val="28"/>
          <w:u w:val="single"/>
        </w:rPr>
      </w:pPr>
      <w:r w:rsidDel="00000000" w:rsidR="00000000" w:rsidRPr="00000000">
        <w:rPr>
          <w:b w:val="1"/>
          <w:bCs w:val="1"/>
          <w:sz w:val="28"/>
          <w:szCs w:val="28"/>
          <w:u w:val="single"/>
          <w:rtl w:val="0"/>
        </w:rPr>
        <w:t xml:space="preserve">2. AIRFLOW DAG</w:t>
      </w:r>
    </w:p>
    <w:p w:rsidR="00000000" w:rsidDel="00000000" w:rsidP="00000000" w:rsidRDefault="00000000" w:rsidRPr="00000000" w14:paraId="0000000E">
      <w:pPr>
        <w:rPr>
          <w:b w:val="1"/>
          <w:bCs w:val="1"/>
          <w:sz w:val="28"/>
          <w:szCs w:val="28"/>
          <w:u w:val="single"/>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Apache Airflow orchestrates the complete workflow including: - CDC ingestion - Source freshness checks - Silver transformations - Data quality tests - Gold layer creation - Star Schema generation</w:t>
      </w:r>
    </w:p>
    <w:p w:rsidR="00000000" w:rsidDel="00000000" w:rsidP="00000000" w:rsidRDefault="00000000" w:rsidRPr="00000000" w14:paraId="00000010">
      <w:pPr>
        <w:rPr>
          <w:sz w:val="18"/>
          <w:szCs w:val="18"/>
        </w:rPr>
      </w:pPr>
      <w:r w:rsidDel="00000000" w:rsidR="00000000" w:rsidRPr="00000000">
        <w:rPr>
          <w:sz w:val="18"/>
          <w:szCs w:val="18"/>
        </w:rPr>
        <w:drawing>
          <wp:inline distB="114300" distT="114300" distL="114300" distR="114300">
            <wp:extent cx="6215063" cy="113347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15063"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8"/>
          <w:szCs w:val="28"/>
          <w:u w:val="single"/>
        </w:rPr>
      </w:pPr>
      <w:r w:rsidDel="00000000" w:rsidR="00000000" w:rsidRPr="00000000">
        <w:rPr>
          <w:b w:val="1"/>
          <w:bCs w:val="1"/>
          <w:sz w:val="28"/>
          <w:szCs w:val="28"/>
          <w:u w:val="single"/>
          <w:rtl w:val="0"/>
        </w:rPr>
        <w:t xml:space="preserve">3.  DATABRICKS CATALOG</w:t>
      </w:r>
    </w:p>
    <w:p w:rsidR="00000000" w:rsidDel="00000000" w:rsidP="00000000" w:rsidRDefault="00000000" w:rsidRPr="00000000" w14:paraId="00000014">
      <w:pPr>
        <w:rPr>
          <w:b w:val="1"/>
          <w:bCs w:val="1"/>
          <w:sz w:val="28"/>
          <w:szCs w:val="28"/>
          <w:u w:val="single"/>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Lakehouse Structure - The Databricks Unity Catalog contains separate Bronze, Silver, and Gold schemas following the Medallion Architecture. - Bronze: Raw ingestion - Silver: Cleaned &amp; transformed data - Gold: Analytics-ready dimensional model</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5943600" cy="37211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28"/>
          <w:szCs w:val="28"/>
          <w:u w:val="single"/>
        </w:rPr>
      </w:pPr>
      <w:r w:rsidDel="00000000" w:rsidR="00000000" w:rsidRPr="00000000">
        <w:rPr>
          <w:b w:val="1"/>
          <w:bCs w:val="1"/>
          <w:sz w:val="28"/>
          <w:szCs w:val="28"/>
          <w:u w:val="single"/>
          <w:rtl w:val="0"/>
        </w:rPr>
        <w:t xml:space="preserve">4. DATABRICKS JOBS &amp; PIPELINES</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Automated ingestion jobs execute incremental data loads from AWS S3 into Delta Lake using Databricks Jobs.</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Pr>
        <w:drawing>
          <wp:inline distB="114300" distT="114300" distL="114300" distR="114300">
            <wp:extent cx="5943600" cy="37211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5943600" cy="3721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8"/>
          <w:szCs w:val="28"/>
          <w:u w:val="single"/>
        </w:rPr>
      </w:pPr>
      <w:r w:rsidDel="00000000" w:rsidR="00000000" w:rsidRPr="00000000">
        <w:rPr>
          <w:b w:val="1"/>
          <w:bCs w:val="1"/>
          <w:sz w:val="28"/>
          <w:szCs w:val="28"/>
          <w:u w:val="single"/>
          <w:rtl w:val="0"/>
        </w:rPr>
        <w:t xml:space="preserve">5. SUCCESSFUL AIRFLOW RUN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8"/>
          <w:szCs w:val="28"/>
          <w:rtl w:val="0"/>
        </w:rPr>
        <w:t xml:space="preserve">The entire pipeline completes successfully from ingestion to Gold layer creation using Apache Airflow.</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Pr>
        <w:drawing>
          <wp:inline distB="114300" distT="114300" distL="114300" distR="114300">
            <wp:extent cx="5943600" cy="37211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sz w:val="28"/>
          <w:szCs w:val="28"/>
          <w:u w:val="single"/>
          <w:rtl w:val="0"/>
        </w:rPr>
        <w:t xml:space="preserve">6. AWS S3</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Retail datasets are stored in Amazon S3 and serve as the landing zone for the ingestion pipeline.</w:t>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