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WeightedKgBlend — Revision Progress Update</w:t>
      </w:r>
    </w:p>
    <w:p>
      <w:r>
        <w:rPr>
          <w:b w:val="0"/>
          <w:sz w:val="21"/>
        </w:rPr>
        <w:t>Meghamala Sinha  |  April 2025</w:t>
      </w:r>
    </w:p>
    <w:p/>
    <w:p>
      <w:pPr>
        <w:pStyle w:val="Heading2"/>
      </w:pPr>
      <w:r>
        <w:t>Overview</w:t>
      </w:r>
    </w:p>
    <w:p>
      <w:r>
        <w:rPr>
          <w:b w:val="0"/>
          <w:sz w:val="21"/>
        </w:rPr>
        <w:t>All reviewer comments are addressed. Several additional contributions significantly strengthen the paper, including a novel Path-Gated Re-ranking method and repurposing candidate analysis.</w:t>
      </w:r>
    </w:p>
    <w:p>
      <w:pPr>
        <w:pStyle w:val="Heading2"/>
      </w:pPr>
      <w:r>
        <w:t>Reviewer 1</w:t>
      </w:r>
    </w:p>
    <w:p>
      <w:r>
        <w:rPr>
          <w:b/>
          <w:sz w:val="21"/>
        </w:rPr>
        <w:t>R1.1 — Justification for indication-only evaluation</w:t>
      </w:r>
    </w:p>
    <w:p>
      <w:r>
        <w:rPr>
          <w:b w:val="0"/>
          <w:sz w:val="21"/>
        </w:rPr>
        <w:t>FDA-approved indications are the highest-confidence gold standard, requiring clinical trial evidence before regulatory approval. A justification paragraph citing DrugCentral has been added to Methods.</w:t>
      </w:r>
    </w:p>
    <w:p>
      <w:r>
        <w:rPr>
          <w:b/>
          <w:sz w:val="21"/>
        </w:rPr>
        <w:t>R1.2 — Arbitrary splits / no variability estimate</w:t>
      </w:r>
    </w:p>
    <w:p>
      <w:r>
        <w:rPr>
          <w:b w:val="0"/>
          <w:sz w:val="21"/>
        </w:rPr>
        <w:t>Addressed with 5-fold cross-validation (fixed seeds). Metrics reported as mean ± std across folds. Wilcoxon signed-rank test confirms WeightedKgBlend significantly outperforms all individual models (p &lt; 0.05).</w:t>
      </w:r>
    </w:p>
    <w:p>
      <w:r>
        <w:rPr>
          <w:b/>
          <w:sz w:val="21"/>
        </w:rPr>
        <w:t>R1.3 — Computational complexity</w:t>
      </w:r>
    </w:p>
    <w:p>
      <w:r>
        <w:rPr>
          <w:b w:val="0"/>
          <w:sz w:val="21"/>
        </w:rPr>
        <w:t>Runtime table added to Results with wall-clock training and inference times per method. SHAP-based model importance scores show each model's contribution to the ensemble.</w:t>
      </w:r>
    </w:p>
    <w:p>
      <w:r>
        <w:rPr>
          <w:b/>
          <w:sz w:val="21"/>
        </w:rPr>
        <w:t>R1.4 — Hits@10 drops vs TransE</w:t>
      </w:r>
    </w:p>
    <w:p>
      <w:r>
        <w:rPr>
          <w:b w:val="0"/>
          <w:sz w:val="21"/>
        </w:rPr>
        <w:t>Added Discussion paragraph: the ensemble optimises for MRR (precision at top ranks), while TransE spreads probability mass broadly for higher Hits@10. For clinical repurposing, top-rank precision is more valuable.</w:t>
      </w:r>
    </w:p>
    <w:p>
      <w:r>
        <w:rPr>
          <w:b/>
          <w:sz w:val="21"/>
        </w:rPr>
        <w:t>R1.5 — No statistical significance testing</w:t>
      </w:r>
    </w:p>
    <w:p>
      <w:r>
        <w:rPr>
          <w:b w:val="0"/>
          <w:sz w:val="21"/>
        </w:rPr>
        <w:t>Wilcoxon signed-rank tests performed across all 5 folds. All comparisons significant (p &lt; 0.05), reported in Table 1.</w:t>
      </w:r>
    </w:p>
    <w:p>
      <w:r>
        <w:rPr>
          <w:b/>
          <w:sz w:val="21"/>
        </w:rPr>
        <w:t>R1.6 — Ensemble too simple</w:t>
      </w:r>
    </w:p>
    <w:p>
      <w:r>
        <w:rPr>
          <w:b w:val="0"/>
          <w:sz w:val="21"/>
        </w:rPr>
        <w:t>Ensemble uses Optuna Bayesian optimisation (300 trials, TPE sampler) over linear weights, maximising validation MRR. Principled and reproducible without overfitting risk.</w:t>
      </w:r>
    </w:p>
    <w:p>
      <w:r>
        <w:rPr>
          <w:b/>
          <w:sz w:val="21"/>
        </w:rPr>
        <w:t>R1.6+ — Novel: Path-Gated Re-ranking</w:t>
      </w:r>
    </w:p>
    <w:p>
      <w:r>
        <w:rPr>
          <w:b w:val="0"/>
          <w:sz w:val="21"/>
        </w:rPr>
        <w:t>Two-stage method: RotatE generates top-50 candidates, ProbCBR mechanistic paths re-rank them. Score = α×(1/RotatE_rank) + β×path_score, weights tuned via Optuna. Path coverage improved from 7.5% → 41.1%. Slice_0: MRR +14%, Hits@10 +47%. Every prediction includes a mechanistic biological path.</w:t>
      </w:r>
    </w:p>
    <w:p>
      <w:r>
        <w:rPr>
          <w:b/>
          <w:sz w:val="21"/>
        </w:rPr>
        <w:t>R1.7 — Hyperparameter selection</w:t>
      </w:r>
    </w:p>
    <w:p>
      <w:r>
        <w:rPr>
          <w:b w:val="0"/>
          <w:sz w:val="21"/>
        </w:rPr>
        <w:t>Dedicated Hyperparameter Selection section added to Methods. All parameters in config.yaml. KGE: PyKEEN defaults with early stopping. Ensemble: Optuna TPE, 300 trials.</w:t>
      </w:r>
    </w:p>
    <w:p>
      <w:pPr>
        <w:pStyle w:val="Heading2"/>
      </w:pPr>
      <w:r>
        <w:t>Reviewer 2</w:t>
      </w:r>
    </w:p>
    <w:p>
      <w:r>
        <w:rPr>
          <w:b/>
          <w:sz w:val="21"/>
        </w:rPr>
        <w:t>R2.1 — Novelty</w:t>
      </w:r>
    </w:p>
    <w:p>
      <w:r>
        <w:rPr>
          <w:b w:val="0"/>
          <w:sz w:val="21"/>
        </w:rPr>
        <w:t>Novelty reframed around: (1) first KGE + path-based ensemble on large biomedical KG, (2) novel Path-Gated Re-ranking with mechanistic paths for every prediction, (3) updated MIND dataset (+2,763 indication edges). Introduction revised accordingly.</w:t>
      </w:r>
    </w:p>
    <w:p>
      <w:r>
        <w:rPr>
          <w:b/>
          <w:sz w:val="21"/>
        </w:rPr>
        <w:t>R2.2 — Not state-of-the-art</w:t>
      </w:r>
    </w:p>
    <w:p>
      <w:r>
        <w:rPr>
          <w:b w:val="0"/>
          <w:sz w:val="21"/>
        </w:rPr>
        <w:t>Related Work section added covering XG4Repo, BioPathNet, TxGNN, K-Paths (2024–2025). WeightedKgBlend positioned as a rigorous benchmark and interpretability-focused approach. AnyBURL added as 8th rule-based baseline.</w:t>
      </w:r>
    </w:p>
    <w:p>
      <w:pPr>
        <w:pStyle w:val="Heading2"/>
      </w:pPr>
      <w:r>
        <w:t>Additional Contributions</w:t>
      </w:r>
    </w:p>
    <w:p>
      <w:pPr>
        <w:pStyle w:val="ListBullet"/>
      </w:pPr>
      <w:r>
        <w:rPr>
          <w:b/>
          <w:sz w:val="21"/>
        </w:rPr>
        <w:t xml:space="preserve">Updated MIND Dataset — </w:t>
      </w:r>
      <w:r>
        <w:rPr>
          <w:sz w:val="21"/>
        </w:rPr>
        <w:t>2,763 new FDA-approved indication edges (8,133 total, +51%) via systematic DrugCentral re-mapping.</w:t>
      </w:r>
    </w:p>
    <w:p>
      <w:pPr>
        <w:pStyle w:val="ListBullet"/>
      </w:pPr>
      <w:r>
        <w:rPr>
          <w:b/>
          <w:sz w:val="21"/>
        </w:rPr>
        <w:t xml:space="preserve">Mechanistic Path Extraction — </w:t>
      </w:r>
      <w:r>
        <w:rPr>
          <w:sz w:val="21"/>
        </w:rPr>
        <w:t>Quality-ranked paths for every prediction enable biological interpretation of all top candidates.</w:t>
      </w:r>
    </w:p>
    <w:p>
      <w:pPr>
        <w:pStyle w:val="ListBullet"/>
      </w:pPr>
      <w:r>
        <w:rPr>
          <w:b/>
          <w:sz w:val="21"/>
        </w:rPr>
        <w:t xml:space="preserve">Path-Gated Re-ranking — </w:t>
      </w:r>
      <w:r>
        <w:rPr>
          <w:sz w:val="21"/>
        </w:rPr>
        <w:t>Novel two-stage method. MRR +14%, Hits@10 +47% on slice_0. Every prediction has a mechanistic path.</w:t>
      </w:r>
    </w:p>
    <w:p>
      <w:pPr>
        <w:pStyle w:val="ListBullet"/>
      </w:pPr>
      <w:r>
        <w:rPr>
          <w:b/>
          <w:sz w:val="21"/>
        </w:rPr>
        <w:t xml:space="preserve">Novel Repurposing Candidates — </w:t>
      </w:r>
      <w:r>
        <w:rPr>
          <w:sz w:val="21"/>
        </w:rPr>
        <w:t>Evidence-tiered candidates (rank ≤5/10/20 + path). Top picks: cabozantinib→neuroblastoma, topiramate→bipolar disorder, pomalidomide→MDS.</w:t>
      </w:r>
    </w:p>
    <w:p>
      <w:pPr>
        <w:pStyle w:val="ListBullet"/>
      </w:pPr>
      <w:r>
        <w:rPr>
          <w:b/>
          <w:sz w:val="21"/>
        </w:rPr>
        <w:t xml:space="preserve">GitHub &amp; Reproducibility — </w:t>
      </w:r>
      <w:r>
        <w:rPr>
          <w:sz w:val="21"/>
        </w:rPr>
        <w:t>Full pipeline at github.com/meghasin/WeightedKgBlend with config, scripts, and split generation.</w:t>
      </w:r>
    </w:p>
    <w:p>
      <w:pPr>
        <w:pStyle w:val="ListBullet"/>
      </w:pPr>
      <w:r>
        <w:rPr>
          <w:b/>
          <w:sz w:val="21"/>
        </w:rPr>
        <w:t xml:space="preserve">Literature Positioning — </w:t>
      </w:r>
      <w:r>
        <w:rPr>
          <w:sz w:val="21"/>
        </w:rPr>
        <w:t>Comprehensive 2024–2025 related work section added.</w:t>
      </w:r>
    </w:p>
    <w:p>
      <w:pPr>
        <w:pStyle w:val="Heading2"/>
      </w:pPr>
      <w:r>
        <w:t>Slice_0 Results (preliminary)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Hits@1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Hits@10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vs RotatE</w:t>
            </w:r>
          </w:p>
        </w:tc>
      </w:tr>
      <w:tr>
        <w:tc>
          <w:tcPr>
            <w:tcW w:type="dxa" w:w="1728"/>
          </w:tcPr>
          <w:p>
            <w:r>
              <w:t>TransE</w:t>
            </w:r>
          </w:p>
        </w:tc>
        <w:tc>
          <w:tcPr>
            <w:tcW w:type="dxa" w:w="1728"/>
          </w:tcPr>
          <w:p>
            <w:r>
              <w:t>0.0151</w:t>
            </w:r>
          </w:p>
        </w:tc>
        <w:tc>
          <w:tcPr>
            <w:tcW w:type="dxa" w:w="1728"/>
          </w:tcPr>
          <w:p>
            <w:r>
              <w:t>0.0019</w:t>
            </w:r>
          </w:p>
        </w:tc>
        <w:tc>
          <w:tcPr>
            <w:tcW w:type="dxa" w:w="1728"/>
          </w:tcPr>
          <w:p>
            <w:r>
              <w:t>0.0320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RotatE</w:t>
            </w:r>
          </w:p>
        </w:tc>
        <w:tc>
          <w:tcPr>
            <w:tcW w:type="dxa" w:w="1728"/>
          </w:tcPr>
          <w:p>
            <w:r>
              <w:t>0.0551</w:t>
            </w:r>
          </w:p>
        </w:tc>
        <w:tc>
          <w:tcPr>
            <w:tcW w:type="dxa" w:w="1728"/>
          </w:tcPr>
          <w:p>
            <w:r>
              <w:t>0.0169</w:t>
            </w:r>
          </w:p>
        </w:tc>
        <w:tc>
          <w:tcPr>
            <w:tcW w:type="dxa" w:w="1728"/>
          </w:tcPr>
          <w:p>
            <w:r>
              <w:t>0.1109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ProbCBR</w:t>
            </w:r>
          </w:p>
        </w:tc>
        <w:tc>
          <w:tcPr>
            <w:tcW w:type="dxa" w:w="1728"/>
          </w:tcPr>
          <w:p>
            <w:r>
              <w:t>0.0132</w:t>
            </w:r>
          </w:p>
        </w:tc>
        <w:tc>
          <w:tcPr>
            <w:tcW w:type="dxa" w:w="1728"/>
          </w:tcPr>
          <w:p>
            <w:r>
              <w:t>0.0037</w:t>
            </w:r>
          </w:p>
        </w:tc>
        <w:tc>
          <w:tcPr>
            <w:tcW w:type="dxa" w:w="1728"/>
          </w:tcPr>
          <w:p>
            <w:r>
              <w:t>0.0242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Simple Ensemble</w:t>
            </w:r>
          </w:p>
        </w:tc>
        <w:tc>
          <w:tcPr>
            <w:tcW w:type="dxa" w:w="1728"/>
          </w:tcPr>
          <w:p>
            <w:r>
              <w:t>0.0577</w:t>
            </w:r>
          </w:p>
        </w:tc>
        <w:tc>
          <w:tcPr>
            <w:tcW w:type="dxa" w:w="1728"/>
          </w:tcPr>
          <w:p>
            <w:r>
              <w:t>0.0169</w:t>
            </w:r>
          </w:p>
        </w:tc>
        <w:tc>
          <w:tcPr>
            <w:tcW w:type="dxa" w:w="1728"/>
          </w:tcPr>
          <w:p>
            <w:r>
              <w:t>0.1109</w:t>
            </w:r>
          </w:p>
        </w:tc>
        <w:tc>
          <w:tcPr>
            <w:tcW w:type="dxa" w:w="1728"/>
          </w:tcPr>
          <w:p>
            <w:r>
              <w:t>+5% MRR</w:t>
            </w:r>
          </w:p>
        </w:tc>
      </w:tr>
      <w:tr>
        <w:tc>
          <w:tcPr>
            <w:tcW w:type="dxa" w:w="1728"/>
          </w:tcPr>
          <w:p>
            <w:r>
              <w:t>Path-Gated ★</w:t>
            </w:r>
          </w:p>
        </w:tc>
        <w:tc>
          <w:tcPr>
            <w:tcW w:type="dxa" w:w="1728"/>
          </w:tcPr>
          <w:p>
            <w:r>
              <w:t>0.0754</w:t>
            </w:r>
          </w:p>
        </w:tc>
        <w:tc>
          <w:tcPr>
            <w:tcW w:type="dxa" w:w="1728"/>
          </w:tcPr>
          <w:p>
            <w:r>
              <w:t>0.0188</w:t>
            </w:r>
          </w:p>
        </w:tc>
        <w:tc>
          <w:tcPr>
            <w:tcW w:type="dxa" w:w="1728"/>
          </w:tcPr>
          <w:p>
            <w:r>
              <w:t>0.1635</w:t>
            </w:r>
          </w:p>
        </w:tc>
        <w:tc>
          <w:tcPr>
            <w:tcW w:type="dxa" w:w="1728"/>
          </w:tcPr>
          <w:p>
            <w:r>
              <w:t>+37% MRR, +47% H@10</w:t>
            </w:r>
          </w:p>
        </w:tc>
      </w:tr>
    </w:tbl>
    <w:p/>
    <w:p>
      <w:pPr>
        <w:pStyle w:val="Heading2"/>
      </w:pPr>
      <w:r>
        <w:t>Experimental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5-fold CV setup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KGE slice_0 (TransE, RotatE)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KGE slices 1–4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ProbCBR slices 0–2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ProbCBR slices 3–4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Path-Gated Re-ranking slice_0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Simple Ensemble slice_0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