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8AA" w:rsidRDefault="007758AA"/>
    <w:p w:rsidR="00A002F7" w:rsidRPr="00A002F7" w:rsidRDefault="00A002F7" w:rsidP="00A002F7">
      <w:pPr>
        <w:shd w:val="clear" w:color="auto" w:fill="F2F2F2"/>
        <w:spacing w:before="600" w:after="300" w:line="240" w:lineRule="auto"/>
        <w:jc w:val="center"/>
        <w:outlineLvl w:val="0"/>
        <w:rPr>
          <w:rFonts w:ascii="Arial" w:eastAsia="Times New Roman" w:hAnsi="Arial" w:cs="Arial"/>
          <w:color w:val="252525"/>
          <w:sz w:val="21"/>
          <w:szCs w:val="21"/>
        </w:rPr>
      </w:pPr>
      <w:r w:rsidRPr="00A002F7">
        <w:rPr>
          <w:rFonts w:ascii="Arial" w:eastAsia="Times New Roman" w:hAnsi="Arial" w:cs="Arial"/>
          <w:color w:val="252525"/>
          <w:sz w:val="21"/>
          <w:szCs w:val="21"/>
        </w:rPr>
        <w:t>WORKING CAPITAL</w:t>
      </w:r>
    </w:p>
    <w:p w:rsidR="00A002F7" w:rsidRPr="00A002F7" w:rsidRDefault="00A002F7" w:rsidP="00A002F7">
      <w:pPr>
        <w:shd w:val="clear" w:color="auto" w:fill="F2F2F2"/>
        <w:spacing w:after="300" w:line="405" w:lineRule="atLeast"/>
        <w:ind w:left="1350"/>
        <w:jc w:val="center"/>
        <w:rPr>
          <w:rFonts w:ascii="Arial" w:eastAsia="Times New Roman" w:hAnsi="Arial" w:cs="Arial"/>
          <w:color w:val="252525"/>
          <w:sz w:val="21"/>
          <w:szCs w:val="21"/>
        </w:rPr>
      </w:pPr>
      <w:r w:rsidRPr="00A002F7">
        <w:rPr>
          <w:rFonts w:ascii="Arial" w:eastAsia="Times New Roman" w:hAnsi="Arial" w:cs="Arial"/>
          <w:color w:val="252525"/>
          <w:sz w:val="21"/>
          <w:szCs w:val="21"/>
        </w:rPr>
        <w:t>Working Capital knowledge base : Everything you need to know before proceeding.</w:t>
      </w:r>
    </w:p>
    <w:p w:rsidR="00A002F7" w:rsidRPr="00A002F7" w:rsidRDefault="00A002F7" w:rsidP="00A002F7">
      <w:pPr>
        <w:shd w:val="clear" w:color="auto" w:fill="F2F2F2"/>
        <w:spacing w:after="150" w:line="240" w:lineRule="auto"/>
        <w:outlineLvl w:val="2"/>
        <w:rPr>
          <w:rFonts w:ascii="Arial" w:eastAsia="Times New Roman" w:hAnsi="Arial" w:cs="Arial"/>
          <w:color w:val="252525"/>
          <w:sz w:val="21"/>
          <w:szCs w:val="21"/>
        </w:rPr>
      </w:pPr>
      <w:r w:rsidRPr="00A002F7">
        <w:rPr>
          <w:rFonts w:ascii="Arial" w:eastAsia="Times New Roman" w:hAnsi="Arial" w:cs="Arial"/>
          <w:color w:val="252525"/>
          <w:sz w:val="21"/>
          <w:szCs w:val="21"/>
        </w:rPr>
        <w:t>What is Working Capital Loan?</w:t>
      </w:r>
    </w:p>
    <w:p w:rsidR="00A002F7" w:rsidRDefault="00A002F7" w:rsidP="00A002F7">
      <w:pPr>
        <w:shd w:val="clear" w:color="auto" w:fill="F2F2F2"/>
        <w:spacing w:after="150" w:line="405" w:lineRule="atLeast"/>
        <w:ind w:left="1350"/>
        <w:jc w:val="both"/>
        <w:rPr>
          <w:rFonts w:ascii="Arial" w:eastAsia="Times New Roman" w:hAnsi="Arial" w:cs="Arial"/>
          <w:color w:val="252525"/>
          <w:sz w:val="21"/>
          <w:szCs w:val="21"/>
        </w:rPr>
      </w:pPr>
      <w:r>
        <w:rPr>
          <w:rFonts w:ascii="Arial" w:eastAsia="Times New Roman" w:hAnsi="Arial" w:cs="Arial"/>
          <w:color w:val="252525"/>
          <w:sz w:val="21"/>
          <w:szCs w:val="21"/>
        </w:rPr>
        <w:t>Every business entity requires funds to purchase Fixed assets like Plant and Machinery, Land, Building etc. and some finance to meet their day to day requirements like to purchase raw material, pay salaries, electricity bills etc. The finance required to meet daily requirements is called working capital. Nowadays, banks are very aggressively providing funds to business houses to meet their working capital requirement and</w:t>
      </w:r>
      <w:r w:rsidRPr="00A002F7">
        <w:rPr>
          <w:rFonts w:ascii="Arial" w:eastAsia="Times New Roman" w:hAnsi="Arial" w:cs="Arial"/>
          <w:color w:val="252525"/>
          <w:sz w:val="21"/>
          <w:szCs w:val="21"/>
        </w:rPr>
        <w:t xml:space="preserve"> daily operational expenditure.</w:t>
      </w:r>
    </w:p>
    <w:p w:rsidR="00A002F7" w:rsidRPr="00A002F7" w:rsidRDefault="00A002F7" w:rsidP="00A002F7">
      <w:pPr>
        <w:shd w:val="clear" w:color="auto" w:fill="F2F2F2"/>
        <w:spacing w:after="150" w:line="405" w:lineRule="atLeast"/>
        <w:ind w:left="1350"/>
        <w:jc w:val="both"/>
        <w:rPr>
          <w:rFonts w:ascii="Arial" w:eastAsia="Times New Roman" w:hAnsi="Arial" w:cs="Arial"/>
          <w:color w:val="252525"/>
          <w:sz w:val="21"/>
          <w:szCs w:val="21"/>
        </w:rPr>
      </w:pPr>
    </w:p>
    <w:p w:rsidR="00A002F7" w:rsidRPr="00A002F7" w:rsidRDefault="00A002F7" w:rsidP="00A002F7">
      <w:pPr>
        <w:shd w:val="clear" w:color="auto" w:fill="F2F2F2"/>
        <w:spacing w:after="150" w:line="240" w:lineRule="auto"/>
        <w:outlineLvl w:val="2"/>
        <w:rPr>
          <w:rFonts w:ascii="Arial" w:eastAsia="Times New Roman" w:hAnsi="Arial" w:cs="Arial"/>
          <w:color w:val="252525"/>
          <w:sz w:val="21"/>
          <w:szCs w:val="21"/>
        </w:rPr>
      </w:pPr>
      <w:r w:rsidRPr="00A002F7">
        <w:rPr>
          <w:rFonts w:ascii="Arial" w:eastAsia="Times New Roman" w:hAnsi="Arial" w:cs="Arial"/>
          <w:color w:val="252525"/>
          <w:sz w:val="21"/>
          <w:szCs w:val="21"/>
        </w:rPr>
        <w:t>Collateral accepted for Working Capital Loans include:</w:t>
      </w:r>
    </w:p>
    <w:p w:rsidR="00A002F7" w:rsidRPr="00A002F7" w:rsidRDefault="00A002F7" w:rsidP="00A002F7">
      <w:pPr>
        <w:numPr>
          <w:ilvl w:val="0"/>
          <w:numId w:val="1"/>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sidRPr="00A002F7">
        <w:rPr>
          <w:rFonts w:ascii="Arial" w:eastAsia="Times New Roman" w:hAnsi="Arial" w:cs="Arial"/>
          <w:color w:val="252525"/>
          <w:sz w:val="21"/>
          <w:szCs w:val="21"/>
        </w:rPr>
        <w:t>Stock.</w:t>
      </w:r>
    </w:p>
    <w:p w:rsidR="00A002F7" w:rsidRPr="00A002F7" w:rsidRDefault="00A002F7" w:rsidP="00A002F7">
      <w:pPr>
        <w:numPr>
          <w:ilvl w:val="0"/>
          <w:numId w:val="1"/>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sidRPr="00A002F7">
        <w:rPr>
          <w:rFonts w:ascii="Arial" w:eastAsia="Times New Roman" w:hAnsi="Arial" w:cs="Arial"/>
          <w:color w:val="252525"/>
          <w:sz w:val="21"/>
          <w:szCs w:val="21"/>
        </w:rPr>
        <w:t>Book Debts.</w:t>
      </w:r>
    </w:p>
    <w:p w:rsidR="00A002F7" w:rsidRPr="00A002F7" w:rsidRDefault="00A002F7" w:rsidP="00A002F7">
      <w:pPr>
        <w:numPr>
          <w:ilvl w:val="0"/>
          <w:numId w:val="1"/>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sidRPr="00A002F7">
        <w:rPr>
          <w:rFonts w:ascii="Arial" w:eastAsia="Times New Roman" w:hAnsi="Arial" w:cs="Arial"/>
          <w:color w:val="252525"/>
          <w:sz w:val="21"/>
          <w:szCs w:val="21"/>
        </w:rPr>
        <w:t xml:space="preserve">Additionally, banks may ask for </w:t>
      </w:r>
      <w:r>
        <w:rPr>
          <w:rFonts w:ascii="Arial" w:eastAsia="Times New Roman" w:hAnsi="Arial" w:cs="Arial"/>
          <w:color w:val="252525"/>
          <w:sz w:val="21"/>
          <w:szCs w:val="21"/>
        </w:rPr>
        <w:t>some property (residential, commercial, industrial etc.)</w:t>
      </w:r>
    </w:p>
    <w:p w:rsidR="00A002F7" w:rsidRPr="00A002F7" w:rsidRDefault="00A002F7" w:rsidP="00A002F7">
      <w:pPr>
        <w:shd w:val="clear" w:color="auto" w:fill="F2F2F2"/>
        <w:spacing w:after="0" w:line="300" w:lineRule="atLeast"/>
        <w:rPr>
          <w:rFonts w:ascii="Arial" w:eastAsia="Times New Roman" w:hAnsi="Arial" w:cs="Arial"/>
          <w:color w:val="252525"/>
          <w:sz w:val="21"/>
          <w:szCs w:val="21"/>
        </w:rPr>
      </w:pPr>
    </w:p>
    <w:p w:rsidR="00A002F7" w:rsidRPr="00A002F7" w:rsidRDefault="00A002F7" w:rsidP="00A002F7">
      <w:pPr>
        <w:shd w:val="clear" w:color="auto" w:fill="F2F2F2"/>
        <w:spacing w:after="150" w:line="240" w:lineRule="auto"/>
        <w:outlineLvl w:val="2"/>
        <w:rPr>
          <w:rFonts w:ascii="Arial" w:eastAsia="Times New Roman" w:hAnsi="Arial" w:cs="Arial"/>
          <w:color w:val="252525"/>
          <w:sz w:val="21"/>
          <w:szCs w:val="21"/>
        </w:rPr>
      </w:pPr>
      <w:r w:rsidRPr="00A002F7">
        <w:rPr>
          <w:rFonts w:ascii="Arial" w:eastAsia="Times New Roman" w:hAnsi="Arial" w:cs="Arial"/>
          <w:color w:val="252525"/>
          <w:sz w:val="21"/>
          <w:szCs w:val="21"/>
        </w:rPr>
        <w:t>Eligibility Criteria</w:t>
      </w:r>
    </w:p>
    <w:p w:rsidR="00A002F7" w:rsidRPr="00A002F7" w:rsidRDefault="00A002F7" w:rsidP="00A002F7">
      <w:pPr>
        <w:numPr>
          <w:ilvl w:val="0"/>
          <w:numId w:val="2"/>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sidRPr="00A002F7">
        <w:rPr>
          <w:rFonts w:ascii="Arial" w:eastAsia="Times New Roman" w:hAnsi="Arial" w:cs="Arial"/>
          <w:color w:val="252525"/>
          <w:sz w:val="21"/>
          <w:szCs w:val="21"/>
        </w:rPr>
        <w:t>Annua</w:t>
      </w:r>
      <w:r>
        <w:rPr>
          <w:rFonts w:ascii="Arial" w:eastAsia="Times New Roman" w:hAnsi="Arial" w:cs="Arial"/>
          <w:color w:val="252525"/>
          <w:sz w:val="21"/>
          <w:szCs w:val="21"/>
        </w:rPr>
        <w:t>l turnover should be above Rs.1 Crore</w:t>
      </w:r>
      <w:r w:rsidRPr="00A002F7">
        <w:rPr>
          <w:rFonts w:ascii="Arial" w:eastAsia="Times New Roman" w:hAnsi="Arial" w:cs="Arial"/>
          <w:color w:val="252525"/>
          <w:sz w:val="21"/>
          <w:szCs w:val="21"/>
        </w:rPr>
        <w:t xml:space="preserve"> per annum</w:t>
      </w:r>
    </w:p>
    <w:p w:rsidR="00A002F7" w:rsidRPr="00A002F7" w:rsidRDefault="00A002F7" w:rsidP="00A002F7">
      <w:pPr>
        <w:numPr>
          <w:ilvl w:val="0"/>
          <w:numId w:val="2"/>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Pr>
          <w:rFonts w:ascii="Arial" w:eastAsia="Times New Roman" w:hAnsi="Arial" w:cs="Arial"/>
          <w:color w:val="252525"/>
          <w:sz w:val="21"/>
          <w:szCs w:val="21"/>
        </w:rPr>
        <w:t xml:space="preserve">Must be </w:t>
      </w:r>
      <w:r w:rsidRPr="00A002F7">
        <w:rPr>
          <w:rFonts w:ascii="Arial" w:eastAsia="Times New Roman" w:hAnsi="Arial" w:cs="Arial"/>
          <w:color w:val="252525"/>
          <w:sz w:val="21"/>
          <w:szCs w:val="21"/>
        </w:rPr>
        <w:t>Sole Proprietorship, Partnership Firm, Private Ltd or Public Ltd Co., LLP</w:t>
      </w:r>
    </w:p>
    <w:p w:rsidR="008161F1" w:rsidRPr="00A002F7" w:rsidRDefault="008161F1" w:rsidP="008161F1">
      <w:pPr>
        <w:numPr>
          <w:ilvl w:val="0"/>
          <w:numId w:val="2"/>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Pr>
          <w:rFonts w:ascii="Arial" w:eastAsia="Times New Roman" w:hAnsi="Arial" w:cs="Arial"/>
          <w:color w:val="252525"/>
          <w:sz w:val="21"/>
          <w:szCs w:val="21"/>
        </w:rPr>
        <w:t>Should not be l</w:t>
      </w:r>
      <w:r w:rsidRPr="00A002F7">
        <w:rPr>
          <w:rFonts w:ascii="Arial" w:eastAsia="Times New Roman" w:hAnsi="Arial" w:cs="Arial"/>
          <w:color w:val="252525"/>
          <w:sz w:val="21"/>
          <w:szCs w:val="21"/>
        </w:rPr>
        <w:t>isted in RBI Defaulter's List, CIBIL database, CRIL-C</w:t>
      </w:r>
    </w:p>
    <w:p w:rsidR="00A002F7" w:rsidRPr="00A002F7" w:rsidRDefault="00A002F7" w:rsidP="00A002F7">
      <w:pPr>
        <w:numPr>
          <w:ilvl w:val="0"/>
          <w:numId w:val="2"/>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Pr>
          <w:rFonts w:ascii="Arial" w:eastAsia="Times New Roman" w:hAnsi="Arial" w:cs="Arial"/>
          <w:color w:val="252525"/>
          <w:sz w:val="21"/>
          <w:szCs w:val="21"/>
        </w:rPr>
        <w:t>Minimum 2</w:t>
      </w:r>
      <w:r w:rsidRPr="00A002F7">
        <w:rPr>
          <w:rFonts w:ascii="Arial" w:eastAsia="Times New Roman" w:hAnsi="Arial" w:cs="Arial"/>
          <w:color w:val="252525"/>
          <w:sz w:val="21"/>
          <w:szCs w:val="21"/>
        </w:rPr>
        <w:t xml:space="preserve"> years in same </w:t>
      </w:r>
      <w:r>
        <w:rPr>
          <w:rFonts w:ascii="Arial" w:eastAsia="Times New Roman" w:hAnsi="Arial" w:cs="Arial"/>
          <w:color w:val="252525"/>
          <w:sz w:val="21"/>
          <w:szCs w:val="21"/>
        </w:rPr>
        <w:t>Business with positive Tangible Net Worth (TNW) and Profits After Tax (PAT)</w:t>
      </w:r>
    </w:p>
    <w:p w:rsidR="00A002F7" w:rsidRPr="00A002F7" w:rsidRDefault="00A002F7" w:rsidP="00A002F7">
      <w:pPr>
        <w:numPr>
          <w:ilvl w:val="0"/>
          <w:numId w:val="2"/>
        </w:numPr>
        <w:shd w:val="clear" w:color="auto" w:fill="F2F2F2"/>
        <w:spacing w:before="100" w:beforeAutospacing="1" w:after="100" w:afterAutospacing="1" w:line="405" w:lineRule="atLeast"/>
        <w:ind w:left="1350"/>
        <w:jc w:val="both"/>
        <w:rPr>
          <w:rFonts w:ascii="Arial" w:eastAsia="Times New Roman" w:hAnsi="Arial" w:cs="Arial"/>
          <w:color w:val="252525"/>
          <w:sz w:val="21"/>
          <w:szCs w:val="21"/>
        </w:rPr>
      </w:pPr>
      <w:r w:rsidRPr="00A002F7">
        <w:rPr>
          <w:rFonts w:ascii="Arial" w:eastAsia="Times New Roman" w:hAnsi="Arial" w:cs="Arial"/>
          <w:color w:val="252525"/>
          <w:sz w:val="21"/>
          <w:szCs w:val="21"/>
        </w:rPr>
        <w:t>Satisfactory conduct with the existing Banker</w:t>
      </w:r>
    </w:p>
    <w:p w:rsidR="00A002F7" w:rsidRPr="00A002F7" w:rsidRDefault="00A002F7" w:rsidP="00A002F7">
      <w:pPr>
        <w:shd w:val="clear" w:color="auto" w:fill="F2F2F2"/>
        <w:spacing w:after="0" w:line="300" w:lineRule="atLeast"/>
        <w:rPr>
          <w:rFonts w:ascii="Arial" w:eastAsia="Times New Roman" w:hAnsi="Arial" w:cs="Arial"/>
          <w:color w:val="252525"/>
          <w:sz w:val="21"/>
          <w:szCs w:val="21"/>
        </w:rPr>
      </w:pPr>
    </w:p>
    <w:p w:rsidR="00A002F7" w:rsidRPr="00A002F7" w:rsidRDefault="00A002F7" w:rsidP="00A002F7">
      <w:pPr>
        <w:shd w:val="clear" w:color="auto" w:fill="F2F2F2"/>
        <w:spacing w:after="150" w:line="240" w:lineRule="auto"/>
        <w:outlineLvl w:val="2"/>
        <w:rPr>
          <w:rFonts w:ascii="Arial" w:eastAsia="Times New Roman" w:hAnsi="Arial" w:cs="Arial"/>
          <w:color w:val="252525"/>
          <w:sz w:val="21"/>
          <w:szCs w:val="21"/>
        </w:rPr>
      </w:pPr>
      <w:r w:rsidRPr="00A002F7">
        <w:rPr>
          <w:rFonts w:ascii="Arial" w:eastAsia="Times New Roman" w:hAnsi="Arial" w:cs="Arial"/>
          <w:color w:val="252525"/>
          <w:sz w:val="21"/>
          <w:szCs w:val="21"/>
        </w:rPr>
        <w:t>Features:</w:t>
      </w:r>
    </w:p>
    <w:p w:rsidR="008161F1" w:rsidRDefault="008161F1" w:rsidP="008161F1">
      <w:pPr>
        <w:pStyle w:val="ListParagraph"/>
        <w:numPr>
          <w:ilvl w:val="0"/>
          <w:numId w:val="4"/>
        </w:numPr>
        <w:shd w:val="clear" w:color="auto" w:fill="F2F2F2"/>
        <w:spacing w:after="150" w:line="405" w:lineRule="atLeast"/>
        <w:jc w:val="both"/>
        <w:rPr>
          <w:rFonts w:ascii="Arial" w:eastAsia="Times New Roman" w:hAnsi="Arial" w:cs="Arial"/>
          <w:color w:val="252525"/>
          <w:sz w:val="21"/>
          <w:szCs w:val="21"/>
        </w:rPr>
      </w:pPr>
      <w:r>
        <w:rPr>
          <w:rFonts w:ascii="Arial" w:eastAsia="Times New Roman" w:hAnsi="Arial" w:cs="Arial"/>
          <w:color w:val="252525"/>
          <w:sz w:val="21"/>
          <w:szCs w:val="21"/>
        </w:rPr>
        <w:t>Can be secured</w:t>
      </w:r>
      <w:r w:rsidR="00A002F7" w:rsidRPr="008161F1">
        <w:rPr>
          <w:rFonts w:ascii="Arial" w:eastAsia="Times New Roman" w:hAnsi="Arial" w:cs="Arial"/>
          <w:color w:val="252525"/>
          <w:sz w:val="21"/>
          <w:szCs w:val="21"/>
        </w:rPr>
        <w:t xml:space="preserve"> or unsecured </w:t>
      </w:r>
    </w:p>
    <w:p w:rsidR="008161F1" w:rsidRDefault="00A002F7" w:rsidP="008161F1">
      <w:pPr>
        <w:pStyle w:val="ListParagraph"/>
        <w:numPr>
          <w:ilvl w:val="0"/>
          <w:numId w:val="4"/>
        </w:numPr>
        <w:shd w:val="clear" w:color="auto" w:fill="F2F2F2"/>
        <w:spacing w:after="150" w:line="405" w:lineRule="atLeast"/>
        <w:jc w:val="both"/>
        <w:rPr>
          <w:rFonts w:ascii="Arial" w:eastAsia="Times New Roman" w:hAnsi="Arial" w:cs="Arial"/>
          <w:color w:val="252525"/>
          <w:sz w:val="21"/>
          <w:szCs w:val="21"/>
        </w:rPr>
      </w:pPr>
      <w:r w:rsidRPr="008161F1">
        <w:rPr>
          <w:rFonts w:ascii="Arial" w:eastAsia="Times New Roman" w:hAnsi="Arial" w:cs="Arial"/>
          <w:color w:val="252525"/>
          <w:sz w:val="21"/>
          <w:szCs w:val="21"/>
        </w:rPr>
        <w:t>usually for a short duration of about 12 months</w:t>
      </w:r>
    </w:p>
    <w:p w:rsidR="008161F1" w:rsidRDefault="008161F1" w:rsidP="008161F1">
      <w:pPr>
        <w:pStyle w:val="ListParagraph"/>
        <w:numPr>
          <w:ilvl w:val="0"/>
          <w:numId w:val="4"/>
        </w:numPr>
        <w:shd w:val="clear" w:color="auto" w:fill="F2F2F2"/>
        <w:spacing w:after="150" w:line="405" w:lineRule="atLeast"/>
        <w:jc w:val="both"/>
        <w:rPr>
          <w:rFonts w:ascii="Arial" w:eastAsia="Times New Roman" w:hAnsi="Arial" w:cs="Arial"/>
          <w:color w:val="252525"/>
          <w:sz w:val="21"/>
          <w:szCs w:val="21"/>
        </w:rPr>
      </w:pPr>
      <w:r>
        <w:rPr>
          <w:rFonts w:ascii="Arial" w:eastAsia="Times New Roman" w:hAnsi="Arial" w:cs="Arial"/>
          <w:color w:val="252525"/>
          <w:sz w:val="21"/>
          <w:szCs w:val="21"/>
        </w:rPr>
        <w:lastRenderedPageBreak/>
        <w:t>Rate of Interest ranges b</w:t>
      </w:r>
      <w:r w:rsidR="00A002F7" w:rsidRPr="008161F1">
        <w:rPr>
          <w:rFonts w:ascii="Arial" w:eastAsia="Times New Roman" w:hAnsi="Arial" w:cs="Arial"/>
          <w:color w:val="252525"/>
          <w:sz w:val="21"/>
          <w:szCs w:val="21"/>
        </w:rPr>
        <w:t>etween 11%-16% depending</w:t>
      </w:r>
    </w:p>
    <w:p w:rsidR="00A002F7" w:rsidRDefault="008161F1" w:rsidP="008161F1">
      <w:pPr>
        <w:pStyle w:val="ListParagraph"/>
        <w:numPr>
          <w:ilvl w:val="0"/>
          <w:numId w:val="4"/>
        </w:numPr>
        <w:shd w:val="clear" w:color="auto" w:fill="F2F2F2"/>
        <w:spacing w:after="150" w:line="405" w:lineRule="atLeast"/>
        <w:jc w:val="both"/>
        <w:rPr>
          <w:rFonts w:ascii="Arial" w:eastAsia="Times New Roman" w:hAnsi="Arial" w:cs="Arial"/>
          <w:color w:val="252525"/>
          <w:sz w:val="21"/>
          <w:szCs w:val="21"/>
        </w:rPr>
      </w:pPr>
      <w:r>
        <w:rPr>
          <w:rFonts w:ascii="Arial" w:eastAsia="Times New Roman" w:hAnsi="Arial" w:cs="Arial"/>
          <w:color w:val="252525"/>
          <w:sz w:val="21"/>
          <w:szCs w:val="21"/>
        </w:rPr>
        <w:t>Reviewed annually</w:t>
      </w:r>
    </w:p>
    <w:p w:rsidR="008161F1" w:rsidRPr="008161F1" w:rsidRDefault="008161F1" w:rsidP="008161F1">
      <w:pPr>
        <w:pStyle w:val="ListParagraph"/>
        <w:shd w:val="clear" w:color="auto" w:fill="F2F2F2"/>
        <w:spacing w:after="150" w:line="405" w:lineRule="atLeast"/>
        <w:ind w:left="2070"/>
        <w:jc w:val="both"/>
        <w:rPr>
          <w:rFonts w:ascii="Arial" w:eastAsia="Times New Roman" w:hAnsi="Arial" w:cs="Arial"/>
          <w:color w:val="252525"/>
          <w:sz w:val="21"/>
          <w:szCs w:val="21"/>
        </w:rPr>
      </w:pPr>
    </w:p>
    <w:p w:rsidR="00A002F7" w:rsidRPr="00A002F7" w:rsidRDefault="00A002F7" w:rsidP="00A002F7">
      <w:pPr>
        <w:shd w:val="clear" w:color="auto" w:fill="F2F2F2"/>
        <w:spacing w:after="150" w:line="240" w:lineRule="auto"/>
        <w:outlineLvl w:val="2"/>
        <w:rPr>
          <w:rFonts w:ascii="Arial" w:eastAsia="Times New Roman" w:hAnsi="Arial" w:cs="Arial"/>
          <w:color w:val="252525"/>
          <w:sz w:val="21"/>
          <w:szCs w:val="21"/>
        </w:rPr>
      </w:pPr>
      <w:r w:rsidRPr="00A002F7">
        <w:rPr>
          <w:rFonts w:ascii="Arial" w:eastAsia="Times New Roman" w:hAnsi="Arial" w:cs="Arial"/>
          <w:color w:val="252525"/>
          <w:sz w:val="21"/>
          <w:szCs w:val="21"/>
        </w:rPr>
        <w:t>Types of Working Capital Loans</w:t>
      </w:r>
    </w:p>
    <w:p w:rsidR="00A002F7" w:rsidRPr="008161F1" w:rsidRDefault="008161F1" w:rsidP="008161F1">
      <w:pPr>
        <w:pStyle w:val="ListParagraph"/>
        <w:numPr>
          <w:ilvl w:val="0"/>
          <w:numId w:val="6"/>
        </w:numPr>
        <w:shd w:val="clear" w:color="auto" w:fill="F2F2F2"/>
        <w:spacing w:before="100" w:beforeAutospacing="1" w:after="100" w:afterAutospacing="1" w:line="405" w:lineRule="atLeast"/>
        <w:rPr>
          <w:rFonts w:ascii="Arial" w:eastAsia="Times New Roman" w:hAnsi="Arial" w:cs="Arial"/>
          <w:color w:val="252525"/>
          <w:sz w:val="21"/>
          <w:szCs w:val="21"/>
        </w:rPr>
      </w:pPr>
      <w:r w:rsidRPr="008161F1">
        <w:rPr>
          <w:rFonts w:ascii="Arial" w:eastAsia="Times New Roman" w:hAnsi="Arial" w:cs="Arial"/>
          <w:color w:val="252525"/>
          <w:sz w:val="21"/>
          <w:szCs w:val="21"/>
        </w:rPr>
        <w:t>Overdraft facility</w:t>
      </w:r>
      <w:r w:rsidR="00A002F7" w:rsidRPr="008161F1">
        <w:rPr>
          <w:rFonts w:ascii="Arial" w:eastAsia="Times New Roman" w:hAnsi="Arial" w:cs="Arial"/>
          <w:color w:val="252525"/>
          <w:sz w:val="21"/>
          <w:szCs w:val="21"/>
        </w:rPr>
        <w:br/>
      </w:r>
      <w:r w:rsidRPr="008161F1">
        <w:rPr>
          <w:rFonts w:ascii="Arial" w:eastAsia="Times New Roman" w:hAnsi="Arial" w:cs="Arial"/>
          <w:color w:val="252525"/>
          <w:sz w:val="21"/>
          <w:szCs w:val="21"/>
        </w:rPr>
        <w:t>Based on the financial credentials of an enterprise, an overdraft facility is provided</w:t>
      </w:r>
      <w:r>
        <w:rPr>
          <w:rFonts w:ascii="Arial" w:eastAsia="Times New Roman" w:hAnsi="Arial" w:cs="Arial"/>
          <w:color w:val="252525"/>
          <w:sz w:val="21"/>
          <w:szCs w:val="21"/>
        </w:rPr>
        <w:t xml:space="preserve"> by the bank</w:t>
      </w:r>
      <w:r w:rsidRPr="008161F1">
        <w:rPr>
          <w:rFonts w:ascii="Arial" w:eastAsia="Times New Roman" w:hAnsi="Arial" w:cs="Arial"/>
          <w:color w:val="252525"/>
          <w:sz w:val="21"/>
          <w:szCs w:val="21"/>
        </w:rPr>
        <w:t xml:space="preserve">. Under this facility, the interest is charged </w:t>
      </w:r>
      <w:r>
        <w:rPr>
          <w:rFonts w:ascii="Arial" w:eastAsia="Times New Roman" w:hAnsi="Arial" w:cs="Arial"/>
          <w:color w:val="252525"/>
          <w:sz w:val="21"/>
          <w:szCs w:val="21"/>
        </w:rPr>
        <w:t xml:space="preserve">only </w:t>
      </w:r>
      <w:r w:rsidRPr="008161F1">
        <w:rPr>
          <w:rFonts w:ascii="Arial" w:eastAsia="Times New Roman" w:hAnsi="Arial" w:cs="Arial"/>
          <w:color w:val="252525"/>
          <w:sz w:val="21"/>
          <w:szCs w:val="21"/>
        </w:rPr>
        <w:t xml:space="preserve">on the amount utilized/withdrawn and that too for the number of days/moths the amount has been </w:t>
      </w:r>
      <w:r w:rsidR="00A002F7" w:rsidRPr="008161F1">
        <w:rPr>
          <w:rFonts w:ascii="Arial" w:eastAsia="Times New Roman" w:hAnsi="Arial" w:cs="Arial"/>
          <w:color w:val="252525"/>
          <w:sz w:val="21"/>
          <w:szCs w:val="21"/>
        </w:rPr>
        <w:t>overdrawn.</w:t>
      </w:r>
    </w:p>
    <w:p w:rsidR="004E54A5" w:rsidRDefault="00A002F7" w:rsidP="008161F1">
      <w:pPr>
        <w:pStyle w:val="ListParagraph"/>
        <w:numPr>
          <w:ilvl w:val="0"/>
          <w:numId w:val="6"/>
        </w:numPr>
        <w:shd w:val="clear" w:color="auto" w:fill="F2F2F2"/>
        <w:spacing w:before="100" w:beforeAutospacing="1" w:after="150" w:afterAutospacing="1" w:line="330" w:lineRule="atLeast"/>
        <w:rPr>
          <w:rFonts w:ascii="Arial" w:eastAsia="Times New Roman" w:hAnsi="Arial" w:cs="Arial"/>
          <w:color w:val="252525"/>
          <w:sz w:val="21"/>
          <w:szCs w:val="21"/>
        </w:rPr>
      </w:pPr>
      <w:r w:rsidRPr="008161F1">
        <w:rPr>
          <w:rFonts w:ascii="Arial" w:eastAsia="Times New Roman" w:hAnsi="Arial" w:cs="Arial"/>
          <w:color w:val="252525"/>
          <w:sz w:val="21"/>
          <w:szCs w:val="21"/>
        </w:rPr>
        <w:t>Bank Guarantees</w:t>
      </w:r>
      <w:r w:rsidRPr="008161F1">
        <w:rPr>
          <w:rFonts w:ascii="Arial" w:eastAsia="Times New Roman" w:hAnsi="Arial" w:cs="Arial"/>
          <w:color w:val="252525"/>
          <w:sz w:val="21"/>
          <w:szCs w:val="21"/>
        </w:rPr>
        <w:br/>
      </w:r>
      <w:r w:rsidR="004E54A5">
        <w:rPr>
          <w:rFonts w:ascii="Arial" w:eastAsia="Times New Roman" w:hAnsi="Arial" w:cs="Arial"/>
          <w:color w:val="252525"/>
          <w:sz w:val="21"/>
          <w:szCs w:val="21"/>
        </w:rPr>
        <w:t xml:space="preserve">This is a non-fund based facility wherein the bank gives an assurance to an individual/entity on the basis of their client that the contract entered between them will be executed by their client. In case, the client fails to honour the agreement, then the bank will make payment/compensate the entity to whom the assurance has been given, </w:t>
      </w:r>
    </w:p>
    <w:p w:rsidR="004E54A5" w:rsidRDefault="004E54A5" w:rsidP="004E54A5">
      <w:pPr>
        <w:pStyle w:val="ListParagraph"/>
        <w:shd w:val="clear" w:color="auto" w:fill="F2F2F2"/>
        <w:spacing w:before="100" w:beforeAutospacing="1" w:after="150" w:afterAutospacing="1" w:line="330" w:lineRule="atLeast"/>
        <w:rPr>
          <w:rFonts w:ascii="Arial" w:eastAsia="Times New Roman" w:hAnsi="Arial" w:cs="Arial"/>
          <w:color w:val="252525"/>
          <w:sz w:val="21"/>
          <w:szCs w:val="21"/>
        </w:rPr>
      </w:pPr>
      <w:r>
        <w:rPr>
          <w:rFonts w:ascii="Arial" w:eastAsia="Times New Roman" w:hAnsi="Arial" w:cs="Arial"/>
          <w:color w:val="252525"/>
          <w:sz w:val="21"/>
          <w:szCs w:val="21"/>
        </w:rPr>
        <w:t>Bank charges commission from their clients for giving guarantee on their behalf.</w:t>
      </w:r>
    </w:p>
    <w:p w:rsidR="004E54A5" w:rsidRDefault="00A002F7" w:rsidP="004E54A5">
      <w:pPr>
        <w:pStyle w:val="ListParagraph"/>
        <w:numPr>
          <w:ilvl w:val="0"/>
          <w:numId w:val="6"/>
        </w:numPr>
        <w:shd w:val="clear" w:color="auto" w:fill="F2F2F2"/>
        <w:spacing w:before="100" w:beforeAutospacing="1" w:after="150" w:afterAutospacing="1" w:line="330" w:lineRule="atLeast"/>
        <w:rPr>
          <w:rFonts w:ascii="Arial" w:eastAsia="Times New Roman" w:hAnsi="Arial" w:cs="Arial"/>
          <w:color w:val="252525"/>
          <w:sz w:val="21"/>
          <w:szCs w:val="21"/>
        </w:rPr>
      </w:pPr>
      <w:r w:rsidRPr="004E54A5">
        <w:rPr>
          <w:rFonts w:ascii="Arial" w:eastAsia="Times New Roman" w:hAnsi="Arial" w:cs="Arial"/>
          <w:color w:val="252525"/>
          <w:sz w:val="21"/>
          <w:szCs w:val="21"/>
        </w:rPr>
        <w:t>Letters of Credit</w:t>
      </w:r>
      <w:r w:rsidRPr="004E54A5">
        <w:rPr>
          <w:rFonts w:ascii="Arial" w:eastAsia="Times New Roman" w:hAnsi="Arial" w:cs="Arial"/>
          <w:color w:val="252525"/>
          <w:sz w:val="21"/>
          <w:szCs w:val="21"/>
        </w:rPr>
        <w:br/>
      </w:r>
      <w:r w:rsidR="004E54A5">
        <w:rPr>
          <w:rFonts w:ascii="Arial" w:eastAsia="Times New Roman" w:hAnsi="Arial" w:cs="Arial"/>
          <w:color w:val="252525"/>
          <w:sz w:val="21"/>
          <w:szCs w:val="21"/>
        </w:rPr>
        <w:t>This is also a non-fund as it does not involve the application of funds.</w:t>
      </w:r>
    </w:p>
    <w:p w:rsidR="00A002F7" w:rsidRPr="00A002F7" w:rsidRDefault="00A002F7" w:rsidP="004E54A5">
      <w:pPr>
        <w:pStyle w:val="ListParagraph"/>
        <w:shd w:val="clear" w:color="auto" w:fill="F2F2F2"/>
        <w:spacing w:before="100" w:beforeAutospacing="1" w:after="150" w:afterAutospacing="1" w:line="330" w:lineRule="atLeast"/>
        <w:rPr>
          <w:rFonts w:ascii="Arial" w:eastAsia="Times New Roman" w:hAnsi="Arial" w:cs="Arial"/>
          <w:color w:val="252525"/>
          <w:sz w:val="21"/>
          <w:szCs w:val="21"/>
        </w:rPr>
      </w:pPr>
      <w:r w:rsidRPr="00A002F7">
        <w:rPr>
          <w:rFonts w:ascii="Arial" w:eastAsia="Times New Roman" w:hAnsi="Arial" w:cs="Arial"/>
          <w:color w:val="252525"/>
          <w:sz w:val="21"/>
          <w:szCs w:val="21"/>
        </w:rPr>
        <w:t xml:space="preserve">A letter of credit </w:t>
      </w:r>
      <w:r w:rsidR="004E54A5">
        <w:rPr>
          <w:rFonts w:ascii="Arial" w:eastAsia="Times New Roman" w:hAnsi="Arial" w:cs="Arial"/>
          <w:color w:val="252525"/>
          <w:sz w:val="21"/>
          <w:szCs w:val="21"/>
        </w:rPr>
        <w:t xml:space="preserve">is a form of </w:t>
      </w:r>
      <w:r w:rsidRPr="00A002F7">
        <w:rPr>
          <w:rFonts w:ascii="Arial" w:eastAsia="Times New Roman" w:hAnsi="Arial" w:cs="Arial"/>
          <w:color w:val="252525"/>
          <w:sz w:val="21"/>
          <w:szCs w:val="21"/>
        </w:rPr>
        <w:t xml:space="preserve">bank guarantees that the seller will receive </w:t>
      </w:r>
      <w:r w:rsidR="004E54A5">
        <w:rPr>
          <w:rFonts w:ascii="Arial" w:eastAsia="Times New Roman" w:hAnsi="Arial" w:cs="Arial"/>
          <w:color w:val="252525"/>
          <w:sz w:val="21"/>
          <w:szCs w:val="21"/>
        </w:rPr>
        <w:t>the amount of goods supplied on a particular date if the goods are delivered as per the agreement between the seller and buyer.</w:t>
      </w:r>
    </w:p>
    <w:p w:rsidR="00A002F7" w:rsidRPr="004E54A5" w:rsidRDefault="00A002F7" w:rsidP="00383CA7">
      <w:pPr>
        <w:pStyle w:val="ListParagraph"/>
        <w:numPr>
          <w:ilvl w:val="1"/>
          <w:numId w:val="2"/>
        </w:numPr>
        <w:shd w:val="clear" w:color="auto" w:fill="F2F2F2"/>
        <w:spacing w:before="100" w:beforeAutospacing="1" w:after="150" w:afterAutospacing="1" w:line="330" w:lineRule="atLeast"/>
        <w:ind w:left="720"/>
        <w:rPr>
          <w:rFonts w:ascii="Arial" w:eastAsia="Times New Roman" w:hAnsi="Arial" w:cs="Arial"/>
          <w:color w:val="252525"/>
          <w:sz w:val="21"/>
          <w:szCs w:val="21"/>
        </w:rPr>
      </w:pPr>
      <w:r w:rsidRPr="004E54A5">
        <w:rPr>
          <w:rFonts w:ascii="Arial" w:eastAsia="Times New Roman" w:hAnsi="Arial" w:cs="Arial"/>
          <w:color w:val="252525"/>
          <w:sz w:val="21"/>
          <w:szCs w:val="21"/>
        </w:rPr>
        <w:t>Packing Credit (PC)</w:t>
      </w:r>
      <w:r w:rsidRPr="004E54A5">
        <w:rPr>
          <w:rFonts w:ascii="Arial" w:eastAsia="Times New Roman" w:hAnsi="Arial" w:cs="Arial"/>
          <w:color w:val="252525"/>
          <w:sz w:val="21"/>
          <w:szCs w:val="21"/>
        </w:rPr>
        <w:br/>
      </w:r>
      <w:r w:rsidR="00A015D0">
        <w:rPr>
          <w:rFonts w:ascii="Arial" w:eastAsia="Times New Roman" w:hAnsi="Arial" w:cs="Arial"/>
          <w:color w:val="252525"/>
          <w:sz w:val="21"/>
          <w:szCs w:val="21"/>
        </w:rPr>
        <w:t>This facility is offered to exporters to purchase/import, processing and packing of raw material/goods meant for export.</w:t>
      </w:r>
    </w:p>
    <w:p w:rsidR="00A002F7" w:rsidRPr="004E54A5" w:rsidRDefault="00A002F7" w:rsidP="00383CA7">
      <w:pPr>
        <w:pStyle w:val="ListParagraph"/>
        <w:numPr>
          <w:ilvl w:val="1"/>
          <w:numId w:val="2"/>
        </w:numPr>
        <w:shd w:val="clear" w:color="auto" w:fill="F2F2F2"/>
        <w:spacing w:before="100" w:beforeAutospacing="1" w:after="150" w:afterAutospacing="1" w:line="330" w:lineRule="atLeast"/>
        <w:ind w:left="720"/>
        <w:rPr>
          <w:rFonts w:ascii="Arial" w:eastAsia="Times New Roman" w:hAnsi="Arial" w:cs="Arial"/>
          <w:color w:val="252525"/>
          <w:sz w:val="21"/>
          <w:szCs w:val="21"/>
        </w:rPr>
      </w:pPr>
      <w:r w:rsidRPr="004E54A5">
        <w:rPr>
          <w:rFonts w:ascii="Arial" w:eastAsia="Times New Roman" w:hAnsi="Arial" w:cs="Arial"/>
          <w:color w:val="252525"/>
          <w:sz w:val="21"/>
          <w:szCs w:val="21"/>
        </w:rPr>
        <w:t>Post Shipment Finance</w:t>
      </w:r>
      <w:r w:rsidRPr="004E54A5">
        <w:rPr>
          <w:rFonts w:ascii="Arial" w:eastAsia="Times New Roman" w:hAnsi="Arial" w:cs="Arial"/>
          <w:color w:val="252525"/>
          <w:sz w:val="21"/>
          <w:szCs w:val="21"/>
        </w:rPr>
        <w:br/>
      </w:r>
      <w:r w:rsidR="00A015D0">
        <w:rPr>
          <w:rFonts w:ascii="Arial" w:eastAsia="Times New Roman" w:hAnsi="Arial" w:cs="Arial"/>
          <w:color w:val="252525"/>
          <w:sz w:val="21"/>
          <w:szCs w:val="21"/>
        </w:rPr>
        <w:t xml:space="preserve">Post Shipment Credit is funding the </w:t>
      </w:r>
      <w:r w:rsidRPr="004E54A5">
        <w:rPr>
          <w:rFonts w:ascii="Arial" w:eastAsia="Times New Roman" w:hAnsi="Arial" w:cs="Arial"/>
          <w:color w:val="252525"/>
          <w:sz w:val="21"/>
          <w:szCs w:val="21"/>
        </w:rPr>
        <w:t xml:space="preserve">export sales receivables, after the </w:t>
      </w:r>
      <w:r w:rsidR="00A015D0">
        <w:rPr>
          <w:rFonts w:ascii="Arial" w:eastAsia="Times New Roman" w:hAnsi="Arial" w:cs="Arial"/>
          <w:color w:val="252525"/>
          <w:sz w:val="21"/>
          <w:szCs w:val="21"/>
        </w:rPr>
        <w:t>goods are shipped till the export payments are realized.</w:t>
      </w:r>
    </w:p>
    <w:p w:rsidR="00A002F7" w:rsidRPr="00A002F7" w:rsidRDefault="00A002F7" w:rsidP="005377BC">
      <w:pPr>
        <w:pStyle w:val="ListParagraph"/>
        <w:numPr>
          <w:ilvl w:val="1"/>
          <w:numId w:val="2"/>
        </w:numPr>
        <w:shd w:val="clear" w:color="auto" w:fill="F2F2F2"/>
        <w:spacing w:before="100" w:beforeAutospacing="1" w:after="0" w:line="330" w:lineRule="atLeast"/>
        <w:ind w:left="720"/>
        <w:rPr>
          <w:rFonts w:ascii="Arial" w:eastAsia="Times New Roman" w:hAnsi="Arial" w:cs="Arial"/>
          <w:color w:val="252525"/>
          <w:sz w:val="21"/>
          <w:szCs w:val="21"/>
        </w:rPr>
      </w:pPr>
      <w:r w:rsidRPr="00A002F7">
        <w:rPr>
          <w:rFonts w:ascii="Arial" w:eastAsia="Times New Roman" w:hAnsi="Arial" w:cs="Arial"/>
          <w:color w:val="252525"/>
          <w:sz w:val="21"/>
          <w:szCs w:val="21"/>
        </w:rPr>
        <w:t>Bill Discounting</w:t>
      </w:r>
      <w:r w:rsidRPr="00A002F7">
        <w:rPr>
          <w:rFonts w:ascii="Arial" w:eastAsia="Times New Roman" w:hAnsi="Arial" w:cs="Arial"/>
          <w:color w:val="252525"/>
          <w:sz w:val="21"/>
          <w:szCs w:val="21"/>
        </w:rPr>
        <w:br/>
      </w:r>
      <w:r w:rsidR="00617ADD">
        <w:rPr>
          <w:rFonts w:ascii="Arial" w:eastAsia="Times New Roman" w:hAnsi="Arial" w:cs="Arial"/>
          <w:color w:val="252525"/>
          <w:sz w:val="21"/>
          <w:szCs w:val="21"/>
        </w:rPr>
        <w:t xml:space="preserve">Once the goods are sold on credit, the bank purchases the bill </w:t>
      </w:r>
      <w:r w:rsidR="00617ADD" w:rsidRPr="00A002F7">
        <w:rPr>
          <w:rFonts w:ascii="Arial" w:eastAsia="Times New Roman" w:hAnsi="Arial" w:cs="Arial"/>
          <w:color w:val="252525"/>
          <w:sz w:val="21"/>
          <w:szCs w:val="21"/>
        </w:rPr>
        <w:t>(i.e. Bill of Exchange or Promissory Note</w:t>
      </w:r>
      <w:r w:rsidR="00617ADD">
        <w:rPr>
          <w:rFonts w:ascii="Arial" w:eastAsia="Times New Roman" w:hAnsi="Arial" w:cs="Arial"/>
          <w:color w:val="252525"/>
          <w:sz w:val="21"/>
          <w:szCs w:val="21"/>
        </w:rPr>
        <w:t xml:space="preserve"> duly accepted by the buyer</w:t>
      </w:r>
      <w:r w:rsidR="00617ADD" w:rsidRPr="00A002F7">
        <w:rPr>
          <w:rFonts w:ascii="Arial" w:eastAsia="Times New Roman" w:hAnsi="Arial" w:cs="Arial"/>
          <w:color w:val="252525"/>
          <w:sz w:val="21"/>
          <w:szCs w:val="21"/>
        </w:rPr>
        <w:t>)</w:t>
      </w:r>
      <w:r w:rsidR="00617ADD">
        <w:rPr>
          <w:rFonts w:ascii="Arial" w:eastAsia="Times New Roman" w:hAnsi="Arial" w:cs="Arial"/>
          <w:color w:val="252525"/>
          <w:sz w:val="21"/>
          <w:szCs w:val="21"/>
        </w:rPr>
        <w:t xml:space="preserve"> before its expiry and provides funds to the seller after deducting some margin. Upon the receipt of full payment from the buyer (the one who has given the acceptance to the bill)</w:t>
      </w:r>
      <w:r w:rsidRPr="00A002F7">
        <w:rPr>
          <w:rFonts w:ascii="Arial" w:eastAsia="Times New Roman" w:hAnsi="Arial" w:cs="Arial"/>
          <w:color w:val="252525"/>
          <w:sz w:val="21"/>
          <w:szCs w:val="21"/>
        </w:rPr>
        <w:t xml:space="preserve">, the Bank </w:t>
      </w:r>
      <w:r w:rsidR="00617ADD">
        <w:rPr>
          <w:rFonts w:ascii="Arial" w:eastAsia="Times New Roman" w:hAnsi="Arial" w:cs="Arial"/>
          <w:color w:val="252525"/>
          <w:sz w:val="21"/>
          <w:szCs w:val="21"/>
        </w:rPr>
        <w:t>remits the initially kept margin money after making necessary deductions for the applicable interest and bank charges</w:t>
      </w:r>
      <w:r w:rsidR="00B36CB0">
        <w:rPr>
          <w:rFonts w:ascii="Arial" w:eastAsia="Times New Roman" w:hAnsi="Arial" w:cs="Arial"/>
          <w:color w:val="252525"/>
          <w:sz w:val="21"/>
          <w:szCs w:val="21"/>
        </w:rPr>
        <w:t xml:space="preserve"> to the seller of the goods.</w:t>
      </w:r>
    </w:p>
    <w:p w:rsidR="00AA1715" w:rsidRDefault="004E54A5" w:rsidP="005377BC">
      <w:pPr>
        <w:shd w:val="clear" w:color="auto" w:fill="F2F2F2"/>
        <w:spacing w:after="0" w:line="405" w:lineRule="atLeast"/>
        <w:ind w:left="720" w:hanging="360"/>
        <w:rPr>
          <w:rFonts w:ascii="Arial" w:eastAsia="Times New Roman" w:hAnsi="Arial" w:cs="Arial"/>
          <w:color w:val="252525"/>
          <w:sz w:val="21"/>
          <w:szCs w:val="21"/>
        </w:rPr>
      </w:pPr>
      <w:r>
        <w:rPr>
          <w:rFonts w:ascii="Arial" w:eastAsia="Times New Roman" w:hAnsi="Arial" w:cs="Arial"/>
          <w:color w:val="252525"/>
          <w:sz w:val="21"/>
          <w:szCs w:val="21"/>
        </w:rPr>
        <w:t xml:space="preserve">7.   </w:t>
      </w:r>
      <w:r w:rsidR="00A002F7" w:rsidRPr="00A002F7">
        <w:rPr>
          <w:rFonts w:ascii="Arial" w:eastAsia="Times New Roman" w:hAnsi="Arial" w:cs="Arial"/>
          <w:color w:val="252525"/>
          <w:sz w:val="21"/>
          <w:szCs w:val="21"/>
        </w:rPr>
        <w:t>Buyer’s Credit</w:t>
      </w:r>
      <w:r w:rsidR="00A002F7" w:rsidRPr="00A002F7">
        <w:rPr>
          <w:rFonts w:ascii="Arial" w:eastAsia="Times New Roman" w:hAnsi="Arial" w:cs="Arial"/>
          <w:color w:val="252525"/>
          <w:sz w:val="21"/>
          <w:szCs w:val="21"/>
        </w:rPr>
        <w:br/>
      </w:r>
      <w:r w:rsidR="00AA1715">
        <w:rPr>
          <w:rFonts w:ascii="Arial" w:eastAsia="Times New Roman" w:hAnsi="Arial" w:cs="Arial"/>
          <w:color w:val="252525"/>
          <w:sz w:val="21"/>
          <w:szCs w:val="21"/>
        </w:rPr>
        <w:t xml:space="preserve">This is a very relevant mode of finance in International Trade. </w:t>
      </w:r>
      <w:r w:rsidR="00A002F7" w:rsidRPr="00A002F7">
        <w:rPr>
          <w:rFonts w:ascii="Arial" w:eastAsia="Times New Roman" w:hAnsi="Arial" w:cs="Arial"/>
          <w:color w:val="252525"/>
          <w:sz w:val="21"/>
          <w:szCs w:val="21"/>
        </w:rPr>
        <w:t xml:space="preserve">A loan facility </w:t>
      </w:r>
      <w:r w:rsidR="00AA1715">
        <w:rPr>
          <w:rFonts w:ascii="Arial" w:eastAsia="Times New Roman" w:hAnsi="Arial" w:cs="Arial"/>
          <w:color w:val="252525"/>
          <w:sz w:val="21"/>
          <w:szCs w:val="21"/>
        </w:rPr>
        <w:t xml:space="preserve">is </w:t>
      </w:r>
      <w:r w:rsidR="00A002F7" w:rsidRPr="00A002F7">
        <w:rPr>
          <w:rFonts w:ascii="Arial" w:eastAsia="Times New Roman" w:hAnsi="Arial" w:cs="Arial"/>
          <w:color w:val="252525"/>
          <w:sz w:val="21"/>
          <w:szCs w:val="21"/>
        </w:rPr>
        <w:t xml:space="preserve">extended </w:t>
      </w:r>
      <w:r w:rsidR="00AA1715">
        <w:rPr>
          <w:rFonts w:ascii="Arial" w:eastAsia="Times New Roman" w:hAnsi="Arial" w:cs="Arial"/>
          <w:color w:val="252525"/>
          <w:sz w:val="21"/>
          <w:szCs w:val="21"/>
        </w:rPr>
        <w:t xml:space="preserve">in </w:t>
      </w:r>
      <w:r w:rsidR="00AA1715">
        <w:rPr>
          <w:rFonts w:ascii="Arial" w:eastAsia="Times New Roman" w:hAnsi="Arial" w:cs="Arial"/>
          <w:color w:val="252525"/>
          <w:sz w:val="21"/>
          <w:szCs w:val="21"/>
        </w:rPr>
        <w:lastRenderedPageBreak/>
        <w:t xml:space="preserve">foreign currency </w:t>
      </w:r>
      <w:r w:rsidR="00A002F7" w:rsidRPr="00A002F7">
        <w:rPr>
          <w:rFonts w:ascii="Arial" w:eastAsia="Times New Roman" w:hAnsi="Arial" w:cs="Arial"/>
          <w:color w:val="252525"/>
          <w:sz w:val="21"/>
          <w:szCs w:val="21"/>
        </w:rPr>
        <w:t>to an importer by a bank or financial instit</w:t>
      </w:r>
      <w:r w:rsidR="00AA1715">
        <w:rPr>
          <w:rFonts w:ascii="Arial" w:eastAsia="Times New Roman" w:hAnsi="Arial" w:cs="Arial"/>
          <w:color w:val="252525"/>
          <w:sz w:val="21"/>
          <w:szCs w:val="21"/>
        </w:rPr>
        <w:t>ution to finance the import of</w:t>
      </w:r>
      <w:r w:rsidR="00A002F7" w:rsidRPr="00A002F7">
        <w:rPr>
          <w:rFonts w:ascii="Arial" w:eastAsia="Times New Roman" w:hAnsi="Arial" w:cs="Arial"/>
          <w:color w:val="252525"/>
          <w:sz w:val="21"/>
          <w:szCs w:val="21"/>
        </w:rPr>
        <w:t xml:space="preserve"> </w:t>
      </w:r>
      <w:r w:rsidR="00AA1715">
        <w:rPr>
          <w:rFonts w:ascii="Arial" w:eastAsia="Times New Roman" w:hAnsi="Arial" w:cs="Arial"/>
          <w:color w:val="252525"/>
          <w:sz w:val="21"/>
          <w:szCs w:val="21"/>
        </w:rPr>
        <w:t xml:space="preserve">Raw material / Finished Goods / </w:t>
      </w:r>
      <w:r w:rsidR="00A002F7" w:rsidRPr="00A002F7">
        <w:rPr>
          <w:rFonts w:ascii="Arial" w:eastAsia="Times New Roman" w:hAnsi="Arial" w:cs="Arial"/>
          <w:color w:val="252525"/>
          <w:sz w:val="21"/>
          <w:szCs w:val="21"/>
        </w:rPr>
        <w:t>capital goods or services</w:t>
      </w:r>
      <w:r w:rsidR="00AA1715">
        <w:rPr>
          <w:rFonts w:ascii="Arial" w:eastAsia="Times New Roman" w:hAnsi="Arial" w:cs="Arial"/>
          <w:color w:val="252525"/>
          <w:sz w:val="21"/>
          <w:szCs w:val="21"/>
        </w:rPr>
        <w:t>.</w:t>
      </w:r>
    </w:p>
    <w:p w:rsidR="00AA1715" w:rsidRDefault="005377BC" w:rsidP="00383CA7">
      <w:pPr>
        <w:shd w:val="clear" w:color="auto" w:fill="F2F2F2"/>
        <w:spacing w:after="0" w:line="405" w:lineRule="atLeast"/>
        <w:ind w:left="720" w:hanging="360"/>
        <w:rPr>
          <w:rFonts w:ascii="Arial" w:eastAsia="Times New Roman" w:hAnsi="Arial" w:cs="Arial"/>
          <w:color w:val="252525"/>
          <w:sz w:val="21"/>
          <w:szCs w:val="21"/>
        </w:rPr>
      </w:pPr>
      <w:r>
        <w:rPr>
          <w:rFonts w:ascii="Arial" w:eastAsia="Times New Roman" w:hAnsi="Arial" w:cs="Arial"/>
          <w:color w:val="252525"/>
          <w:sz w:val="21"/>
          <w:szCs w:val="21"/>
        </w:rPr>
        <w:t xml:space="preserve">      </w:t>
      </w:r>
      <w:bookmarkStart w:id="0" w:name="_GoBack"/>
      <w:bookmarkEnd w:id="0"/>
      <w:r w:rsidR="00B47CF0">
        <w:rPr>
          <w:rFonts w:ascii="Arial" w:eastAsia="Times New Roman" w:hAnsi="Arial" w:cs="Arial"/>
          <w:color w:val="252525"/>
          <w:sz w:val="21"/>
          <w:szCs w:val="21"/>
        </w:rPr>
        <w:t xml:space="preserve">Rate of interest is very low as </w:t>
      </w:r>
      <w:r w:rsidR="00AA1715">
        <w:rPr>
          <w:rFonts w:ascii="Arial" w:eastAsia="Times New Roman" w:hAnsi="Arial" w:cs="Arial"/>
          <w:color w:val="252525"/>
          <w:sz w:val="21"/>
          <w:szCs w:val="21"/>
        </w:rPr>
        <w:t xml:space="preserve">LIBOR (London Inter-Bank Offer Rate) linked pricing is offered in </w:t>
      </w:r>
      <w:r w:rsidR="009B0990">
        <w:rPr>
          <w:rFonts w:ascii="Arial" w:eastAsia="Times New Roman" w:hAnsi="Arial" w:cs="Arial"/>
          <w:color w:val="252525"/>
          <w:sz w:val="21"/>
          <w:szCs w:val="21"/>
        </w:rPr>
        <w:t>Buyers ‘credit</w:t>
      </w:r>
      <w:r w:rsidR="00AA1715">
        <w:rPr>
          <w:rFonts w:ascii="Arial" w:eastAsia="Times New Roman" w:hAnsi="Arial" w:cs="Arial"/>
          <w:color w:val="252525"/>
          <w:sz w:val="21"/>
          <w:szCs w:val="21"/>
        </w:rPr>
        <w:t>.</w:t>
      </w:r>
    </w:p>
    <w:p w:rsidR="009B0990" w:rsidRDefault="009B0990" w:rsidP="00AA1715">
      <w:pPr>
        <w:shd w:val="clear" w:color="auto" w:fill="F2F2F2"/>
        <w:spacing w:before="100" w:beforeAutospacing="1" w:after="100" w:afterAutospacing="1" w:line="405" w:lineRule="atLeast"/>
        <w:ind w:left="1440" w:hanging="360"/>
        <w:rPr>
          <w:rFonts w:ascii="Arial" w:eastAsia="Times New Roman" w:hAnsi="Arial" w:cs="Arial"/>
          <w:color w:val="252525"/>
          <w:sz w:val="21"/>
          <w:szCs w:val="21"/>
        </w:rPr>
      </w:pPr>
    </w:p>
    <w:tbl>
      <w:tblPr>
        <w:tblStyle w:val="TableGrid"/>
        <w:tblW w:w="0" w:type="auto"/>
        <w:tblLook w:val="04A0" w:firstRow="1" w:lastRow="0" w:firstColumn="1" w:lastColumn="0" w:noHBand="0" w:noVBand="1"/>
      </w:tblPr>
      <w:tblGrid>
        <w:gridCol w:w="3465"/>
        <w:gridCol w:w="2088"/>
        <w:gridCol w:w="1977"/>
        <w:gridCol w:w="1894"/>
      </w:tblGrid>
      <w:tr w:rsidR="00656B3F" w:rsidTr="00E744D4">
        <w:trPr>
          <w:trHeight w:val="144"/>
        </w:trPr>
        <w:tc>
          <w:tcPr>
            <w:tcW w:w="3465" w:type="dxa"/>
          </w:tcPr>
          <w:p w:rsidR="00656B3F" w:rsidRDefault="00656B3F" w:rsidP="00C83C3D">
            <w:pPr>
              <w:rPr>
                <w:color w:val="000000" w:themeColor="text1"/>
              </w:rPr>
            </w:pPr>
          </w:p>
        </w:tc>
        <w:tc>
          <w:tcPr>
            <w:tcW w:w="5959" w:type="dxa"/>
            <w:gridSpan w:val="3"/>
          </w:tcPr>
          <w:p w:rsidR="00656B3F" w:rsidRPr="008B7BAA" w:rsidRDefault="00656B3F" w:rsidP="00E43A08">
            <w:pPr>
              <w:jc w:val="center"/>
              <w:rPr>
                <w:b/>
                <w:color w:val="000000" w:themeColor="text1"/>
              </w:rPr>
            </w:pPr>
            <w:r>
              <w:rPr>
                <w:b/>
                <w:color w:val="000000" w:themeColor="text1"/>
              </w:rPr>
              <w:t>Entity</w:t>
            </w:r>
          </w:p>
        </w:tc>
      </w:tr>
      <w:tr w:rsidR="009B0990" w:rsidTr="00FC4F3A">
        <w:trPr>
          <w:trHeight w:val="144"/>
        </w:trPr>
        <w:tc>
          <w:tcPr>
            <w:tcW w:w="3465" w:type="dxa"/>
          </w:tcPr>
          <w:p w:rsidR="009B0990" w:rsidRDefault="009B0990" w:rsidP="00C83C3D">
            <w:pPr>
              <w:rPr>
                <w:color w:val="000000" w:themeColor="text1"/>
              </w:rPr>
            </w:pPr>
          </w:p>
        </w:tc>
        <w:tc>
          <w:tcPr>
            <w:tcW w:w="2088" w:type="dxa"/>
          </w:tcPr>
          <w:p w:rsidR="009B0990" w:rsidRPr="008B7BAA" w:rsidRDefault="009B0990" w:rsidP="00C83C3D">
            <w:pPr>
              <w:jc w:val="center"/>
              <w:rPr>
                <w:b/>
                <w:color w:val="000000" w:themeColor="text1"/>
              </w:rPr>
            </w:pPr>
            <w:r w:rsidRPr="008B7BAA">
              <w:rPr>
                <w:b/>
                <w:color w:val="000000" w:themeColor="text1"/>
              </w:rPr>
              <w:t>Sole Proprietorship</w:t>
            </w:r>
          </w:p>
        </w:tc>
        <w:tc>
          <w:tcPr>
            <w:tcW w:w="1977" w:type="dxa"/>
          </w:tcPr>
          <w:p w:rsidR="009B0990" w:rsidRPr="008B7BAA" w:rsidRDefault="009B0990" w:rsidP="00C83C3D">
            <w:pPr>
              <w:jc w:val="center"/>
              <w:rPr>
                <w:b/>
                <w:color w:val="000000" w:themeColor="text1"/>
              </w:rPr>
            </w:pPr>
            <w:r w:rsidRPr="008B7BAA">
              <w:rPr>
                <w:b/>
                <w:color w:val="000000" w:themeColor="text1"/>
              </w:rPr>
              <w:t>Partnership</w:t>
            </w:r>
          </w:p>
        </w:tc>
        <w:tc>
          <w:tcPr>
            <w:tcW w:w="1894" w:type="dxa"/>
          </w:tcPr>
          <w:p w:rsidR="009B0990" w:rsidRPr="008B7BAA" w:rsidRDefault="009B0990" w:rsidP="00C83C3D">
            <w:pPr>
              <w:jc w:val="center"/>
              <w:rPr>
                <w:b/>
                <w:color w:val="000000" w:themeColor="text1"/>
              </w:rPr>
            </w:pPr>
            <w:r w:rsidRPr="008B7BAA">
              <w:rPr>
                <w:b/>
                <w:color w:val="000000" w:themeColor="text1"/>
              </w:rPr>
              <w:t>Private Limited Company</w:t>
            </w:r>
          </w:p>
        </w:tc>
      </w:tr>
      <w:tr w:rsidR="009B0990" w:rsidTr="00FC4F3A">
        <w:trPr>
          <w:trHeight w:val="144"/>
        </w:trPr>
        <w:tc>
          <w:tcPr>
            <w:tcW w:w="3465" w:type="dxa"/>
          </w:tcPr>
          <w:p w:rsidR="009B0990" w:rsidRDefault="009B0990" w:rsidP="00C83C3D">
            <w:pPr>
              <w:rPr>
                <w:color w:val="000000" w:themeColor="text1"/>
              </w:rPr>
            </w:pPr>
          </w:p>
        </w:tc>
        <w:tc>
          <w:tcPr>
            <w:tcW w:w="2088" w:type="dxa"/>
          </w:tcPr>
          <w:p w:rsidR="009B0990" w:rsidRPr="008B7BAA" w:rsidRDefault="009B0990" w:rsidP="00C83C3D">
            <w:pPr>
              <w:jc w:val="center"/>
              <w:rPr>
                <w:b/>
                <w:color w:val="000000" w:themeColor="text1"/>
              </w:rPr>
            </w:pPr>
            <w:r w:rsidRPr="008B7BAA">
              <w:rPr>
                <w:b/>
                <w:color w:val="000000" w:themeColor="text1"/>
              </w:rPr>
              <w:t>Proprietor</w:t>
            </w:r>
          </w:p>
        </w:tc>
        <w:tc>
          <w:tcPr>
            <w:tcW w:w="1977" w:type="dxa"/>
          </w:tcPr>
          <w:p w:rsidR="009B0990" w:rsidRPr="008B7BAA" w:rsidRDefault="009B0990" w:rsidP="00C83C3D">
            <w:pPr>
              <w:jc w:val="center"/>
              <w:rPr>
                <w:b/>
                <w:color w:val="000000" w:themeColor="text1"/>
              </w:rPr>
            </w:pPr>
            <w:r w:rsidRPr="008B7BAA">
              <w:rPr>
                <w:b/>
                <w:color w:val="000000" w:themeColor="text1"/>
              </w:rPr>
              <w:t>Partner</w:t>
            </w:r>
          </w:p>
        </w:tc>
        <w:tc>
          <w:tcPr>
            <w:tcW w:w="1894" w:type="dxa"/>
          </w:tcPr>
          <w:p w:rsidR="009B0990" w:rsidRPr="008B7BAA" w:rsidRDefault="009B0990" w:rsidP="00C83C3D">
            <w:pPr>
              <w:jc w:val="center"/>
              <w:rPr>
                <w:b/>
                <w:color w:val="000000" w:themeColor="text1"/>
              </w:rPr>
            </w:pPr>
            <w:r w:rsidRPr="008B7BAA">
              <w:rPr>
                <w:b/>
                <w:color w:val="000000" w:themeColor="text1"/>
              </w:rPr>
              <w:t>Director</w:t>
            </w:r>
          </w:p>
        </w:tc>
      </w:tr>
      <w:tr w:rsidR="009B0990" w:rsidRPr="00E95732" w:rsidTr="00FC4F3A">
        <w:trPr>
          <w:trHeight w:val="144"/>
        </w:trPr>
        <w:tc>
          <w:tcPr>
            <w:tcW w:w="9424" w:type="dxa"/>
            <w:gridSpan w:val="4"/>
            <w:vAlign w:val="center"/>
          </w:tcPr>
          <w:p w:rsidR="009B0990" w:rsidRPr="00E95732" w:rsidRDefault="00E95732" w:rsidP="00E95732">
            <w:pPr>
              <w:rPr>
                <w:b/>
                <w:color w:val="000000" w:themeColor="text1"/>
              </w:rPr>
            </w:pPr>
            <w:r w:rsidRPr="00E95732">
              <w:rPr>
                <w:b/>
                <w:color w:val="000000" w:themeColor="text1"/>
              </w:rPr>
              <w:t>Individual Related Documents</w:t>
            </w:r>
          </w:p>
        </w:tc>
      </w:tr>
      <w:tr w:rsidR="009B0990" w:rsidRPr="00D624A8" w:rsidTr="00FC4F3A">
        <w:trPr>
          <w:trHeight w:val="144"/>
        </w:trPr>
        <w:tc>
          <w:tcPr>
            <w:tcW w:w="3465" w:type="dxa"/>
            <w:vAlign w:val="center"/>
          </w:tcPr>
          <w:p w:rsidR="009B0990" w:rsidRDefault="009B0990" w:rsidP="00C83C3D">
            <w:r>
              <w:t>Age &amp; ID proof (any of the below): of Proprietor/Partner/Director</w:t>
            </w:r>
          </w:p>
          <w:p w:rsidR="009B0990" w:rsidRDefault="009B0990" w:rsidP="009B0990">
            <w:pPr>
              <w:numPr>
                <w:ilvl w:val="0"/>
                <w:numId w:val="7"/>
              </w:numPr>
              <w:spacing w:before="100" w:beforeAutospacing="1"/>
            </w:pPr>
            <w:r>
              <w:t>PAN Card</w:t>
            </w:r>
          </w:p>
          <w:p w:rsidR="009B0990" w:rsidRDefault="009B0990" w:rsidP="009B0990">
            <w:pPr>
              <w:numPr>
                <w:ilvl w:val="0"/>
                <w:numId w:val="7"/>
              </w:numPr>
              <w:spacing w:before="100" w:beforeAutospacing="1"/>
            </w:pPr>
            <w:r>
              <w:t>Passport</w:t>
            </w:r>
          </w:p>
          <w:p w:rsidR="009B0990" w:rsidRDefault="009B0990" w:rsidP="009B0990">
            <w:pPr>
              <w:numPr>
                <w:ilvl w:val="0"/>
                <w:numId w:val="7"/>
              </w:numPr>
              <w:spacing w:before="100" w:beforeAutospacing="1"/>
            </w:pPr>
            <w:r>
              <w:t>Drivers’ License</w:t>
            </w:r>
          </w:p>
          <w:p w:rsidR="009B0990" w:rsidRDefault="009B0990" w:rsidP="009B0990">
            <w:pPr>
              <w:numPr>
                <w:ilvl w:val="0"/>
                <w:numId w:val="7"/>
              </w:numPr>
              <w:spacing w:before="100" w:beforeAutospacing="1"/>
              <w:rPr>
                <w:sz w:val="24"/>
                <w:szCs w:val="24"/>
              </w:rPr>
            </w:pPr>
            <w:r>
              <w:t>Aadhar Card</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spacing w:after="300"/>
              <w:jc w:val="center"/>
              <w:rPr>
                <w:b/>
              </w:rPr>
            </w:pPr>
            <w:r w:rsidRPr="00DB2FDE">
              <w:rPr>
                <w:b/>
              </w:rPr>
              <w:t>Yes</w:t>
            </w:r>
          </w:p>
        </w:tc>
      </w:tr>
      <w:tr w:rsidR="009B0990" w:rsidRPr="00D624A8" w:rsidTr="00FC4F3A">
        <w:trPr>
          <w:trHeight w:val="144"/>
        </w:trPr>
        <w:tc>
          <w:tcPr>
            <w:tcW w:w="3465" w:type="dxa"/>
            <w:vAlign w:val="center"/>
          </w:tcPr>
          <w:p w:rsidR="009B0990" w:rsidRDefault="009B0990" w:rsidP="00C83C3D">
            <w:r>
              <w:t>Residence Address Proof (any of the below): of Proprietor/Partner/Director</w:t>
            </w:r>
          </w:p>
          <w:p w:rsidR="009B0990" w:rsidRDefault="009B0990" w:rsidP="009B0990">
            <w:pPr>
              <w:numPr>
                <w:ilvl w:val="0"/>
                <w:numId w:val="8"/>
              </w:numPr>
              <w:spacing w:before="100" w:beforeAutospacing="1" w:after="100" w:afterAutospacing="1"/>
            </w:pPr>
            <w:r>
              <w:t>Passport</w:t>
            </w:r>
          </w:p>
          <w:p w:rsidR="009B0990" w:rsidRDefault="009B0990" w:rsidP="009B0990">
            <w:pPr>
              <w:numPr>
                <w:ilvl w:val="0"/>
                <w:numId w:val="8"/>
              </w:numPr>
              <w:spacing w:before="100" w:beforeAutospacing="1" w:after="100" w:afterAutospacing="1"/>
            </w:pPr>
            <w:r>
              <w:t xml:space="preserve">LIC Premium </w:t>
            </w:r>
          </w:p>
          <w:p w:rsidR="009B0990" w:rsidRDefault="00617E05" w:rsidP="009B0990">
            <w:pPr>
              <w:numPr>
                <w:ilvl w:val="0"/>
                <w:numId w:val="8"/>
              </w:numPr>
              <w:spacing w:before="100" w:beforeAutospacing="1" w:after="100" w:afterAutospacing="1"/>
            </w:pPr>
            <w:r>
              <w:t xml:space="preserve">Latest </w:t>
            </w:r>
            <w:r w:rsidR="009B0990">
              <w:t>Utility Bill</w:t>
            </w:r>
          </w:p>
          <w:p w:rsidR="009B0990" w:rsidRDefault="00617E05" w:rsidP="00617E05">
            <w:pPr>
              <w:numPr>
                <w:ilvl w:val="0"/>
                <w:numId w:val="8"/>
              </w:numPr>
              <w:spacing w:before="100" w:beforeAutospacing="1" w:after="100" w:afterAutospacing="1"/>
              <w:rPr>
                <w:sz w:val="24"/>
                <w:szCs w:val="24"/>
              </w:rPr>
            </w:pPr>
            <w:r>
              <w:t xml:space="preserve">Latest </w:t>
            </w:r>
            <w:r w:rsidR="009B0990">
              <w:t xml:space="preserve">Mobile Bill </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Default="009B0990" w:rsidP="00C83C3D">
            <w:r>
              <w:t>Photograph of Proprietor/Partner/Director</w:t>
            </w:r>
          </w:p>
          <w:p w:rsidR="009B0990" w:rsidRDefault="009B0990" w:rsidP="00C83C3D">
            <w:pPr>
              <w:rPr>
                <w:sz w:val="24"/>
                <w:szCs w:val="24"/>
              </w:rPr>
            </w:pPr>
            <w:r>
              <w:t xml:space="preserve"> with Signature</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Default="009B0990" w:rsidP="00C83C3D">
            <w:pPr>
              <w:rPr>
                <w:sz w:val="24"/>
                <w:szCs w:val="24"/>
              </w:rPr>
            </w:pPr>
            <w:r>
              <w:t>Sanction letter and schedules/Statement of loans in the name of individuals/partners/directors</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tcPr>
          <w:p w:rsidR="009B0990" w:rsidRDefault="009B0990" w:rsidP="00C83C3D">
            <w:r>
              <w:t>Residence/Office Ownership (any of the below):</w:t>
            </w:r>
          </w:p>
          <w:p w:rsidR="009B0990" w:rsidRDefault="009B0990" w:rsidP="009B0990">
            <w:pPr>
              <w:numPr>
                <w:ilvl w:val="0"/>
                <w:numId w:val="9"/>
              </w:numPr>
              <w:spacing w:before="100" w:beforeAutospacing="1" w:after="100" w:afterAutospacing="1"/>
            </w:pPr>
            <w:r>
              <w:t>Electricity Bill</w:t>
            </w:r>
          </w:p>
          <w:p w:rsidR="009B0990" w:rsidRDefault="009B0990" w:rsidP="009B0990">
            <w:pPr>
              <w:numPr>
                <w:ilvl w:val="0"/>
                <w:numId w:val="9"/>
              </w:numPr>
              <w:spacing w:before="100" w:beforeAutospacing="1" w:after="100" w:afterAutospacing="1"/>
              <w:rPr>
                <w:color w:val="000000" w:themeColor="text1"/>
              </w:rPr>
            </w:pPr>
            <w:r>
              <w:t>Sales Deed Copy</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Last 6 months bank statement of all operative accounts</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lastRenderedPageBreak/>
              <w:t>In the case of transfer of a loan: Last 12 months of  loans statement  along with the Sanction Letter of your previous bank</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9424" w:type="dxa"/>
            <w:gridSpan w:val="4"/>
            <w:vAlign w:val="center"/>
          </w:tcPr>
          <w:p w:rsidR="009B0990" w:rsidRPr="00DB2FDE" w:rsidRDefault="009B0990" w:rsidP="009B0990">
            <w:pPr>
              <w:rPr>
                <w:b/>
              </w:rPr>
            </w:pPr>
            <w:r>
              <w:rPr>
                <w:b/>
              </w:rPr>
              <w:t>Company Related Documents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Business continuity proof - 3 years income tax return &amp; income  statement</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Last3year audit report and audited financials</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Business incorporation date proof - PAN Card</w:t>
            </w:r>
          </w:p>
        </w:tc>
        <w:tc>
          <w:tcPr>
            <w:tcW w:w="2088" w:type="dxa"/>
          </w:tcPr>
          <w:p w:rsidR="009B0990" w:rsidRPr="00DB2FDE" w:rsidRDefault="009B0990" w:rsidP="00C83C3D">
            <w:pPr>
              <w:jc w:val="center"/>
              <w:rPr>
                <w:b/>
              </w:rPr>
            </w:pPr>
            <w:r w:rsidRPr="00DB2FDE">
              <w:rPr>
                <w:b/>
              </w:rPr>
              <w:t>N.A.</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Default="009B0990" w:rsidP="00C83C3D">
            <w:pPr>
              <w:spacing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Office </w:t>
            </w:r>
            <w:r w:rsidRPr="001069A3">
              <w:rPr>
                <w:rFonts w:ascii="Times New Roman" w:eastAsia="Times New Roman" w:hAnsi="Times New Roman" w:cs="Times New Roman"/>
                <w:color w:val="000000" w:themeColor="text1"/>
                <w:sz w:val="24"/>
                <w:szCs w:val="24"/>
              </w:rPr>
              <w:t>Address proof</w:t>
            </w:r>
            <w:r>
              <w:rPr>
                <w:rFonts w:ascii="Times New Roman" w:eastAsia="Times New Roman" w:hAnsi="Times New Roman" w:cs="Times New Roman"/>
                <w:color w:val="000000" w:themeColor="text1"/>
                <w:sz w:val="24"/>
                <w:szCs w:val="24"/>
              </w:rPr>
              <w:t xml:space="preserve"> (any one of the flowing):</w:t>
            </w:r>
          </w:p>
          <w:p w:rsidR="009B0990" w:rsidRDefault="009B0990" w:rsidP="009B0990">
            <w:pPr>
              <w:pStyle w:val="ListParagraph"/>
              <w:numPr>
                <w:ilvl w:val="0"/>
                <w:numId w:val="10"/>
              </w:numPr>
              <w:spacing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Utility bill (Electricity)</w:t>
            </w:r>
          </w:p>
          <w:p w:rsidR="009B0990" w:rsidRPr="00D624A8" w:rsidRDefault="009B0990" w:rsidP="009B0990">
            <w:pPr>
              <w:pStyle w:val="ListParagraph"/>
              <w:numPr>
                <w:ilvl w:val="0"/>
                <w:numId w:val="10"/>
              </w:numPr>
              <w:spacing w:after="30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VAT/Sales Tax/Service Tax Registration certificate</w:t>
            </w:r>
          </w:p>
        </w:tc>
        <w:tc>
          <w:tcPr>
            <w:tcW w:w="2088" w:type="dxa"/>
          </w:tcPr>
          <w:p w:rsidR="009B0990" w:rsidRPr="00DB2FDE" w:rsidRDefault="009B0990" w:rsidP="00C83C3D">
            <w:pPr>
              <w:jc w:val="center"/>
              <w:rPr>
                <w:b/>
              </w:rPr>
            </w:pPr>
            <w:r w:rsidRPr="00DB2FDE">
              <w:rPr>
                <w:b/>
              </w:rPr>
              <w:t>Yes</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MOA(Memorandum of Association ) and AOA (Articles of Association)</w:t>
            </w:r>
          </w:p>
        </w:tc>
        <w:tc>
          <w:tcPr>
            <w:tcW w:w="2088" w:type="dxa"/>
          </w:tcPr>
          <w:p w:rsidR="009B0990" w:rsidRPr="00DB2FDE" w:rsidRDefault="009B0990" w:rsidP="00C83C3D">
            <w:pPr>
              <w:jc w:val="center"/>
              <w:rPr>
                <w:b/>
                <w:color w:val="000000" w:themeColor="text1"/>
              </w:rPr>
            </w:pPr>
            <w:r w:rsidRPr="00DB2FDE">
              <w:rPr>
                <w:b/>
                <w:color w:val="000000" w:themeColor="text1"/>
              </w:rPr>
              <w:t>N.A.</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Latest share holding pattern on company letterhead</w:t>
            </w:r>
          </w:p>
        </w:tc>
        <w:tc>
          <w:tcPr>
            <w:tcW w:w="2088" w:type="dxa"/>
          </w:tcPr>
          <w:p w:rsidR="009B0990" w:rsidRPr="00DB2FDE" w:rsidRDefault="009B0990" w:rsidP="00C83C3D">
            <w:pPr>
              <w:jc w:val="center"/>
              <w:rPr>
                <w:b/>
              </w:rPr>
            </w:pPr>
            <w:r w:rsidRPr="00DB2FDE">
              <w:rPr>
                <w:b/>
                <w:color w:val="000000" w:themeColor="text1"/>
              </w:rPr>
              <w:t>N.A.</w:t>
            </w:r>
          </w:p>
        </w:tc>
        <w:tc>
          <w:tcPr>
            <w:tcW w:w="1977" w:type="dxa"/>
          </w:tcPr>
          <w:p w:rsidR="009B0990" w:rsidRPr="00DB2FDE" w:rsidRDefault="009B0990" w:rsidP="00C83C3D">
            <w:pPr>
              <w:jc w:val="center"/>
              <w:rPr>
                <w:b/>
              </w:rPr>
            </w:pPr>
            <w:r w:rsidRPr="00DB2FDE">
              <w:rPr>
                <w:b/>
              </w:rPr>
              <w:t>Yes</w:t>
            </w:r>
          </w:p>
        </w:tc>
        <w:tc>
          <w:tcPr>
            <w:tcW w:w="1894" w:type="dxa"/>
          </w:tcPr>
          <w:p w:rsidR="009B0990" w:rsidRPr="00DB2FDE" w:rsidRDefault="009B0990" w:rsidP="00C83C3D">
            <w:pPr>
              <w:jc w:val="center"/>
              <w:rPr>
                <w:b/>
              </w:rPr>
            </w:pPr>
            <w:r w:rsidRPr="00DB2FDE">
              <w:rPr>
                <w:b/>
              </w:rPr>
              <w:t>Yes</w:t>
            </w:r>
          </w:p>
        </w:tc>
      </w:tr>
      <w:tr w:rsidR="00F7617F" w:rsidRPr="00D624A8" w:rsidTr="00C83C3D">
        <w:trPr>
          <w:trHeight w:val="144"/>
        </w:trPr>
        <w:tc>
          <w:tcPr>
            <w:tcW w:w="3465" w:type="dxa"/>
            <w:vAlign w:val="center"/>
          </w:tcPr>
          <w:p w:rsidR="00F7617F" w:rsidRPr="001069A3" w:rsidRDefault="00F7617F"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List of cu</w:t>
            </w:r>
            <w:r>
              <w:rPr>
                <w:rFonts w:ascii="Times New Roman" w:eastAsia="Times New Roman" w:hAnsi="Times New Roman" w:cs="Times New Roman"/>
                <w:color w:val="000000" w:themeColor="text1"/>
                <w:sz w:val="24"/>
                <w:szCs w:val="24"/>
              </w:rPr>
              <w:t>rrent partners with share of profit</w:t>
            </w:r>
            <w:r w:rsidRPr="001069A3">
              <w:rPr>
                <w:rFonts w:ascii="Times New Roman" w:eastAsia="Times New Roman" w:hAnsi="Times New Roman" w:cs="Times New Roman"/>
                <w:color w:val="000000" w:themeColor="text1"/>
                <w:sz w:val="24"/>
                <w:szCs w:val="24"/>
              </w:rPr>
              <w:t xml:space="preserve"> on firm letterhead</w:t>
            </w:r>
          </w:p>
        </w:tc>
        <w:tc>
          <w:tcPr>
            <w:tcW w:w="2088" w:type="dxa"/>
          </w:tcPr>
          <w:p w:rsidR="00F7617F" w:rsidRPr="00DB2FDE" w:rsidRDefault="00F7617F" w:rsidP="00C83C3D">
            <w:pPr>
              <w:jc w:val="center"/>
              <w:rPr>
                <w:b/>
              </w:rPr>
            </w:pPr>
            <w:r w:rsidRPr="00DB2FDE">
              <w:rPr>
                <w:b/>
                <w:color w:val="000000" w:themeColor="text1"/>
              </w:rPr>
              <w:t>N.A.</w:t>
            </w:r>
          </w:p>
        </w:tc>
        <w:tc>
          <w:tcPr>
            <w:tcW w:w="1977" w:type="dxa"/>
          </w:tcPr>
          <w:p w:rsidR="00F7617F" w:rsidRPr="00DB2FDE" w:rsidRDefault="00F7617F" w:rsidP="00C83C3D">
            <w:pPr>
              <w:jc w:val="center"/>
              <w:rPr>
                <w:b/>
              </w:rPr>
            </w:pPr>
            <w:r w:rsidRPr="00DB2FDE">
              <w:rPr>
                <w:b/>
              </w:rPr>
              <w:t>Yes</w:t>
            </w:r>
          </w:p>
        </w:tc>
        <w:tc>
          <w:tcPr>
            <w:tcW w:w="1894" w:type="dxa"/>
          </w:tcPr>
          <w:p w:rsidR="00F7617F" w:rsidRPr="00DB2FDE" w:rsidRDefault="00F7617F" w:rsidP="00C83C3D">
            <w:pPr>
              <w:jc w:val="center"/>
              <w:rPr>
                <w:b/>
              </w:rPr>
            </w:pPr>
            <w:r>
              <w:rPr>
                <w:b/>
              </w:rPr>
              <w:t>N.A.</w:t>
            </w:r>
          </w:p>
        </w:tc>
      </w:tr>
      <w:tr w:rsidR="00F7617F" w:rsidRPr="00D624A8" w:rsidTr="00C83C3D">
        <w:trPr>
          <w:trHeight w:val="144"/>
        </w:trPr>
        <w:tc>
          <w:tcPr>
            <w:tcW w:w="3465" w:type="dxa"/>
            <w:vAlign w:val="center"/>
          </w:tcPr>
          <w:p w:rsidR="00F7617F" w:rsidRPr="001069A3" w:rsidRDefault="00F7617F"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Partnership Deed</w:t>
            </w:r>
          </w:p>
        </w:tc>
        <w:tc>
          <w:tcPr>
            <w:tcW w:w="2088" w:type="dxa"/>
          </w:tcPr>
          <w:p w:rsidR="00F7617F" w:rsidRPr="00DB2FDE" w:rsidRDefault="00F7617F" w:rsidP="00C83C3D">
            <w:pPr>
              <w:jc w:val="center"/>
              <w:rPr>
                <w:b/>
              </w:rPr>
            </w:pPr>
            <w:r w:rsidRPr="00DB2FDE">
              <w:rPr>
                <w:b/>
                <w:color w:val="000000" w:themeColor="text1"/>
              </w:rPr>
              <w:t>N.A.</w:t>
            </w:r>
          </w:p>
        </w:tc>
        <w:tc>
          <w:tcPr>
            <w:tcW w:w="1977" w:type="dxa"/>
          </w:tcPr>
          <w:p w:rsidR="00F7617F" w:rsidRPr="00DB2FDE" w:rsidRDefault="00F7617F" w:rsidP="00C83C3D">
            <w:pPr>
              <w:jc w:val="center"/>
              <w:rPr>
                <w:b/>
              </w:rPr>
            </w:pPr>
            <w:r w:rsidRPr="00DB2FDE">
              <w:rPr>
                <w:b/>
              </w:rPr>
              <w:t>Yes</w:t>
            </w:r>
          </w:p>
        </w:tc>
        <w:tc>
          <w:tcPr>
            <w:tcW w:w="1894" w:type="dxa"/>
          </w:tcPr>
          <w:p w:rsidR="00F7617F" w:rsidRPr="00DB2FDE" w:rsidRDefault="00F7617F" w:rsidP="00C83C3D">
            <w:pPr>
              <w:jc w:val="center"/>
              <w:rPr>
                <w:b/>
              </w:rPr>
            </w:pPr>
            <w:r>
              <w:rPr>
                <w:b/>
              </w:rPr>
              <w:t>N.A.</w:t>
            </w:r>
          </w:p>
        </w:tc>
      </w:tr>
      <w:tr w:rsidR="00F7617F" w:rsidRPr="00D624A8" w:rsidTr="00C83C3D">
        <w:trPr>
          <w:trHeight w:val="144"/>
        </w:trPr>
        <w:tc>
          <w:tcPr>
            <w:tcW w:w="3465" w:type="dxa"/>
            <w:vAlign w:val="center"/>
          </w:tcPr>
          <w:p w:rsidR="00F7617F" w:rsidRPr="001069A3" w:rsidRDefault="00F7617F"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Certificate of Registration</w:t>
            </w:r>
          </w:p>
        </w:tc>
        <w:tc>
          <w:tcPr>
            <w:tcW w:w="2088" w:type="dxa"/>
          </w:tcPr>
          <w:p w:rsidR="00F7617F" w:rsidRPr="00DB2FDE" w:rsidRDefault="00F7617F" w:rsidP="00C83C3D">
            <w:pPr>
              <w:jc w:val="center"/>
              <w:rPr>
                <w:b/>
              </w:rPr>
            </w:pPr>
            <w:r w:rsidRPr="00DB2FDE">
              <w:rPr>
                <w:b/>
                <w:color w:val="000000" w:themeColor="text1"/>
              </w:rPr>
              <w:t>N.A.</w:t>
            </w:r>
          </w:p>
        </w:tc>
        <w:tc>
          <w:tcPr>
            <w:tcW w:w="1977" w:type="dxa"/>
          </w:tcPr>
          <w:p w:rsidR="00F7617F" w:rsidRPr="00DB2FDE" w:rsidRDefault="00F7617F" w:rsidP="00C83C3D">
            <w:pPr>
              <w:jc w:val="center"/>
              <w:rPr>
                <w:b/>
              </w:rPr>
            </w:pPr>
            <w:r w:rsidRPr="00DB2FDE">
              <w:rPr>
                <w:b/>
              </w:rPr>
              <w:t>Yes</w:t>
            </w:r>
          </w:p>
        </w:tc>
        <w:tc>
          <w:tcPr>
            <w:tcW w:w="1894" w:type="dxa"/>
          </w:tcPr>
          <w:p w:rsidR="00F7617F" w:rsidRPr="00DB2FDE" w:rsidRDefault="00F7617F"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71289E">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 xml:space="preserve">List of </w:t>
            </w:r>
            <w:r w:rsidR="0071289E">
              <w:rPr>
                <w:rFonts w:ascii="Times New Roman" w:eastAsia="Times New Roman" w:hAnsi="Times New Roman" w:cs="Times New Roman"/>
                <w:color w:val="000000" w:themeColor="text1"/>
                <w:sz w:val="24"/>
                <w:szCs w:val="24"/>
              </w:rPr>
              <w:t>Directors on</w:t>
            </w:r>
            <w:r w:rsidR="0060485E">
              <w:rPr>
                <w:rFonts w:ascii="Times New Roman" w:eastAsia="Times New Roman" w:hAnsi="Times New Roman" w:cs="Times New Roman"/>
                <w:color w:val="000000" w:themeColor="text1"/>
                <w:sz w:val="24"/>
                <w:szCs w:val="24"/>
              </w:rPr>
              <w:t xml:space="preserve"> </w:t>
            </w:r>
            <w:r w:rsidRPr="001069A3">
              <w:rPr>
                <w:rFonts w:ascii="Times New Roman" w:eastAsia="Times New Roman" w:hAnsi="Times New Roman" w:cs="Times New Roman"/>
                <w:color w:val="000000" w:themeColor="text1"/>
                <w:sz w:val="24"/>
                <w:szCs w:val="24"/>
              </w:rPr>
              <w:t>company letterhead</w:t>
            </w:r>
          </w:p>
        </w:tc>
        <w:tc>
          <w:tcPr>
            <w:tcW w:w="2088" w:type="dxa"/>
          </w:tcPr>
          <w:p w:rsidR="009B0990" w:rsidRPr="00DB2FDE" w:rsidRDefault="009B0990" w:rsidP="00C83C3D">
            <w:pPr>
              <w:jc w:val="center"/>
              <w:rPr>
                <w:b/>
              </w:rPr>
            </w:pPr>
            <w:r w:rsidRPr="00DB2FDE">
              <w:rPr>
                <w:b/>
                <w:color w:val="000000" w:themeColor="text1"/>
              </w:rPr>
              <w:t>N.A.</w:t>
            </w:r>
          </w:p>
        </w:tc>
        <w:tc>
          <w:tcPr>
            <w:tcW w:w="1977" w:type="dxa"/>
          </w:tcPr>
          <w:p w:rsidR="009B0990" w:rsidRPr="00DB2FDE" w:rsidRDefault="0071289E" w:rsidP="00C83C3D">
            <w:pPr>
              <w:jc w:val="center"/>
              <w:rPr>
                <w:b/>
              </w:rPr>
            </w:pPr>
            <w:r>
              <w:rPr>
                <w:b/>
              </w:rPr>
              <w:t>N.A.</w:t>
            </w:r>
          </w:p>
        </w:tc>
        <w:tc>
          <w:tcPr>
            <w:tcW w:w="1894" w:type="dxa"/>
          </w:tcPr>
          <w:p w:rsidR="009B0990" w:rsidRPr="00DB2FDE" w:rsidRDefault="009B0990" w:rsidP="00C83C3D">
            <w:pPr>
              <w:jc w:val="center"/>
              <w:rPr>
                <w:b/>
              </w:rPr>
            </w:pPr>
            <w:r w:rsidRPr="00DB2FDE">
              <w:rPr>
                <w:b/>
              </w:rPr>
              <w:t>Yes</w:t>
            </w:r>
          </w:p>
        </w:tc>
      </w:tr>
      <w:tr w:rsidR="009B0990" w:rsidRPr="00D624A8" w:rsidTr="00FC4F3A">
        <w:trPr>
          <w:trHeight w:val="144"/>
        </w:trPr>
        <w:tc>
          <w:tcPr>
            <w:tcW w:w="3465" w:type="dxa"/>
            <w:vAlign w:val="center"/>
          </w:tcPr>
          <w:p w:rsidR="009B0990" w:rsidRPr="001069A3" w:rsidRDefault="009B0990" w:rsidP="00C83C3D">
            <w:pPr>
              <w:spacing w:after="300"/>
              <w:rPr>
                <w:rFonts w:ascii="Times New Roman" w:eastAsia="Times New Roman" w:hAnsi="Times New Roman" w:cs="Times New Roman"/>
                <w:color w:val="000000" w:themeColor="text1"/>
                <w:sz w:val="24"/>
                <w:szCs w:val="24"/>
              </w:rPr>
            </w:pPr>
            <w:r w:rsidRPr="001069A3">
              <w:rPr>
                <w:rFonts w:ascii="Times New Roman" w:eastAsia="Times New Roman" w:hAnsi="Times New Roman" w:cs="Times New Roman"/>
                <w:color w:val="000000" w:themeColor="text1"/>
                <w:sz w:val="24"/>
                <w:szCs w:val="24"/>
              </w:rPr>
              <w:t>Certificate of Incorporation</w:t>
            </w:r>
          </w:p>
        </w:tc>
        <w:tc>
          <w:tcPr>
            <w:tcW w:w="2088" w:type="dxa"/>
          </w:tcPr>
          <w:p w:rsidR="009B0990" w:rsidRPr="00DB2FDE" w:rsidRDefault="009B0990" w:rsidP="00C83C3D">
            <w:pPr>
              <w:jc w:val="center"/>
              <w:rPr>
                <w:b/>
              </w:rPr>
            </w:pPr>
            <w:r w:rsidRPr="00DB2FDE">
              <w:rPr>
                <w:b/>
                <w:color w:val="000000" w:themeColor="text1"/>
              </w:rPr>
              <w:t>N.A.</w:t>
            </w:r>
          </w:p>
        </w:tc>
        <w:tc>
          <w:tcPr>
            <w:tcW w:w="1977" w:type="dxa"/>
          </w:tcPr>
          <w:p w:rsidR="009B0990" w:rsidRPr="00DB2FDE" w:rsidRDefault="0060485E" w:rsidP="00C83C3D">
            <w:pPr>
              <w:jc w:val="center"/>
              <w:rPr>
                <w:b/>
              </w:rPr>
            </w:pPr>
            <w:r>
              <w:rPr>
                <w:b/>
              </w:rPr>
              <w:t>N.A.</w:t>
            </w:r>
          </w:p>
        </w:tc>
        <w:tc>
          <w:tcPr>
            <w:tcW w:w="1894" w:type="dxa"/>
          </w:tcPr>
          <w:p w:rsidR="009B0990" w:rsidRPr="00DB2FDE" w:rsidRDefault="009B0990" w:rsidP="00C83C3D">
            <w:pPr>
              <w:jc w:val="center"/>
              <w:rPr>
                <w:b/>
              </w:rPr>
            </w:pPr>
            <w:r w:rsidRPr="00DB2FDE">
              <w:rPr>
                <w:b/>
              </w:rPr>
              <w:t>Yes</w:t>
            </w:r>
          </w:p>
        </w:tc>
      </w:tr>
    </w:tbl>
    <w:p w:rsidR="009B0990" w:rsidRPr="00DB7CB4" w:rsidRDefault="009B0990" w:rsidP="009B0990">
      <w:pPr>
        <w:rPr>
          <w:color w:val="000000" w:themeColor="text1"/>
        </w:rPr>
      </w:pPr>
    </w:p>
    <w:p w:rsidR="009B0990" w:rsidRPr="00A002F7" w:rsidRDefault="009B0990" w:rsidP="00AA1715">
      <w:pPr>
        <w:shd w:val="clear" w:color="auto" w:fill="F2F2F2"/>
        <w:spacing w:before="100" w:beforeAutospacing="1" w:after="100" w:afterAutospacing="1" w:line="405" w:lineRule="atLeast"/>
        <w:ind w:left="1440" w:hanging="360"/>
        <w:rPr>
          <w:rFonts w:ascii="Arial" w:eastAsia="Times New Roman" w:hAnsi="Arial" w:cs="Arial"/>
          <w:color w:val="252525"/>
          <w:sz w:val="21"/>
          <w:szCs w:val="21"/>
        </w:rPr>
      </w:pPr>
    </w:p>
    <w:sectPr w:rsidR="009B0990" w:rsidRPr="00A00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D2F6B"/>
    <w:multiLevelType w:val="multilevel"/>
    <w:tmpl w:val="EEA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917243"/>
    <w:multiLevelType w:val="multilevel"/>
    <w:tmpl w:val="B6A2002A"/>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C47D40"/>
    <w:multiLevelType w:val="multilevel"/>
    <w:tmpl w:val="99BC6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A26F0E"/>
    <w:multiLevelType w:val="multilevel"/>
    <w:tmpl w:val="928CA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71121D"/>
    <w:multiLevelType w:val="hybridMultilevel"/>
    <w:tmpl w:val="22F44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732C62"/>
    <w:multiLevelType w:val="multilevel"/>
    <w:tmpl w:val="C1FC9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5D3BF4"/>
    <w:multiLevelType w:val="hybridMultilevel"/>
    <w:tmpl w:val="95D82EC0"/>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nsid w:val="538F5FAF"/>
    <w:multiLevelType w:val="hybridMultilevel"/>
    <w:tmpl w:val="F46A0FA0"/>
    <w:lvl w:ilvl="0" w:tplc="0409000F">
      <w:start w:val="1"/>
      <w:numFmt w:val="decimal"/>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8">
    <w:nsid w:val="76B373C0"/>
    <w:multiLevelType w:val="multilevel"/>
    <w:tmpl w:val="A2BE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D335D3B"/>
    <w:multiLevelType w:val="multilevel"/>
    <w:tmpl w:val="D5EC4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2"/>
  </w:num>
  <w:num w:numId="4">
    <w:abstractNumId w:val="6"/>
  </w:num>
  <w:num w:numId="5">
    <w:abstractNumId w:val="7"/>
  </w:num>
  <w:num w:numId="6">
    <w:abstractNumId w:val="4"/>
  </w:num>
  <w:num w:numId="7">
    <w:abstractNumId w:val="5"/>
  </w:num>
  <w:num w:numId="8">
    <w:abstractNumId w:val="3"/>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82"/>
    <w:rsid w:val="0000213A"/>
    <w:rsid w:val="000110D9"/>
    <w:rsid w:val="000208F6"/>
    <w:rsid w:val="00035706"/>
    <w:rsid w:val="000426EA"/>
    <w:rsid w:val="00044D39"/>
    <w:rsid w:val="00046487"/>
    <w:rsid w:val="0006109E"/>
    <w:rsid w:val="00061182"/>
    <w:rsid w:val="0006738F"/>
    <w:rsid w:val="000716FA"/>
    <w:rsid w:val="000755B0"/>
    <w:rsid w:val="00076C86"/>
    <w:rsid w:val="000A1DA2"/>
    <w:rsid w:val="000A456D"/>
    <w:rsid w:val="000A5908"/>
    <w:rsid w:val="000B2457"/>
    <w:rsid w:val="000B5A2C"/>
    <w:rsid w:val="000C21CA"/>
    <w:rsid w:val="000C654E"/>
    <w:rsid w:val="000D0AA9"/>
    <w:rsid w:val="000D375B"/>
    <w:rsid w:val="00124991"/>
    <w:rsid w:val="0012561D"/>
    <w:rsid w:val="001377A0"/>
    <w:rsid w:val="00146DF7"/>
    <w:rsid w:val="001633CC"/>
    <w:rsid w:val="00163E76"/>
    <w:rsid w:val="001665DB"/>
    <w:rsid w:val="001672AF"/>
    <w:rsid w:val="001720C3"/>
    <w:rsid w:val="0018684A"/>
    <w:rsid w:val="00193D16"/>
    <w:rsid w:val="00197BDC"/>
    <w:rsid w:val="001B7DAA"/>
    <w:rsid w:val="001C13E5"/>
    <w:rsid w:val="001C1E83"/>
    <w:rsid w:val="001C6110"/>
    <w:rsid w:val="001D2E34"/>
    <w:rsid w:val="001D4FF8"/>
    <w:rsid w:val="001E1057"/>
    <w:rsid w:val="001E736B"/>
    <w:rsid w:val="001F538D"/>
    <w:rsid w:val="00223496"/>
    <w:rsid w:val="002314BD"/>
    <w:rsid w:val="0023297E"/>
    <w:rsid w:val="0026681D"/>
    <w:rsid w:val="00270B0D"/>
    <w:rsid w:val="00295279"/>
    <w:rsid w:val="002963F2"/>
    <w:rsid w:val="002965E5"/>
    <w:rsid w:val="00297787"/>
    <w:rsid w:val="002A2334"/>
    <w:rsid w:val="002B24B3"/>
    <w:rsid w:val="002C1F8A"/>
    <w:rsid w:val="002C2A81"/>
    <w:rsid w:val="002E0150"/>
    <w:rsid w:val="002F0AD3"/>
    <w:rsid w:val="002F0DFC"/>
    <w:rsid w:val="002F185C"/>
    <w:rsid w:val="0032210F"/>
    <w:rsid w:val="0032647F"/>
    <w:rsid w:val="0033158C"/>
    <w:rsid w:val="0033740C"/>
    <w:rsid w:val="003560E0"/>
    <w:rsid w:val="00371E55"/>
    <w:rsid w:val="00375BB7"/>
    <w:rsid w:val="00383CA7"/>
    <w:rsid w:val="00385AA5"/>
    <w:rsid w:val="00395BA5"/>
    <w:rsid w:val="003A1897"/>
    <w:rsid w:val="003B50F8"/>
    <w:rsid w:val="003D4EB3"/>
    <w:rsid w:val="003E0ED2"/>
    <w:rsid w:val="003E5628"/>
    <w:rsid w:val="003E7D01"/>
    <w:rsid w:val="003F71A7"/>
    <w:rsid w:val="0040181A"/>
    <w:rsid w:val="00405295"/>
    <w:rsid w:val="00416EE1"/>
    <w:rsid w:val="00425E86"/>
    <w:rsid w:val="00431961"/>
    <w:rsid w:val="004377C5"/>
    <w:rsid w:val="00455ADE"/>
    <w:rsid w:val="004561DE"/>
    <w:rsid w:val="00463D53"/>
    <w:rsid w:val="00466EBD"/>
    <w:rsid w:val="00470275"/>
    <w:rsid w:val="00470CF0"/>
    <w:rsid w:val="004741F4"/>
    <w:rsid w:val="004847FC"/>
    <w:rsid w:val="00484C73"/>
    <w:rsid w:val="00486D50"/>
    <w:rsid w:val="004A516F"/>
    <w:rsid w:val="004A6C70"/>
    <w:rsid w:val="004B0C3A"/>
    <w:rsid w:val="004B438A"/>
    <w:rsid w:val="004C132B"/>
    <w:rsid w:val="004D2249"/>
    <w:rsid w:val="004E54A5"/>
    <w:rsid w:val="00505E95"/>
    <w:rsid w:val="00515040"/>
    <w:rsid w:val="00535FCF"/>
    <w:rsid w:val="005377BC"/>
    <w:rsid w:val="00540409"/>
    <w:rsid w:val="005407A4"/>
    <w:rsid w:val="005450E4"/>
    <w:rsid w:val="00545AAC"/>
    <w:rsid w:val="00556365"/>
    <w:rsid w:val="00565B8D"/>
    <w:rsid w:val="00566E88"/>
    <w:rsid w:val="00570823"/>
    <w:rsid w:val="005709E1"/>
    <w:rsid w:val="00573B38"/>
    <w:rsid w:val="00583105"/>
    <w:rsid w:val="0059302E"/>
    <w:rsid w:val="005A32D3"/>
    <w:rsid w:val="005B7FEF"/>
    <w:rsid w:val="005D67C5"/>
    <w:rsid w:val="005E10D5"/>
    <w:rsid w:val="005E4D2D"/>
    <w:rsid w:val="005E7DED"/>
    <w:rsid w:val="005F0493"/>
    <w:rsid w:val="005F22AB"/>
    <w:rsid w:val="005F2680"/>
    <w:rsid w:val="0060485E"/>
    <w:rsid w:val="0060502C"/>
    <w:rsid w:val="00606B64"/>
    <w:rsid w:val="0061226F"/>
    <w:rsid w:val="00617ADD"/>
    <w:rsid w:val="00617E05"/>
    <w:rsid w:val="00622AB1"/>
    <w:rsid w:val="00623C11"/>
    <w:rsid w:val="00634714"/>
    <w:rsid w:val="00642F95"/>
    <w:rsid w:val="00646C89"/>
    <w:rsid w:val="0065233B"/>
    <w:rsid w:val="00656ACF"/>
    <w:rsid w:val="00656B3F"/>
    <w:rsid w:val="00660413"/>
    <w:rsid w:val="00663CC6"/>
    <w:rsid w:val="00673833"/>
    <w:rsid w:val="00675F76"/>
    <w:rsid w:val="0068280B"/>
    <w:rsid w:val="00683914"/>
    <w:rsid w:val="006849E6"/>
    <w:rsid w:val="00687523"/>
    <w:rsid w:val="006A0C84"/>
    <w:rsid w:val="006A5302"/>
    <w:rsid w:val="006D4009"/>
    <w:rsid w:val="006E3122"/>
    <w:rsid w:val="006F08A6"/>
    <w:rsid w:val="00711A11"/>
    <w:rsid w:val="0071289E"/>
    <w:rsid w:val="00717AE9"/>
    <w:rsid w:val="00742636"/>
    <w:rsid w:val="00744692"/>
    <w:rsid w:val="00746E6D"/>
    <w:rsid w:val="00752DBC"/>
    <w:rsid w:val="0076299F"/>
    <w:rsid w:val="007705A0"/>
    <w:rsid w:val="007758AA"/>
    <w:rsid w:val="007774CD"/>
    <w:rsid w:val="007835FC"/>
    <w:rsid w:val="007A4C1D"/>
    <w:rsid w:val="007A6228"/>
    <w:rsid w:val="007B4AC2"/>
    <w:rsid w:val="007B5BD0"/>
    <w:rsid w:val="007B7942"/>
    <w:rsid w:val="007D6B90"/>
    <w:rsid w:val="007D7354"/>
    <w:rsid w:val="007E158A"/>
    <w:rsid w:val="007F3314"/>
    <w:rsid w:val="007F332F"/>
    <w:rsid w:val="007F3888"/>
    <w:rsid w:val="007F5B64"/>
    <w:rsid w:val="008056CB"/>
    <w:rsid w:val="00805D8E"/>
    <w:rsid w:val="00806AC1"/>
    <w:rsid w:val="008161F1"/>
    <w:rsid w:val="00820473"/>
    <w:rsid w:val="008353E0"/>
    <w:rsid w:val="00853265"/>
    <w:rsid w:val="00863CF1"/>
    <w:rsid w:val="008705D0"/>
    <w:rsid w:val="00872597"/>
    <w:rsid w:val="00875631"/>
    <w:rsid w:val="00882752"/>
    <w:rsid w:val="008857E0"/>
    <w:rsid w:val="008A036E"/>
    <w:rsid w:val="008A5B03"/>
    <w:rsid w:val="008A6548"/>
    <w:rsid w:val="008B2EAD"/>
    <w:rsid w:val="008C4435"/>
    <w:rsid w:val="008C573B"/>
    <w:rsid w:val="008C67BF"/>
    <w:rsid w:val="008E347B"/>
    <w:rsid w:val="008F5BE7"/>
    <w:rsid w:val="00920C65"/>
    <w:rsid w:val="00923144"/>
    <w:rsid w:val="0093097F"/>
    <w:rsid w:val="00931B69"/>
    <w:rsid w:val="00937255"/>
    <w:rsid w:val="00943324"/>
    <w:rsid w:val="00954A2F"/>
    <w:rsid w:val="00960F95"/>
    <w:rsid w:val="009669D8"/>
    <w:rsid w:val="009926F5"/>
    <w:rsid w:val="009B0990"/>
    <w:rsid w:val="009B1DE9"/>
    <w:rsid w:val="009C059A"/>
    <w:rsid w:val="009D5EA8"/>
    <w:rsid w:val="009D6D4B"/>
    <w:rsid w:val="009E0AE3"/>
    <w:rsid w:val="009E365D"/>
    <w:rsid w:val="00A002F7"/>
    <w:rsid w:val="00A01010"/>
    <w:rsid w:val="00A015D0"/>
    <w:rsid w:val="00A1629C"/>
    <w:rsid w:val="00A2101B"/>
    <w:rsid w:val="00A26FC3"/>
    <w:rsid w:val="00A310B1"/>
    <w:rsid w:val="00A51CAB"/>
    <w:rsid w:val="00A53EDA"/>
    <w:rsid w:val="00A56767"/>
    <w:rsid w:val="00A5753E"/>
    <w:rsid w:val="00A631E9"/>
    <w:rsid w:val="00A63AF4"/>
    <w:rsid w:val="00A71967"/>
    <w:rsid w:val="00A73C83"/>
    <w:rsid w:val="00A752D7"/>
    <w:rsid w:val="00A76474"/>
    <w:rsid w:val="00AA1715"/>
    <w:rsid w:val="00AB0804"/>
    <w:rsid w:val="00AB40FB"/>
    <w:rsid w:val="00AB6255"/>
    <w:rsid w:val="00AC4F98"/>
    <w:rsid w:val="00AD16A8"/>
    <w:rsid w:val="00AD41C3"/>
    <w:rsid w:val="00AF7BA4"/>
    <w:rsid w:val="00B04044"/>
    <w:rsid w:val="00B0512B"/>
    <w:rsid w:val="00B07BED"/>
    <w:rsid w:val="00B1462D"/>
    <w:rsid w:val="00B146C8"/>
    <w:rsid w:val="00B156ED"/>
    <w:rsid w:val="00B267C0"/>
    <w:rsid w:val="00B301E0"/>
    <w:rsid w:val="00B36CB0"/>
    <w:rsid w:val="00B41A4D"/>
    <w:rsid w:val="00B4485F"/>
    <w:rsid w:val="00B44A12"/>
    <w:rsid w:val="00B47CF0"/>
    <w:rsid w:val="00B650A5"/>
    <w:rsid w:val="00B76256"/>
    <w:rsid w:val="00B91398"/>
    <w:rsid w:val="00B915FA"/>
    <w:rsid w:val="00B93B7E"/>
    <w:rsid w:val="00B96161"/>
    <w:rsid w:val="00BB071D"/>
    <w:rsid w:val="00BB0915"/>
    <w:rsid w:val="00BB2E30"/>
    <w:rsid w:val="00BC5FE4"/>
    <w:rsid w:val="00BE65FA"/>
    <w:rsid w:val="00BF118F"/>
    <w:rsid w:val="00BF7981"/>
    <w:rsid w:val="00C05B4F"/>
    <w:rsid w:val="00C23AB0"/>
    <w:rsid w:val="00C40969"/>
    <w:rsid w:val="00C40B5B"/>
    <w:rsid w:val="00C41D12"/>
    <w:rsid w:val="00C428ED"/>
    <w:rsid w:val="00C43365"/>
    <w:rsid w:val="00C43D2D"/>
    <w:rsid w:val="00C44829"/>
    <w:rsid w:val="00C51C59"/>
    <w:rsid w:val="00C538BC"/>
    <w:rsid w:val="00C71E85"/>
    <w:rsid w:val="00C75CF0"/>
    <w:rsid w:val="00C777C6"/>
    <w:rsid w:val="00C817B0"/>
    <w:rsid w:val="00C83783"/>
    <w:rsid w:val="00C9165C"/>
    <w:rsid w:val="00C91E31"/>
    <w:rsid w:val="00C92275"/>
    <w:rsid w:val="00C961B2"/>
    <w:rsid w:val="00CA604E"/>
    <w:rsid w:val="00CA6298"/>
    <w:rsid w:val="00CA76F9"/>
    <w:rsid w:val="00CB07AA"/>
    <w:rsid w:val="00CC35CF"/>
    <w:rsid w:val="00CC668E"/>
    <w:rsid w:val="00CD61EE"/>
    <w:rsid w:val="00CE3A39"/>
    <w:rsid w:val="00CF44BD"/>
    <w:rsid w:val="00CF7066"/>
    <w:rsid w:val="00D101B6"/>
    <w:rsid w:val="00D1203C"/>
    <w:rsid w:val="00D2059D"/>
    <w:rsid w:val="00D226D8"/>
    <w:rsid w:val="00D27E5D"/>
    <w:rsid w:val="00D4171F"/>
    <w:rsid w:val="00D53B51"/>
    <w:rsid w:val="00D64C24"/>
    <w:rsid w:val="00D67FDB"/>
    <w:rsid w:val="00D7149E"/>
    <w:rsid w:val="00D769BE"/>
    <w:rsid w:val="00D80A98"/>
    <w:rsid w:val="00D92B28"/>
    <w:rsid w:val="00D946A6"/>
    <w:rsid w:val="00D96F8E"/>
    <w:rsid w:val="00DA042E"/>
    <w:rsid w:val="00DA3BA6"/>
    <w:rsid w:val="00DE0A08"/>
    <w:rsid w:val="00DE5A72"/>
    <w:rsid w:val="00DE7AB8"/>
    <w:rsid w:val="00DF1512"/>
    <w:rsid w:val="00E03EEE"/>
    <w:rsid w:val="00E070E0"/>
    <w:rsid w:val="00E12C40"/>
    <w:rsid w:val="00E40241"/>
    <w:rsid w:val="00E43A08"/>
    <w:rsid w:val="00E52D49"/>
    <w:rsid w:val="00E63F66"/>
    <w:rsid w:val="00E6764F"/>
    <w:rsid w:val="00E70E31"/>
    <w:rsid w:val="00E715F0"/>
    <w:rsid w:val="00E735A6"/>
    <w:rsid w:val="00E95732"/>
    <w:rsid w:val="00E97C74"/>
    <w:rsid w:val="00EB1C55"/>
    <w:rsid w:val="00EC073F"/>
    <w:rsid w:val="00ED755A"/>
    <w:rsid w:val="00EE6820"/>
    <w:rsid w:val="00EF6EBA"/>
    <w:rsid w:val="00F17C92"/>
    <w:rsid w:val="00F36FA2"/>
    <w:rsid w:val="00F61E6F"/>
    <w:rsid w:val="00F723CA"/>
    <w:rsid w:val="00F7617F"/>
    <w:rsid w:val="00F82753"/>
    <w:rsid w:val="00F94D23"/>
    <w:rsid w:val="00FB13A7"/>
    <w:rsid w:val="00FB2943"/>
    <w:rsid w:val="00FB3C7B"/>
    <w:rsid w:val="00FB5B82"/>
    <w:rsid w:val="00FC2BF0"/>
    <w:rsid w:val="00FC4F3A"/>
    <w:rsid w:val="00FD0C0A"/>
    <w:rsid w:val="00FD57A6"/>
    <w:rsid w:val="00FD7598"/>
    <w:rsid w:val="00FF2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0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02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02F7"/>
    <w:rPr>
      <w:rFonts w:ascii="Times New Roman" w:eastAsia="Times New Roman" w:hAnsi="Times New Roman" w:cs="Times New Roman"/>
      <w:b/>
      <w:bCs/>
      <w:sz w:val="27"/>
      <w:szCs w:val="27"/>
    </w:rPr>
  </w:style>
  <w:style w:type="paragraph" w:customStyle="1" w:styleId="home-loan-text">
    <w:name w:val="home-loan-text"/>
    <w:basedOn w:val="Normal"/>
    <w:rsid w:val="00A00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02F7"/>
  </w:style>
  <w:style w:type="paragraph" w:styleId="NormalWeb">
    <w:name w:val="Normal (Web)"/>
    <w:basedOn w:val="Normal"/>
    <w:uiPriority w:val="99"/>
    <w:semiHidden/>
    <w:unhideWhenUsed/>
    <w:rsid w:val="00A002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2F7"/>
    <w:rPr>
      <w:color w:val="0000FF"/>
      <w:u w:val="single"/>
    </w:rPr>
  </w:style>
  <w:style w:type="paragraph" w:styleId="ListParagraph">
    <w:name w:val="List Paragraph"/>
    <w:basedOn w:val="Normal"/>
    <w:uiPriority w:val="34"/>
    <w:qFormat/>
    <w:rsid w:val="008161F1"/>
    <w:pPr>
      <w:ind w:left="720"/>
      <w:contextualSpacing/>
    </w:pPr>
  </w:style>
  <w:style w:type="table" w:styleId="TableGrid">
    <w:name w:val="Table Grid"/>
    <w:basedOn w:val="TableNormal"/>
    <w:uiPriority w:val="59"/>
    <w:rsid w:val="009B0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002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A002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2F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A002F7"/>
    <w:rPr>
      <w:rFonts w:ascii="Times New Roman" w:eastAsia="Times New Roman" w:hAnsi="Times New Roman" w:cs="Times New Roman"/>
      <w:b/>
      <w:bCs/>
      <w:sz w:val="27"/>
      <w:szCs w:val="27"/>
    </w:rPr>
  </w:style>
  <w:style w:type="paragraph" w:customStyle="1" w:styleId="home-loan-text">
    <w:name w:val="home-loan-text"/>
    <w:basedOn w:val="Normal"/>
    <w:rsid w:val="00A002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002F7"/>
  </w:style>
  <w:style w:type="paragraph" w:styleId="NormalWeb">
    <w:name w:val="Normal (Web)"/>
    <w:basedOn w:val="Normal"/>
    <w:uiPriority w:val="99"/>
    <w:semiHidden/>
    <w:unhideWhenUsed/>
    <w:rsid w:val="00A002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002F7"/>
    <w:rPr>
      <w:color w:val="0000FF"/>
      <w:u w:val="single"/>
    </w:rPr>
  </w:style>
  <w:style w:type="paragraph" w:styleId="ListParagraph">
    <w:name w:val="List Paragraph"/>
    <w:basedOn w:val="Normal"/>
    <w:uiPriority w:val="34"/>
    <w:qFormat/>
    <w:rsid w:val="008161F1"/>
    <w:pPr>
      <w:ind w:left="720"/>
      <w:contextualSpacing/>
    </w:pPr>
  </w:style>
  <w:style w:type="table" w:styleId="TableGrid">
    <w:name w:val="Table Grid"/>
    <w:basedOn w:val="TableNormal"/>
    <w:uiPriority w:val="59"/>
    <w:rsid w:val="009B09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21227">
      <w:bodyDiv w:val="1"/>
      <w:marLeft w:val="0"/>
      <w:marRight w:val="0"/>
      <w:marTop w:val="0"/>
      <w:marBottom w:val="0"/>
      <w:divBdr>
        <w:top w:val="none" w:sz="0" w:space="0" w:color="auto"/>
        <w:left w:val="none" w:sz="0" w:space="0" w:color="auto"/>
        <w:bottom w:val="none" w:sz="0" w:space="0" w:color="auto"/>
        <w:right w:val="none" w:sz="0" w:space="0" w:color="auto"/>
      </w:divBdr>
    </w:div>
    <w:div w:id="1051228953">
      <w:bodyDiv w:val="1"/>
      <w:marLeft w:val="0"/>
      <w:marRight w:val="0"/>
      <w:marTop w:val="0"/>
      <w:marBottom w:val="0"/>
      <w:divBdr>
        <w:top w:val="none" w:sz="0" w:space="0" w:color="auto"/>
        <w:left w:val="none" w:sz="0" w:space="0" w:color="auto"/>
        <w:bottom w:val="none" w:sz="0" w:space="0" w:color="auto"/>
        <w:right w:val="none" w:sz="0" w:space="0" w:color="auto"/>
      </w:divBdr>
      <w:divsChild>
        <w:div w:id="1034385381">
          <w:marLeft w:val="0"/>
          <w:marRight w:val="0"/>
          <w:marTop w:val="0"/>
          <w:marBottom w:val="450"/>
          <w:divBdr>
            <w:top w:val="none" w:sz="0" w:space="0" w:color="auto"/>
            <w:left w:val="none" w:sz="0" w:space="0" w:color="auto"/>
            <w:bottom w:val="none" w:sz="0" w:space="0" w:color="auto"/>
            <w:right w:val="none" w:sz="0" w:space="0" w:color="auto"/>
          </w:divBdr>
          <w:divsChild>
            <w:div w:id="1396931213">
              <w:marLeft w:val="0"/>
              <w:marRight w:val="0"/>
              <w:marTop w:val="0"/>
              <w:marBottom w:val="0"/>
              <w:divBdr>
                <w:top w:val="none" w:sz="0" w:space="0" w:color="auto"/>
                <w:left w:val="none" w:sz="0" w:space="0" w:color="auto"/>
                <w:bottom w:val="none" w:sz="0" w:space="0" w:color="auto"/>
                <w:right w:val="none" w:sz="0" w:space="0" w:color="auto"/>
              </w:divBdr>
              <w:divsChild>
                <w:div w:id="822817528">
                  <w:marLeft w:val="0"/>
                  <w:marRight w:val="0"/>
                  <w:marTop w:val="0"/>
                  <w:marBottom w:val="0"/>
                  <w:divBdr>
                    <w:top w:val="none" w:sz="0" w:space="0" w:color="auto"/>
                    <w:left w:val="none" w:sz="0" w:space="0" w:color="auto"/>
                    <w:bottom w:val="none" w:sz="0" w:space="0" w:color="auto"/>
                    <w:right w:val="none" w:sz="0" w:space="0" w:color="auto"/>
                  </w:divBdr>
                </w:div>
                <w:div w:id="1611399976">
                  <w:marLeft w:val="0"/>
                  <w:marRight w:val="0"/>
                  <w:marTop w:val="0"/>
                  <w:marBottom w:val="0"/>
                  <w:divBdr>
                    <w:top w:val="none" w:sz="0" w:space="0" w:color="auto"/>
                    <w:left w:val="none" w:sz="0" w:space="0" w:color="auto"/>
                    <w:bottom w:val="none" w:sz="0" w:space="0" w:color="auto"/>
                    <w:right w:val="none" w:sz="0" w:space="0" w:color="auto"/>
                  </w:divBdr>
                </w:div>
                <w:div w:id="903956510">
                  <w:marLeft w:val="0"/>
                  <w:marRight w:val="0"/>
                  <w:marTop w:val="0"/>
                  <w:marBottom w:val="0"/>
                  <w:divBdr>
                    <w:top w:val="none" w:sz="0" w:space="0" w:color="auto"/>
                    <w:left w:val="none" w:sz="0" w:space="0" w:color="auto"/>
                    <w:bottom w:val="none" w:sz="0" w:space="0" w:color="auto"/>
                    <w:right w:val="none" w:sz="0" w:space="0" w:color="auto"/>
                  </w:divBdr>
                </w:div>
                <w:div w:id="1259411179">
                  <w:marLeft w:val="0"/>
                  <w:marRight w:val="0"/>
                  <w:marTop w:val="0"/>
                  <w:marBottom w:val="0"/>
                  <w:divBdr>
                    <w:top w:val="none" w:sz="0" w:space="0" w:color="auto"/>
                    <w:left w:val="none" w:sz="0" w:space="0" w:color="auto"/>
                    <w:bottom w:val="none" w:sz="0" w:space="0" w:color="auto"/>
                    <w:right w:val="none" w:sz="0" w:space="0" w:color="auto"/>
                  </w:divBdr>
                </w:div>
              </w:divsChild>
            </w:div>
            <w:div w:id="283197539">
              <w:marLeft w:val="0"/>
              <w:marRight w:val="0"/>
              <w:marTop w:val="0"/>
              <w:marBottom w:val="0"/>
              <w:divBdr>
                <w:top w:val="none" w:sz="0" w:space="0" w:color="auto"/>
                <w:left w:val="none" w:sz="0" w:space="0" w:color="auto"/>
                <w:bottom w:val="none" w:sz="0" w:space="0" w:color="auto"/>
                <w:right w:val="none" w:sz="0" w:space="0" w:color="auto"/>
              </w:divBdr>
              <w:divsChild>
                <w:div w:id="12182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5</Pages>
  <Words>765</Words>
  <Characters>4364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2015-12-26T06:32:00Z</dcterms:created>
  <dcterms:modified xsi:type="dcterms:W3CDTF">2015-12-26T08:11:00Z</dcterms:modified>
</cp:coreProperties>
</file>