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DC13" w14:textId="45602A3F" w:rsidR="00F83EA9" w:rsidRPr="00F83EA9" w:rsidRDefault="00F83EA9" w:rsidP="00F83EA9">
      <w:pPr>
        <w:pBdr>
          <w:top w:val="single" w:sz="4" w:space="1" w:color="FF0000"/>
          <w:left w:val="single" w:sz="4" w:space="4" w:color="FF0000"/>
          <w:bottom w:val="single" w:sz="4" w:space="1" w:color="FF0000"/>
          <w:right w:val="single" w:sz="4" w:space="4" w:color="FF0000"/>
        </w:pBdr>
        <w:jc w:val="center"/>
        <w:rPr>
          <w:b/>
          <w:bCs/>
          <w:color w:val="FF0000"/>
          <w:sz w:val="28"/>
          <w:szCs w:val="28"/>
          <w:lang w:val="fr-FR"/>
        </w:rPr>
      </w:pPr>
      <w:r w:rsidRPr="00F83EA9">
        <w:rPr>
          <w:b/>
          <w:bCs/>
          <w:color w:val="FF0000"/>
          <w:sz w:val="28"/>
          <w:szCs w:val="28"/>
          <w:lang w:val="fr-FR"/>
        </w:rPr>
        <w:t>Notes Projet API Bloomberg</w:t>
      </w:r>
    </w:p>
    <w:p w14:paraId="3EA1FB3E" w14:textId="77777777" w:rsidR="00F83EA9" w:rsidRDefault="00F83EA9">
      <w:pPr>
        <w:rPr>
          <w:lang w:val="fr-FR"/>
        </w:rPr>
      </w:pPr>
    </w:p>
    <w:p w14:paraId="1919450F" w14:textId="365CA702" w:rsidR="00D21C91" w:rsidRPr="00F83EA9" w:rsidRDefault="00F83EA9" w:rsidP="00F83EA9">
      <w:pPr>
        <w:pBdr>
          <w:bottom w:val="single" w:sz="4" w:space="1" w:color="000000" w:themeColor="text1"/>
        </w:pBdr>
        <w:jc w:val="center"/>
        <w:rPr>
          <w:b/>
          <w:bCs/>
          <w:lang w:val="fr-FR"/>
        </w:rPr>
      </w:pPr>
      <w:r w:rsidRPr="00F83EA9">
        <w:rPr>
          <w:b/>
          <w:bCs/>
          <w:lang w:val="fr-FR"/>
        </w:rPr>
        <w:t>Echantillon</w:t>
      </w:r>
      <w:r>
        <w:rPr>
          <w:b/>
          <w:bCs/>
          <w:lang w:val="fr-FR"/>
        </w:rPr>
        <w:t xml:space="preserve"> étudié</w:t>
      </w:r>
    </w:p>
    <w:p w14:paraId="02B9034B" w14:textId="17C4A45F" w:rsidR="00F83EA9" w:rsidRDefault="00F83EA9" w:rsidP="00F83EA9">
      <w:pPr>
        <w:jc w:val="both"/>
        <w:rPr>
          <w:lang w:val="fr-FR"/>
        </w:rPr>
      </w:pPr>
      <w:r w:rsidRPr="00F83EA9">
        <w:rPr>
          <w:b/>
          <w:bCs/>
          <w:lang w:val="fr-FR"/>
        </w:rPr>
        <w:t>Base de données</w:t>
      </w:r>
      <w:r>
        <w:rPr>
          <w:lang w:val="fr-FR"/>
        </w:rPr>
        <w:t xml:space="preserve"> -&gt; toute les entreprises cotées à la NYSE et à l’AMEX</w:t>
      </w:r>
    </w:p>
    <w:p w14:paraId="2860F664" w14:textId="05E20698" w:rsidR="00F83EA9" w:rsidRDefault="00F83EA9" w:rsidP="00F83EA9">
      <w:pPr>
        <w:jc w:val="both"/>
        <w:rPr>
          <w:lang w:val="fr-FR"/>
        </w:rPr>
      </w:pPr>
      <w:r w:rsidRPr="00F83EA9">
        <w:rPr>
          <w:b/>
          <w:bCs/>
          <w:lang w:val="fr-FR"/>
        </w:rPr>
        <w:t>Périodes</w:t>
      </w:r>
      <w:r>
        <w:rPr>
          <w:lang w:val="fr-FR"/>
        </w:rPr>
        <w:t> -&gt; de janvier 1965 à décembre 1995</w:t>
      </w:r>
    </w:p>
    <w:p w14:paraId="1249B155" w14:textId="7D9FC867" w:rsidR="00F83EA9" w:rsidRPr="00F83EA9" w:rsidRDefault="00F83EA9" w:rsidP="00F83EA9">
      <w:pPr>
        <w:jc w:val="both"/>
        <w:rPr>
          <w:b/>
          <w:bCs/>
          <w:lang w:val="fr-FR"/>
        </w:rPr>
      </w:pPr>
      <w:r w:rsidRPr="00F83EA9">
        <w:rPr>
          <w:b/>
          <w:bCs/>
          <w:lang w:val="fr-FR"/>
        </w:rPr>
        <w:t xml:space="preserve">Conditions à respecter : </w:t>
      </w:r>
    </w:p>
    <w:p w14:paraId="67533186" w14:textId="76EC28DF" w:rsidR="00F83EA9" w:rsidRDefault="00F83EA9" w:rsidP="00F83EA9">
      <w:pPr>
        <w:pStyle w:val="Paragraphedeliste"/>
        <w:numPr>
          <w:ilvl w:val="0"/>
          <w:numId w:val="1"/>
        </w:numPr>
        <w:jc w:val="both"/>
        <w:rPr>
          <w:lang w:val="fr-FR"/>
        </w:rPr>
      </w:pPr>
      <w:r>
        <w:rPr>
          <w:lang w:val="fr-FR"/>
        </w:rPr>
        <w:t>Au moins deux années de données avant la date de formation du portefeuille</w:t>
      </w:r>
    </w:p>
    <w:p w14:paraId="11AA8C28" w14:textId="5B913210" w:rsidR="00F83EA9" w:rsidRPr="00F83EA9" w:rsidRDefault="00F83EA9" w:rsidP="00F83EA9">
      <w:pPr>
        <w:pStyle w:val="Paragraphedeliste"/>
        <w:numPr>
          <w:ilvl w:val="0"/>
          <w:numId w:val="1"/>
        </w:numPr>
        <w:jc w:val="both"/>
        <w:rPr>
          <w:lang w:val="fr-FR"/>
        </w:rPr>
      </w:pPr>
      <w:r>
        <w:rPr>
          <w:lang w:val="fr-FR"/>
        </w:rPr>
        <w:t>Informations disponibles sur les rendements passés, le volume de transactions, la capitalisation boursière et le prix de l’action</w:t>
      </w:r>
    </w:p>
    <w:p w14:paraId="33D491C6" w14:textId="369D8701" w:rsidR="00F83EA9" w:rsidRPr="00F83EA9" w:rsidRDefault="00F83EA9" w:rsidP="00F83EA9">
      <w:pPr>
        <w:jc w:val="both"/>
        <w:rPr>
          <w:b/>
          <w:bCs/>
          <w:lang w:val="fr-FR"/>
        </w:rPr>
      </w:pPr>
      <w:r w:rsidRPr="00F83EA9">
        <w:rPr>
          <w:b/>
          <w:bCs/>
          <w:lang w:val="fr-FR"/>
        </w:rPr>
        <w:t xml:space="preserve">Entreprises à enlever : </w:t>
      </w:r>
    </w:p>
    <w:p w14:paraId="5DA1FEAF" w14:textId="2FB606E2" w:rsidR="00B14731" w:rsidRPr="00B14731" w:rsidRDefault="00B14731" w:rsidP="00B14731">
      <w:pPr>
        <w:spacing w:after="0"/>
        <w:jc w:val="both"/>
        <w:rPr>
          <w:lang w:val="fr-FR"/>
        </w:rPr>
      </w:pPr>
      <w:r>
        <w:rPr>
          <w:lang w:val="fr-FR"/>
        </w:rPr>
        <w:t xml:space="preserve">Retraitement initial : </w:t>
      </w:r>
    </w:p>
    <w:p w14:paraId="4407FCFC" w14:textId="18B7C8E0" w:rsidR="00F83EA9" w:rsidRDefault="00F83EA9" w:rsidP="00F83EA9">
      <w:pPr>
        <w:pStyle w:val="Paragraphedeliste"/>
        <w:numPr>
          <w:ilvl w:val="0"/>
          <w:numId w:val="1"/>
        </w:numPr>
        <w:jc w:val="both"/>
        <w:rPr>
          <w:lang w:val="fr-FR"/>
        </w:rPr>
      </w:pPr>
      <w:r>
        <w:rPr>
          <w:lang w:val="fr-FR"/>
        </w:rPr>
        <w:t xml:space="preserve">Toute les entreprises du Nasdaq </w:t>
      </w:r>
    </w:p>
    <w:p w14:paraId="171DC792" w14:textId="4E006584" w:rsidR="00F83EA9" w:rsidRDefault="00F83EA9" w:rsidP="00F83EA9">
      <w:pPr>
        <w:pStyle w:val="Paragraphedeliste"/>
        <w:numPr>
          <w:ilvl w:val="0"/>
          <w:numId w:val="1"/>
        </w:numPr>
        <w:jc w:val="both"/>
        <w:rPr>
          <w:lang w:val="fr-FR"/>
        </w:rPr>
      </w:pPr>
      <w:r>
        <w:rPr>
          <w:lang w:val="fr-FR"/>
        </w:rPr>
        <w:t xml:space="preserve">Toute les entreprises qui étaient une prime  </w:t>
      </w:r>
    </w:p>
    <w:p w14:paraId="76A83B10" w14:textId="4D297A10" w:rsidR="00F83EA9" w:rsidRDefault="00F83EA9" w:rsidP="00F83EA9">
      <w:pPr>
        <w:pStyle w:val="Paragraphedeliste"/>
        <w:numPr>
          <w:ilvl w:val="0"/>
          <w:numId w:val="1"/>
        </w:numPr>
        <w:jc w:val="both"/>
        <w:rPr>
          <w:lang w:val="fr-FR"/>
        </w:rPr>
      </w:pPr>
      <w:r>
        <w:rPr>
          <w:lang w:val="fr-FR"/>
        </w:rPr>
        <w:t>Toute les entreprises qui étaient un fonds fermé</w:t>
      </w:r>
    </w:p>
    <w:p w14:paraId="6D7E8768" w14:textId="2C80C2EB" w:rsidR="00F83EA9" w:rsidRDefault="00F83EA9" w:rsidP="00F83EA9">
      <w:pPr>
        <w:pStyle w:val="Paragraphedeliste"/>
        <w:numPr>
          <w:ilvl w:val="0"/>
          <w:numId w:val="1"/>
        </w:numPr>
        <w:jc w:val="both"/>
        <w:rPr>
          <w:lang w:val="fr-FR"/>
        </w:rPr>
      </w:pPr>
      <w:r>
        <w:rPr>
          <w:lang w:val="fr-FR"/>
        </w:rPr>
        <w:t xml:space="preserve">Toute les entreprises qui étaient une fiducie de placement immobilier (REIT) </w:t>
      </w:r>
    </w:p>
    <w:p w14:paraId="228C293E" w14:textId="0BBA7B77" w:rsidR="00F83EA9" w:rsidRDefault="00F83EA9" w:rsidP="00F83EA9">
      <w:pPr>
        <w:pStyle w:val="Paragraphedeliste"/>
        <w:numPr>
          <w:ilvl w:val="0"/>
          <w:numId w:val="1"/>
        </w:numPr>
        <w:jc w:val="both"/>
        <w:rPr>
          <w:lang w:val="fr-FR"/>
        </w:rPr>
      </w:pPr>
      <w:r>
        <w:rPr>
          <w:lang w:val="fr-FR"/>
        </w:rPr>
        <w:t xml:space="preserve">Toute les entreprises qui étaient un reçu de dépôt américain (ADR) </w:t>
      </w:r>
    </w:p>
    <w:p w14:paraId="2206D0A9" w14:textId="5EBFEE20" w:rsidR="00F83EA9" w:rsidRDefault="00F83EA9" w:rsidP="00F83EA9">
      <w:pPr>
        <w:pStyle w:val="Paragraphedeliste"/>
        <w:numPr>
          <w:ilvl w:val="0"/>
          <w:numId w:val="1"/>
        </w:numPr>
        <w:jc w:val="both"/>
        <w:rPr>
          <w:lang w:val="fr-FR"/>
        </w:rPr>
      </w:pPr>
      <w:r>
        <w:rPr>
          <w:lang w:val="fr-FR"/>
        </w:rPr>
        <w:t xml:space="preserve">Toute les entreprises qui étaient étrangères </w:t>
      </w:r>
    </w:p>
    <w:p w14:paraId="5A5C8BDE" w14:textId="2CD23E96" w:rsidR="00B14731" w:rsidRPr="00B14731" w:rsidRDefault="00B14731" w:rsidP="00B14731">
      <w:pPr>
        <w:spacing w:after="0"/>
        <w:jc w:val="both"/>
        <w:rPr>
          <w:lang w:val="fr-FR"/>
        </w:rPr>
      </w:pPr>
      <w:r>
        <w:rPr>
          <w:lang w:val="fr-FR"/>
        </w:rPr>
        <w:t xml:space="preserve">Retraitement à faire à chaque étape : </w:t>
      </w:r>
    </w:p>
    <w:p w14:paraId="39AF676B" w14:textId="3F0BDC61" w:rsidR="00F83EA9" w:rsidRDefault="00F83EA9" w:rsidP="00F83EA9">
      <w:pPr>
        <w:pStyle w:val="Paragraphedeliste"/>
        <w:numPr>
          <w:ilvl w:val="0"/>
          <w:numId w:val="1"/>
        </w:numPr>
        <w:jc w:val="both"/>
        <w:rPr>
          <w:lang w:val="fr-FR"/>
        </w:rPr>
      </w:pPr>
      <w:r>
        <w:rPr>
          <w:lang w:val="fr-FR"/>
        </w:rPr>
        <w:t>Toute les entreprises qui  ont été radiées dans les cinq jours suivant la date de formation du portefeuille</w:t>
      </w:r>
    </w:p>
    <w:p w14:paraId="162D4912" w14:textId="710B3A48" w:rsidR="00F83EA9" w:rsidRPr="00F83EA9" w:rsidRDefault="00F83EA9" w:rsidP="00F83EA9">
      <w:pPr>
        <w:pStyle w:val="Paragraphedeliste"/>
        <w:numPr>
          <w:ilvl w:val="0"/>
          <w:numId w:val="1"/>
        </w:numPr>
        <w:jc w:val="both"/>
        <w:rPr>
          <w:lang w:val="fr-FR"/>
        </w:rPr>
      </w:pPr>
      <w:r>
        <w:rPr>
          <w:lang w:val="fr-FR"/>
        </w:rPr>
        <w:t>Toute les entreprises dont le prix de l’action à la date de formation du portefeuille était inférieur à 1$</w:t>
      </w:r>
    </w:p>
    <w:p w14:paraId="20F16EA3" w14:textId="77777777" w:rsidR="00F83EA9" w:rsidRDefault="00F83EA9" w:rsidP="00F83EA9">
      <w:pPr>
        <w:jc w:val="both"/>
        <w:rPr>
          <w:lang w:val="fr-FR"/>
        </w:rPr>
      </w:pPr>
    </w:p>
    <w:p w14:paraId="7323FFC8" w14:textId="3C26E355" w:rsidR="00F83EA9" w:rsidRPr="00F83EA9" w:rsidRDefault="00F83EA9" w:rsidP="00F83EA9">
      <w:pPr>
        <w:pBdr>
          <w:bottom w:val="single" w:sz="4" w:space="1" w:color="000000" w:themeColor="text1"/>
        </w:pBdr>
        <w:jc w:val="center"/>
        <w:rPr>
          <w:b/>
          <w:bCs/>
          <w:lang w:val="fr-FR"/>
        </w:rPr>
      </w:pPr>
      <w:r w:rsidRPr="00F83EA9">
        <w:rPr>
          <w:b/>
          <w:bCs/>
          <w:lang w:val="fr-FR"/>
        </w:rPr>
        <w:t>Méthode de construction des portefeuilles</w:t>
      </w:r>
    </w:p>
    <w:p w14:paraId="0B2AD0CA" w14:textId="073D3D18" w:rsidR="00F83EA9" w:rsidRDefault="00F83EA9" w:rsidP="00F83EA9">
      <w:pPr>
        <w:jc w:val="both"/>
        <w:rPr>
          <w:lang w:val="fr-FR"/>
        </w:rPr>
      </w:pPr>
      <w:r>
        <w:rPr>
          <w:lang w:val="fr-FR"/>
        </w:rPr>
        <w:t>Au début de chaque mois, les actions</w:t>
      </w:r>
      <w:r w:rsidR="00BF1C28">
        <w:rPr>
          <w:lang w:val="fr-FR"/>
        </w:rPr>
        <w:t xml:space="preserve"> éligibles</w:t>
      </w:r>
      <w:r>
        <w:rPr>
          <w:lang w:val="fr-FR"/>
        </w:rPr>
        <w:t xml:space="preserve"> sont classées </w:t>
      </w:r>
      <w:r w:rsidR="00BF1C28">
        <w:rPr>
          <w:lang w:val="fr-FR"/>
        </w:rPr>
        <w:t xml:space="preserve">de manière indépendante sur la base des rendements passés et du volume de transactions passées. </w:t>
      </w:r>
    </w:p>
    <w:p w14:paraId="4628F106" w14:textId="47B49913" w:rsidR="00BF1C28" w:rsidRDefault="00BF1C28" w:rsidP="00BF1C28">
      <w:pPr>
        <w:spacing w:after="0"/>
        <w:jc w:val="both"/>
        <w:rPr>
          <w:lang w:val="fr-FR"/>
        </w:rPr>
      </w:pPr>
      <w:r>
        <w:rPr>
          <w:lang w:val="fr-FR"/>
        </w:rPr>
        <w:t xml:space="preserve">Les actions sont attribuées à l’un des </w:t>
      </w:r>
      <w:r w:rsidRPr="00BF1C28">
        <w:rPr>
          <w:b/>
          <w:bCs/>
          <w:lang w:val="fr-FR"/>
        </w:rPr>
        <w:t>10 portefeuilles en fonction des rendements</w:t>
      </w:r>
      <w:r>
        <w:rPr>
          <w:lang w:val="fr-FR"/>
        </w:rPr>
        <w:t xml:space="preserve"> sur les J mois précédents. </w:t>
      </w:r>
    </w:p>
    <w:p w14:paraId="0F689A69" w14:textId="20046412" w:rsidR="00BF1C28" w:rsidRDefault="00BF1C28" w:rsidP="00F83EA9">
      <w:pPr>
        <w:jc w:val="both"/>
        <w:rPr>
          <w:lang w:val="fr-FR"/>
        </w:rPr>
      </w:pPr>
      <w:r>
        <w:rPr>
          <w:lang w:val="fr-FR"/>
        </w:rPr>
        <w:t xml:space="preserve">Les actions sont attribuées à l’un des </w:t>
      </w:r>
      <w:r w:rsidRPr="00BF1C28">
        <w:rPr>
          <w:b/>
          <w:bCs/>
          <w:lang w:val="fr-FR"/>
        </w:rPr>
        <w:t>3 portefeuilles en fonction du volume de transaction</w:t>
      </w:r>
      <w:r>
        <w:rPr>
          <w:lang w:val="fr-FR"/>
        </w:rPr>
        <w:t xml:space="preserve"> sur les J mois précédents. </w:t>
      </w:r>
    </w:p>
    <w:p w14:paraId="37380FCE" w14:textId="30079197" w:rsidR="00BF1C28" w:rsidRDefault="00BF1C28" w:rsidP="00F83EA9">
      <w:pPr>
        <w:jc w:val="both"/>
        <w:rPr>
          <w:lang w:val="fr-FR"/>
        </w:rPr>
      </w:pPr>
      <w:r>
        <w:rPr>
          <w:lang w:val="fr-FR"/>
        </w:rPr>
        <w:t xml:space="preserve">Les intersections résultant des deux classements indépendants permette de faire sortir </w:t>
      </w:r>
      <w:r w:rsidRPr="00BF1C28">
        <w:rPr>
          <w:b/>
          <w:bCs/>
          <w:lang w:val="fr-FR"/>
        </w:rPr>
        <w:t>30 portefeuilles</w:t>
      </w:r>
      <w:r w:rsidR="00ED54E2">
        <w:rPr>
          <w:b/>
          <w:bCs/>
          <w:lang w:val="fr-FR"/>
        </w:rPr>
        <w:t xml:space="preserve"> </w:t>
      </w:r>
      <w:r w:rsidRPr="00BF1C28">
        <w:rPr>
          <w:b/>
          <w:bCs/>
          <w:lang w:val="fr-FR"/>
        </w:rPr>
        <w:t>momentum</w:t>
      </w:r>
      <w:r>
        <w:rPr>
          <w:lang w:val="fr-FR"/>
        </w:rPr>
        <w:t xml:space="preserve">. </w:t>
      </w:r>
    </w:p>
    <w:p w14:paraId="0EDF6FE1" w14:textId="3CC6DBB1" w:rsidR="00BF1C28" w:rsidRDefault="00BF1C28" w:rsidP="00F83EA9">
      <w:pPr>
        <w:jc w:val="both"/>
        <w:rPr>
          <w:lang w:val="fr-FR"/>
        </w:rPr>
      </w:pPr>
      <w:r>
        <w:rPr>
          <w:lang w:val="fr-FR"/>
        </w:rPr>
        <w:t>On ne se concentre que sur les rendements mensuels des déciles de gagnants et de perdants extrême au cours des K prochains mois (</w:t>
      </w:r>
      <m:oMath>
        <m:r>
          <w:rPr>
            <w:rFonts w:ascii="Cambria Math" w:hAnsi="Cambria Math"/>
            <w:lang w:val="fr-FR"/>
          </w:rPr>
          <m:t>K∈</m:t>
        </m:r>
        <m:d>
          <m:dPr>
            <m:begChr m:val="["/>
            <m:endChr m:val="]"/>
            <m:ctrlPr>
              <w:rPr>
                <w:rFonts w:ascii="Cambria Math" w:hAnsi="Cambria Math"/>
                <w:i/>
                <w:lang w:val="fr-FR"/>
              </w:rPr>
            </m:ctrlPr>
          </m:dPr>
          <m:e>
            <m:r>
              <w:rPr>
                <w:rFonts w:ascii="Cambria Math" w:hAnsi="Cambria Math"/>
                <w:lang w:val="fr-FR"/>
              </w:rPr>
              <m:t>3, 6, 9, 12</m:t>
            </m:r>
          </m:e>
        </m:d>
      </m:oMath>
      <w:r>
        <w:rPr>
          <w:lang w:val="fr-FR"/>
        </w:rPr>
        <w:t xml:space="preserve">) et au cours des 5 prochaines années. </w:t>
      </w:r>
    </w:p>
    <w:p w14:paraId="6938B63C" w14:textId="77777777" w:rsidR="00BF1C28" w:rsidRDefault="00BF1C28" w:rsidP="00F83EA9">
      <w:pPr>
        <w:jc w:val="both"/>
        <w:rPr>
          <w:lang w:val="fr-FR"/>
        </w:rPr>
      </w:pPr>
    </w:p>
    <w:p w14:paraId="61D41934" w14:textId="3D8479F3" w:rsidR="00BF1C28" w:rsidRPr="00BF1C28" w:rsidRDefault="00BF1C28" w:rsidP="00BF1C28">
      <w:pPr>
        <w:pBdr>
          <w:bottom w:val="single" w:sz="4" w:space="1" w:color="000000" w:themeColor="text1"/>
        </w:pBdr>
        <w:jc w:val="center"/>
        <w:rPr>
          <w:b/>
          <w:bCs/>
          <w:lang w:val="fr-FR"/>
        </w:rPr>
      </w:pPr>
      <w:r w:rsidRPr="00BF1C28">
        <w:rPr>
          <w:b/>
          <w:bCs/>
          <w:lang w:val="fr-FR"/>
        </w:rPr>
        <w:t>Méthode de calcul</w:t>
      </w:r>
    </w:p>
    <w:p w14:paraId="10309EC5" w14:textId="1E4731DA" w:rsidR="00BF1C28" w:rsidRDefault="00BF1C28" w:rsidP="00F83EA9">
      <w:pPr>
        <w:jc w:val="both"/>
        <w:rPr>
          <w:lang w:val="fr-FR"/>
        </w:rPr>
      </w:pPr>
      <w:r w:rsidRPr="00544C1F">
        <w:rPr>
          <w:lang w:val="fr-FR"/>
        </w:rPr>
        <w:t xml:space="preserve">Le </w:t>
      </w:r>
      <w:r w:rsidRPr="00BF1C28">
        <w:rPr>
          <w:b/>
          <w:bCs/>
          <w:lang w:val="fr-FR"/>
        </w:rPr>
        <w:t>volume de transactions</w:t>
      </w:r>
      <w:r w:rsidRPr="00544C1F">
        <w:rPr>
          <w:lang w:val="fr-FR"/>
        </w:rPr>
        <w:t xml:space="preserve"> </w:t>
      </w:r>
      <w:r>
        <w:rPr>
          <w:lang w:val="fr-FR"/>
        </w:rPr>
        <w:t>(</w:t>
      </w:r>
      <w:r w:rsidRPr="00544C1F">
        <w:rPr>
          <w:lang w:val="fr-FR"/>
        </w:rPr>
        <w:t>Volume</w:t>
      </w:r>
      <w:r>
        <w:rPr>
          <w:lang w:val="fr-FR"/>
        </w:rPr>
        <w:t>)</w:t>
      </w:r>
      <w:r w:rsidRPr="00544C1F">
        <w:rPr>
          <w:lang w:val="fr-FR"/>
        </w:rPr>
        <w:t xml:space="preserve"> est défini comme la rotation quotidienne moyenne en pourcentage au cours de la période de formation du portefeuille, où la rotation quotidienne est le ratio du nombre d'actions échangées chaque jour au nombre d'actions en circulation à la fin de la journée.</w:t>
      </w:r>
    </w:p>
    <w:p w14:paraId="19134C0C" w14:textId="3D5386F6" w:rsidR="00BF1C28" w:rsidRDefault="00BF1C28" w:rsidP="00F83EA9">
      <w:pPr>
        <w:jc w:val="both"/>
        <w:rPr>
          <w:lang w:val="fr-FR"/>
        </w:rPr>
      </w:pPr>
      <w:r w:rsidRPr="00544C1F">
        <w:rPr>
          <w:lang w:val="fr-FR"/>
        </w:rPr>
        <w:t xml:space="preserve">Les </w:t>
      </w:r>
      <w:r w:rsidRPr="00BF1C28">
        <w:rPr>
          <w:b/>
          <w:bCs/>
          <w:lang w:val="fr-FR"/>
        </w:rPr>
        <w:t>statistiques descriptives</w:t>
      </w:r>
      <w:r w:rsidRPr="00544C1F">
        <w:rPr>
          <w:lang w:val="fr-FR"/>
        </w:rPr>
        <w:t xml:space="preserve"> qui nécessitent des données comptables </w:t>
      </w:r>
      <w:r>
        <w:rPr>
          <w:lang w:val="fr-FR"/>
        </w:rPr>
        <w:t>(</w:t>
      </w:r>
      <w:r w:rsidRPr="00544C1F">
        <w:rPr>
          <w:lang w:val="fr-FR"/>
        </w:rPr>
        <w:t>par exemple, le ratio B/M et le rendement des fonds propres</w:t>
      </w:r>
      <w:r>
        <w:rPr>
          <w:lang w:val="fr-FR"/>
        </w:rPr>
        <w:t>)</w:t>
      </w:r>
      <w:r w:rsidRPr="00544C1F">
        <w:rPr>
          <w:lang w:val="fr-FR"/>
        </w:rPr>
        <w:t xml:space="preserve"> sont basées sur le sous-ensemble des entreprises de chaque portefeuille qui figurent également dans la base de données COMPUSTAT. Les </w:t>
      </w:r>
      <w:r w:rsidRPr="00BF1C28">
        <w:rPr>
          <w:b/>
          <w:bCs/>
          <w:lang w:val="fr-FR"/>
        </w:rPr>
        <w:t>tests impliquant des prévisions de bénéfices à long terme ou le nombre d'analystes</w:t>
      </w:r>
      <w:r w:rsidRPr="00544C1F">
        <w:rPr>
          <w:lang w:val="fr-FR"/>
        </w:rPr>
        <w:t xml:space="preserve"> sont basés sur des entreprises qui figurent dans la base de données </w:t>
      </w:r>
      <w:r>
        <w:rPr>
          <w:lang w:val="fr-FR"/>
        </w:rPr>
        <w:t>IBES</w:t>
      </w:r>
      <w:r w:rsidRPr="00544C1F">
        <w:rPr>
          <w:lang w:val="fr-FR"/>
        </w:rPr>
        <w:t>.</w:t>
      </w:r>
    </w:p>
    <w:p w14:paraId="0D025BD3" w14:textId="3A68ECAB" w:rsidR="00BF1C28" w:rsidRDefault="00BF1C28" w:rsidP="00F83EA9">
      <w:pPr>
        <w:jc w:val="both"/>
        <w:rPr>
          <w:lang w:val="fr-FR"/>
        </w:rPr>
      </w:pPr>
      <w:r>
        <w:rPr>
          <w:lang w:val="fr-FR"/>
        </w:rPr>
        <w:t>Comme Jegadeesh et Titman (1993), le rendement mensuel pour une période de K</w:t>
      </w:r>
      <w:r w:rsidR="00FB7E2E">
        <w:rPr>
          <w:lang w:val="fr-FR"/>
        </w:rPr>
        <w:t>-1</w:t>
      </w:r>
      <w:r>
        <w:rPr>
          <w:lang w:val="fr-FR"/>
        </w:rPr>
        <w:t xml:space="preserve"> mois est basé sur une </w:t>
      </w:r>
      <w:r w:rsidRPr="00BF1C28">
        <w:rPr>
          <w:b/>
          <w:bCs/>
          <w:lang w:val="fr-FR"/>
        </w:rPr>
        <w:t xml:space="preserve">moyenne </w:t>
      </w:r>
      <w:r w:rsidR="008F48D6">
        <w:rPr>
          <w:b/>
          <w:bCs/>
          <w:lang w:val="fr-FR"/>
        </w:rPr>
        <w:t>équi</w:t>
      </w:r>
      <w:r w:rsidRPr="00BF1C28">
        <w:rPr>
          <w:b/>
          <w:bCs/>
          <w:lang w:val="fr-FR"/>
        </w:rPr>
        <w:t>pondérée des rendements</w:t>
      </w:r>
      <w:r>
        <w:rPr>
          <w:lang w:val="fr-FR"/>
        </w:rPr>
        <w:t xml:space="preserve"> des portefeuille des stratégies mises en œuvre </w:t>
      </w:r>
      <w:r w:rsidRPr="00BF1C28">
        <w:rPr>
          <w:b/>
          <w:bCs/>
          <w:lang w:val="fr-FR"/>
        </w:rPr>
        <w:t>au cours du mois en cours et des K mois précédents</w:t>
      </w:r>
      <w:r>
        <w:rPr>
          <w:lang w:val="fr-FR"/>
        </w:rPr>
        <w:t xml:space="preserve">. </w:t>
      </w:r>
      <w:r w:rsidRPr="00544C1F">
        <w:rPr>
          <w:lang w:val="fr-FR"/>
        </w:rPr>
        <w:t xml:space="preserve">Cela revient à réviser les poids d'environ </w:t>
      </w:r>
      <w:r>
        <w:rPr>
          <w:lang w:val="fr-FR"/>
        </w:rPr>
        <w:t>(</w:t>
      </w:r>
      <w:r w:rsidRPr="00544C1F">
        <w:rPr>
          <w:lang w:val="fr-FR"/>
        </w:rPr>
        <w:t>approximativement</w:t>
      </w:r>
      <w:r>
        <w:rPr>
          <w:lang w:val="fr-FR"/>
        </w:rPr>
        <w:t>)</w:t>
      </w:r>
      <w:r w:rsidRPr="00544C1F">
        <w:rPr>
          <w:lang w:val="fr-FR"/>
        </w:rPr>
        <w:t xml:space="preserve"> un tiers du portefeuille chaque mois </w:t>
      </w:r>
      <w:r w:rsidRPr="00544C1F">
        <w:rPr>
          <w:lang w:val="fr-FR"/>
        </w:rPr>
        <w:lastRenderedPageBreak/>
        <w:t>et à conserver le reste du mois précédent.</w:t>
      </w:r>
      <w:r w:rsidR="00ED54E2">
        <w:rPr>
          <w:lang w:val="fr-FR"/>
        </w:rPr>
        <w:t xml:space="preserve"> </w:t>
      </w:r>
      <w:r w:rsidRPr="00544C1F">
        <w:rPr>
          <w:lang w:val="fr-FR"/>
        </w:rPr>
        <w:t>Cette technique</w:t>
      </w:r>
      <w:r>
        <w:rPr>
          <w:lang w:val="fr-FR"/>
        </w:rPr>
        <w:t xml:space="preserve"> </w:t>
      </w:r>
      <w:r w:rsidRPr="00544C1F">
        <w:rPr>
          <w:lang w:val="fr-FR"/>
        </w:rPr>
        <w:t xml:space="preserve">permet d'utiliser des </w:t>
      </w:r>
      <w:r w:rsidRPr="00ED54E2">
        <w:rPr>
          <w:b/>
          <w:bCs/>
          <w:lang w:val="fr-FR"/>
        </w:rPr>
        <w:t>statistiques t simples</w:t>
      </w:r>
      <w:r w:rsidRPr="00544C1F">
        <w:rPr>
          <w:lang w:val="fr-FR"/>
        </w:rPr>
        <w:t xml:space="preserve"> pour les rendements mensuels. </w:t>
      </w:r>
    </w:p>
    <w:p w14:paraId="67E1851A" w14:textId="1B9F77FF" w:rsidR="00BF1C28" w:rsidRDefault="00BF1C28" w:rsidP="00F83EA9">
      <w:pPr>
        <w:jc w:val="both"/>
        <w:rPr>
          <w:lang w:val="fr-FR"/>
        </w:rPr>
      </w:pPr>
      <w:r w:rsidRPr="00544C1F">
        <w:rPr>
          <w:lang w:val="fr-FR"/>
        </w:rPr>
        <w:t xml:space="preserve">Pour éviter les biais potentiels de la microstructure, </w:t>
      </w:r>
      <w:r>
        <w:rPr>
          <w:lang w:val="fr-FR"/>
        </w:rPr>
        <w:t>on impose</w:t>
      </w:r>
      <w:r w:rsidRPr="00544C1F">
        <w:rPr>
          <w:lang w:val="fr-FR"/>
        </w:rPr>
        <w:t xml:space="preserve"> un délai d'une semaine entre la fin de la période de formation du portefeuille </w:t>
      </w:r>
      <w:r>
        <w:rPr>
          <w:lang w:val="fr-FR"/>
        </w:rPr>
        <w:t>(</w:t>
      </w:r>
      <w:r w:rsidRPr="00544C1F">
        <w:rPr>
          <w:lang w:val="fr-FR"/>
        </w:rPr>
        <w:t>J</w:t>
      </w:r>
      <w:r>
        <w:rPr>
          <w:lang w:val="fr-FR"/>
        </w:rPr>
        <w:t>)</w:t>
      </w:r>
      <w:r w:rsidRPr="00544C1F">
        <w:rPr>
          <w:lang w:val="fr-FR"/>
        </w:rPr>
        <w:t xml:space="preserve"> et le début de la période de mesure de la performance </w:t>
      </w:r>
      <w:r>
        <w:rPr>
          <w:lang w:val="fr-FR"/>
        </w:rPr>
        <w:t>(</w:t>
      </w:r>
      <w:r w:rsidRPr="00544C1F">
        <w:rPr>
          <w:lang w:val="fr-FR"/>
        </w:rPr>
        <w:t>K</w:t>
      </w:r>
      <w:r>
        <w:rPr>
          <w:lang w:val="fr-FR"/>
        </w:rPr>
        <w:t>)</w:t>
      </w:r>
      <w:r w:rsidRPr="00544C1F">
        <w:rPr>
          <w:lang w:val="fr-FR"/>
        </w:rPr>
        <w:t>.</w:t>
      </w:r>
    </w:p>
    <w:p w14:paraId="54633898" w14:textId="3D3C898B" w:rsidR="00FB7E2E" w:rsidRDefault="00FB7E2E" w:rsidP="00F83EA9">
      <w:pPr>
        <w:jc w:val="both"/>
        <w:rPr>
          <w:lang w:val="fr-FR"/>
        </w:rPr>
      </w:pPr>
    </w:p>
    <w:p w14:paraId="73E4AFC1" w14:textId="2F1C2DDD" w:rsidR="00FB7E2E" w:rsidRPr="00FB7E2E" w:rsidRDefault="00FB7E2E" w:rsidP="00FB7E2E">
      <w:pPr>
        <w:pBdr>
          <w:bottom w:val="single" w:sz="4" w:space="1" w:color="000000" w:themeColor="text1"/>
        </w:pBdr>
        <w:jc w:val="center"/>
        <w:rPr>
          <w:b/>
          <w:bCs/>
          <w:lang w:val="fr-FR"/>
        </w:rPr>
      </w:pPr>
      <w:r w:rsidRPr="00FB7E2E">
        <w:rPr>
          <w:b/>
          <w:bCs/>
          <w:lang w:val="fr-FR"/>
        </w:rPr>
        <w:t>Description des différents test</w:t>
      </w:r>
      <w:r w:rsidR="00303EB5">
        <w:rPr>
          <w:b/>
          <w:bCs/>
          <w:lang w:val="fr-FR"/>
        </w:rPr>
        <w:t xml:space="preserve"> (Partie 3) </w:t>
      </w:r>
    </w:p>
    <w:p w14:paraId="188DC15D" w14:textId="7DB3E258" w:rsidR="00FB7E2E" w:rsidRPr="006D6340" w:rsidRDefault="006D6340" w:rsidP="006D6340">
      <w:pPr>
        <w:pStyle w:val="Paragraphedeliste"/>
        <w:numPr>
          <w:ilvl w:val="0"/>
          <w:numId w:val="2"/>
        </w:numPr>
        <w:jc w:val="both"/>
        <w:rPr>
          <w:u w:val="single"/>
          <w:lang w:val="fr-FR"/>
        </w:rPr>
      </w:pPr>
      <w:r w:rsidRPr="006D6340">
        <w:rPr>
          <w:u w:val="single"/>
          <w:lang w:val="fr-FR"/>
        </w:rPr>
        <w:t xml:space="preserve">Price Momentum </w:t>
      </w:r>
    </w:p>
    <w:p w14:paraId="7226EA40" w14:textId="3B8E0C6E" w:rsidR="006D6340" w:rsidRDefault="006D6340" w:rsidP="006D6340">
      <w:pPr>
        <w:jc w:val="both"/>
        <w:rPr>
          <w:lang w:val="fr-FR"/>
        </w:rPr>
      </w:pPr>
      <w:r>
        <w:rPr>
          <w:lang w:val="fr-FR"/>
        </w:rPr>
        <w:t xml:space="preserve">Tous les mois de janviers, </w:t>
      </w:r>
      <w:r w:rsidRPr="00544C1F">
        <w:rPr>
          <w:lang w:val="fr-FR"/>
        </w:rPr>
        <w:t xml:space="preserve">les actions sont classées et regroupées en portefeuilles déciles en fonction de leurs rendements sur les </w:t>
      </w:r>
      <w:r>
        <w:rPr>
          <w:lang w:val="fr-FR"/>
        </w:rPr>
        <w:t xml:space="preserve">K </w:t>
      </w:r>
      <w:r w:rsidRPr="00544C1F">
        <w:rPr>
          <w:lang w:val="fr-FR"/>
        </w:rPr>
        <w:t>derniers mois.</w:t>
      </w:r>
    </w:p>
    <w:p w14:paraId="63B843F2" w14:textId="6F0729F1" w:rsidR="006D6340" w:rsidRDefault="006D6340" w:rsidP="006D6340">
      <w:pPr>
        <w:jc w:val="both"/>
        <w:rPr>
          <w:lang w:val="fr-FR"/>
        </w:rPr>
      </w:pPr>
      <w:r>
        <w:rPr>
          <w:lang w:val="fr-FR"/>
        </w:rPr>
        <w:t xml:space="preserve">Tableau : résultats pour les portefeuilles R1, R5, R10 et R10 – R1. </w:t>
      </w:r>
    </w:p>
    <w:p w14:paraId="3E7EE450" w14:textId="3C1B1DCC" w:rsidR="006D6340" w:rsidRDefault="006D6340" w:rsidP="006D6340">
      <w:pPr>
        <w:spacing w:after="0"/>
        <w:jc w:val="both"/>
        <w:rPr>
          <w:lang w:val="fr-FR"/>
        </w:rPr>
      </w:pPr>
      <w:r>
        <w:rPr>
          <w:lang w:val="fr-FR"/>
        </w:rPr>
        <w:t xml:space="preserve">Résultats affichés : </w:t>
      </w:r>
    </w:p>
    <w:p w14:paraId="79523B3A" w14:textId="77777777" w:rsidR="006D6340" w:rsidRDefault="006D6340" w:rsidP="006D6340">
      <w:pPr>
        <w:spacing w:after="0"/>
        <w:jc w:val="both"/>
        <w:rPr>
          <w:lang w:val="fr-FR"/>
        </w:rPr>
      </w:pPr>
      <w:r>
        <w:rPr>
          <w:lang w:val="fr-FR"/>
        </w:rPr>
        <w:t xml:space="preserve">* </w:t>
      </w:r>
      <w:r w:rsidRPr="006D6340">
        <w:rPr>
          <w:lang w:val="fr-FR"/>
        </w:rPr>
        <w:t>rendement moyen du volume pendant la période de formation du portefeuille</w:t>
      </w:r>
    </w:p>
    <w:p w14:paraId="3CD5359E" w14:textId="74E272E1" w:rsidR="006D6340" w:rsidRPr="006D6340" w:rsidRDefault="006D6340" w:rsidP="006D6340">
      <w:pPr>
        <w:spacing w:after="0"/>
        <w:jc w:val="both"/>
        <w:rPr>
          <w:lang w:val="fr-FR"/>
        </w:rPr>
      </w:pPr>
      <w:r>
        <w:rPr>
          <w:lang w:val="fr-FR"/>
        </w:rPr>
        <w:t xml:space="preserve">* </w:t>
      </w:r>
      <w:r w:rsidRPr="006D6340">
        <w:rPr>
          <w:lang w:val="fr-FR"/>
        </w:rPr>
        <w:t>volume</w:t>
      </w:r>
      <w:r>
        <w:rPr>
          <w:lang w:val="fr-FR"/>
        </w:rPr>
        <w:t xml:space="preserve"> ???? </w:t>
      </w:r>
    </w:p>
    <w:p w14:paraId="3AD8AD17" w14:textId="493CA8FE" w:rsidR="006D6340" w:rsidRPr="006D6340" w:rsidRDefault="006D6340" w:rsidP="006D6340">
      <w:pPr>
        <w:spacing w:after="0"/>
        <w:jc w:val="both"/>
        <w:rPr>
          <w:lang w:val="fr-FR"/>
        </w:rPr>
      </w:pPr>
      <w:r>
        <w:rPr>
          <w:lang w:val="fr-FR"/>
        </w:rPr>
        <w:t xml:space="preserve">* </w:t>
      </w:r>
      <w:r w:rsidRPr="006D6340">
        <w:rPr>
          <w:lang w:val="fr-FR"/>
        </w:rPr>
        <w:t xml:space="preserve">moyenne temporelle du décile médian de la taille du portefeuille en fonction des seuils de la NYSE et de l'AMEX </w:t>
      </w:r>
    </w:p>
    <w:p w14:paraId="6D99C7DF" w14:textId="5272A393" w:rsidR="006D6340" w:rsidRPr="006D6340" w:rsidRDefault="006D6340" w:rsidP="006D6340">
      <w:pPr>
        <w:spacing w:after="0"/>
        <w:jc w:val="both"/>
        <w:rPr>
          <w:lang w:val="fr-FR"/>
        </w:rPr>
      </w:pPr>
      <w:r>
        <w:rPr>
          <w:lang w:val="fr-FR"/>
        </w:rPr>
        <w:t xml:space="preserve">* </w:t>
      </w:r>
      <w:r w:rsidRPr="006D6340">
        <w:rPr>
          <w:lang w:val="fr-FR"/>
        </w:rPr>
        <w:t>moyenne temporelle du prix médian de l'action à la date de formation du portefeuille</w:t>
      </w:r>
    </w:p>
    <w:p w14:paraId="39FAE503" w14:textId="77A924B0" w:rsidR="006D6340" w:rsidRPr="006D6340" w:rsidRDefault="006D6340" w:rsidP="006D6340">
      <w:pPr>
        <w:spacing w:after="0"/>
        <w:jc w:val="both"/>
        <w:rPr>
          <w:lang w:val="fr-FR"/>
        </w:rPr>
      </w:pPr>
      <w:r>
        <w:rPr>
          <w:lang w:val="fr-FR"/>
        </w:rPr>
        <w:t xml:space="preserve">* </w:t>
      </w:r>
      <w:r w:rsidRPr="006D6340">
        <w:rPr>
          <w:lang w:val="fr-FR"/>
        </w:rPr>
        <w:t>rendements mensuels moyens pondérés par égale sur les prochains K mois (</w:t>
      </w:r>
      <m:oMath>
        <m:r>
          <w:rPr>
            <w:rFonts w:ascii="Cambria Math" w:hAnsi="Cambria Math"/>
            <w:lang w:val="fr-FR"/>
          </w:rPr>
          <m:t>K∈[3, 6, 9, 12]</m:t>
        </m:r>
      </m:oMath>
      <w:r w:rsidRPr="006D6340">
        <w:rPr>
          <w:lang w:val="fr-FR"/>
        </w:rPr>
        <w:t>)</w:t>
      </w:r>
    </w:p>
    <w:p w14:paraId="09C84978" w14:textId="00D47A5E" w:rsidR="006D6340" w:rsidRDefault="006D6340" w:rsidP="006D6340">
      <w:pPr>
        <w:jc w:val="both"/>
        <w:rPr>
          <w:lang w:val="fr-FR"/>
        </w:rPr>
      </w:pPr>
      <w:r>
        <w:rPr>
          <w:lang w:val="fr-FR"/>
        </w:rPr>
        <w:t xml:space="preserve">* </w:t>
      </w:r>
      <w:r w:rsidRPr="006D6340">
        <w:rPr>
          <w:lang w:val="fr-FR"/>
        </w:rPr>
        <w:t xml:space="preserve">rendements annuels en temps d'événement pour chaque portefeuille pour cinq périodes de 12 mois suivant la date de formation du portefeuille (avec des t-statistiques basées sur la correction de Hansen et Hodrick pour l'autocorrélation jusqu'au décalage 11). </w:t>
      </w:r>
    </w:p>
    <w:p w14:paraId="3F4B07DB" w14:textId="6778A282" w:rsidR="006D6340" w:rsidRPr="006D6340" w:rsidRDefault="006D6340" w:rsidP="006D6340">
      <w:pPr>
        <w:pStyle w:val="Paragraphedeliste"/>
        <w:numPr>
          <w:ilvl w:val="0"/>
          <w:numId w:val="2"/>
        </w:numPr>
        <w:jc w:val="both"/>
        <w:rPr>
          <w:u w:val="single"/>
          <w:lang w:val="fr-FR"/>
        </w:rPr>
      </w:pPr>
      <w:r w:rsidRPr="006D6340">
        <w:rPr>
          <w:u w:val="single"/>
          <w:lang w:val="fr-FR"/>
        </w:rPr>
        <w:t xml:space="preserve">Volume-Based Price Momentum </w:t>
      </w:r>
    </w:p>
    <w:p w14:paraId="48AF83B0" w14:textId="4B204758" w:rsidR="006D6340" w:rsidRDefault="004E5AB8" w:rsidP="006D6340">
      <w:pPr>
        <w:jc w:val="both"/>
        <w:rPr>
          <w:lang w:val="fr-FR"/>
        </w:rPr>
      </w:pPr>
      <w:r>
        <w:rPr>
          <w:lang w:val="fr-FR"/>
        </w:rPr>
        <w:t xml:space="preserve">Les </w:t>
      </w:r>
      <w:r w:rsidRPr="00544C1F">
        <w:rPr>
          <w:lang w:val="fr-FR"/>
        </w:rPr>
        <w:t xml:space="preserve">rendements des portefeuilles </w:t>
      </w:r>
      <w:r>
        <w:rPr>
          <w:lang w:val="fr-FR"/>
        </w:rPr>
        <w:t xml:space="preserve">sont </w:t>
      </w:r>
      <w:r w:rsidRPr="00544C1F">
        <w:rPr>
          <w:lang w:val="fr-FR"/>
        </w:rPr>
        <w:t>formés sur la base d'un tri à deux voies entre le momentum des prix et le volume de transactions passées</w:t>
      </w:r>
      <w:r>
        <w:rPr>
          <w:lang w:val="fr-FR"/>
        </w:rPr>
        <w:t xml:space="preserve"> : premier tris de </w:t>
      </w:r>
      <w:r w:rsidRPr="00544C1F">
        <w:rPr>
          <w:lang w:val="fr-FR"/>
        </w:rPr>
        <w:t xml:space="preserve">toutes les entreprises de l'échantillon au début de chaque mois en fonction de leurs rendements sur les J derniers mois </w:t>
      </w:r>
      <w:r>
        <w:rPr>
          <w:lang w:val="fr-FR"/>
        </w:rPr>
        <w:t>(</w:t>
      </w:r>
      <w:r w:rsidRPr="00544C1F">
        <w:rPr>
          <w:lang w:val="fr-FR"/>
        </w:rPr>
        <w:t>R1 à R10</w:t>
      </w:r>
      <w:r>
        <w:rPr>
          <w:lang w:val="fr-FR"/>
        </w:rPr>
        <w:t xml:space="preserve">) + tris </w:t>
      </w:r>
      <w:r w:rsidRPr="00544C1F">
        <w:rPr>
          <w:lang w:val="fr-FR"/>
        </w:rPr>
        <w:t xml:space="preserve">en fonction de leur taux de rotation quotidien moyen sur les J derniers mois </w:t>
      </w:r>
      <w:r>
        <w:rPr>
          <w:lang w:val="fr-FR"/>
        </w:rPr>
        <w:t>(</w:t>
      </w:r>
      <w:r w:rsidRPr="00544C1F">
        <w:rPr>
          <w:lang w:val="fr-FR"/>
        </w:rPr>
        <w:t>V1 à V3</w:t>
      </w:r>
      <w:r>
        <w:rPr>
          <w:lang w:val="fr-FR"/>
        </w:rPr>
        <w:t>)</w:t>
      </w:r>
      <w:r w:rsidRPr="00544C1F">
        <w:rPr>
          <w:lang w:val="fr-FR"/>
        </w:rPr>
        <w:t>.</w:t>
      </w:r>
    </w:p>
    <w:p w14:paraId="2F733C4D" w14:textId="140461A8" w:rsidR="006D6340" w:rsidRDefault="006D6340" w:rsidP="006D6340">
      <w:pPr>
        <w:jc w:val="both"/>
        <w:rPr>
          <w:lang w:val="fr-FR"/>
        </w:rPr>
      </w:pPr>
      <w:r>
        <w:rPr>
          <w:lang w:val="fr-FR"/>
        </w:rPr>
        <w:t xml:space="preserve">Tableau : résultats pour les portefeuilles R1, R5, R10 et R10 – R1 (lignes) et les portefeuille V1, V2, V3, V3-V1 (colonne) </w:t>
      </w:r>
    </w:p>
    <w:p w14:paraId="1B7A7235" w14:textId="6492A6D4" w:rsidR="004E5AB8" w:rsidRDefault="004E5AB8" w:rsidP="004E5AB8">
      <w:pPr>
        <w:spacing w:after="0"/>
        <w:jc w:val="both"/>
        <w:rPr>
          <w:lang w:val="fr-FR"/>
        </w:rPr>
      </w:pPr>
      <w:r>
        <w:rPr>
          <w:lang w:val="fr-FR"/>
        </w:rPr>
        <w:t>Résultats affichés :</w:t>
      </w:r>
    </w:p>
    <w:p w14:paraId="05E54C10" w14:textId="6415B273" w:rsidR="006D6340" w:rsidRDefault="004E5AB8" w:rsidP="004E5AB8">
      <w:pPr>
        <w:jc w:val="both"/>
        <w:rPr>
          <w:lang w:val="fr-FR"/>
        </w:rPr>
      </w:pPr>
      <w:r>
        <w:rPr>
          <w:lang w:val="fr-FR"/>
        </w:rPr>
        <w:t xml:space="preserve">* </w:t>
      </w:r>
      <w:r w:rsidRPr="006D6340">
        <w:rPr>
          <w:lang w:val="fr-FR"/>
        </w:rPr>
        <w:t>rendements mensuels moyens pondérés par égale sur les prochains K mois (</w:t>
      </w:r>
      <m:oMath>
        <m:r>
          <w:rPr>
            <w:rFonts w:ascii="Cambria Math" w:hAnsi="Cambria Math"/>
            <w:lang w:val="fr-FR"/>
          </w:rPr>
          <m:t>K∈[3, 6, 9, 12]</m:t>
        </m:r>
      </m:oMath>
      <w:r w:rsidRPr="006D6340">
        <w:rPr>
          <w:lang w:val="fr-FR"/>
        </w:rPr>
        <w:t>)</w:t>
      </w:r>
    </w:p>
    <w:p w14:paraId="564663AD" w14:textId="4D837FE0" w:rsidR="004E5AB8" w:rsidRPr="004E5AB8" w:rsidRDefault="004E5AB8" w:rsidP="004E5AB8">
      <w:pPr>
        <w:pStyle w:val="Paragraphedeliste"/>
        <w:numPr>
          <w:ilvl w:val="0"/>
          <w:numId w:val="2"/>
        </w:numPr>
        <w:jc w:val="both"/>
        <w:rPr>
          <w:u w:val="single"/>
          <w:lang w:val="fr-FR"/>
        </w:rPr>
      </w:pPr>
      <w:r w:rsidRPr="004E5AB8">
        <w:rPr>
          <w:u w:val="single"/>
          <w:lang w:val="fr-FR"/>
        </w:rPr>
        <w:t xml:space="preserve">Robustness Test </w:t>
      </w:r>
    </w:p>
    <w:p w14:paraId="06959F4C" w14:textId="77777777" w:rsidR="004E5AB8" w:rsidRDefault="004E5AB8" w:rsidP="002A0A2C">
      <w:pPr>
        <w:spacing w:after="0"/>
        <w:jc w:val="both"/>
        <w:rPr>
          <w:lang w:val="fr-FR"/>
        </w:rPr>
      </w:pPr>
      <w:r>
        <w:rPr>
          <w:lang w:val="fr-FR"/>
        </w:rPr>
        <w:t xml:space="preserve">PANEL A : division en sous périodes : </w:t>
      </w:r>
      <w:r w:rsidRPr="00544C1F">
        <w:rPr>
          <w:lang w:val="fr-FR"/>
        </w:rPr>
        <w:t>de 1965 à 1975</w:t>
      </w:r>
      <w:r>
        <w:rPr>
          <w:lang w:val="fr-FR"/>
        </w:rPr>
        <w:t xml:space="preserve"> + de </w:t>
      </w:r>
      <w:r w:rsidRPr="00544C1F">
        <w:rPr>
          <w:lang w:val="fr-FR"/>
        </w:rPr>
        <w:t>1976 à 1985</w:t>
      </w:r>
      <w:r>
        <w:rPr>
          <w:lang w:val="fr-FR"/>
        </w:rPr>
        <w:t xml:space="preserve"> + de</w:t>
      </w:r>
      <w:r w:rsidRPr="00544C1F">
        <w:rPr>
          <w:lang w:val="fr-FR"/>
        </w:rPr>
        <w:t xml:space="preserve"> 1986 à 1995. </w:t>
      </w:r>
    </w:p>
    <w:p w14:paraId="13DDC2BD" w14:textId="5AD68DF6" w:rsidR="004E5AB8" w:rsidRDefault="004E5AB8" w:rsidP="002A0A2C">
      <w:pPr>
        <w:jc w:val="both"/>
        <w:rPr>
          <w:lang w:val="fr-FR"/>
        </w:rPr>
      </w:pPr>
      <w:r>
        <w:rPr>
          <w:lang w:val="fr-FR"/>
        </w:rPr>
        <w:t>(</w:t>
      </w:r>
      <w:r w:rsidRPr="00544C1F">
        <w:rPr>
          <w:lang w:val="fr-FR"/>
        </w:rPr>
        <w:t xml:space="preserve">résultats pour la période de formation de six mois </w:t>
      </w:r>
      <w:r>
        <w:rPr>
          <w:lang w:val="fr-FR"/>
        </w:rPr>
        <w:t>(</w:t>
      </w:r>
      <m:oMath>
        <m:r>
          <w:rPr>
            <w:rFonts w:ascii="Cambria Math" w:hAnsi="Cambria Math"/>
            <w:lang w:val="fr-FR"/>
          </w:rPr>
          <m:t>J∈[5, 6]</m:t>
        </m:r>
      </m:oMath>
      <w:r>
        <w:rPr>
          <w:lang w:val="fr-FR"/>
        </w:rPr>
        <w:t>))</w:t>
      </w:r>
    </w:p>
    <w:p w14:paraId="772FD5E6" w14:textId="3A305319" w:rsidR="004E5AB8" w:rsidRDefault="002A0A2C" w:rsidP="002A0A2C">
      <w:pPr>
        <w:jc w:val="both"/>
        <w:rPr>
          <w:lang w:val="fr-FR"/>
        </w:rPr>
      </w:pPr>
      <w:r>
        <w:rPr>
          <w:lang w:val="fr-FR"/>
        </w:rPr>
        <w:t xml:space="preserve">PANEL B : utilisation de </w:t>
      </w:r>
      <w:r w:rsidR="004E5AB8" w:rsidRPr="00544C1F">
        <w:rPr>
          <w:lang w:val="fr-FR"/>
        </w:rPr>
        <w:t xml:space="preserve">trois portefeuilles de momentum des prix et 10 portefeuilles de volume </w:t>
      </w:r>
      <w:r w:rsidR="004E5AB8">
        <w:rPr>
          <w:lang w:val="fr-FR"/>
        </w:rPr>
        <w:t>(</w:t>
      </w:r>
      <w:r w:rsidR="004E5AB8" w:rsidRPr="00544C1F">
        <w:rPr>
          <w:lang w:val="fr-FR"/>
        </w:rPr>
        <w:t>3</w:t>
      </w:r>
      <w:r>
        <w:rPr>
          <w:lang w:val="fr-FR"/>
        </w:rPr>
        <w:t>-</w:t>
      </w:r>
      <w:r w:rsidR="004E5AB8" w:rsidRPr="00544C1F">
        <w:rPr>
          <w:lang w:val="fr-FR"/>
        </w:rPr>
        <w:t>3</w:t>
      </w:r>
      <w:r>
        <w:rPr>
          <w:lang w:val="fr-FR"/>
        </w:rPr>
        <w:t>-</w:t>
      </w:r>
      <w:r w:rsidR="004E5AB8" w:rsidRPr="00544C1F">
        <w:rPr>
          <w:lang w:val="fr-FR"/>
        </w:rPr>
        <w:t>10</w:t>
      </w:r>
      <w:r w:rsidR="004E5AB8">
        <w:rPr>
          <w:lang w:val="fr-FR"/>
        </w:rPr>
        <w:t>)</w:t>
      </w:r>
      <w:r>
        <w:rPr>
          <w:lang w:val="fr-FR"/>
        </w:rPr>
        <w:t xml:space="preserve">. </w:t>
      </w:r>
    </w:p>
    <w:p w14:paraId="0A05697A" w14:textId="79407E0B" w:rsidR="004E5AB8" w:rsidRDefault="002A0A2C" w:rsidP="002A0A2C">
      <w:pPr>
        <w:jc w:val="both"/>
        <w:rPr>
          <w:lang w:val="fr-FR"/>
        </w:rPr>
      </w:pPr>
      <w:r>
        <w:rPr>
          <w:lang w:val="fr-FR"/>
        </w:rPr>
        <w:t>PANEL C : utilisation de</w:t>
      </w:r>
      <w:r w:rsidR="004E5AB8" w:rsidRPr="00544C1F">
        <w:rPr>
          <w:lang w:val="fr-FR"/>
        </w:rPr>
        <w:t xml:space="preserve"> cinq portefeuilles de momentum des prix et cinq portefeuilles de volume </w:t>
      </w:r>
      <w:r w:rsidR="004E5AB8">
        <w:rPr>
          <w:lang w:val="fr-FR"/>
        </w:rPr>
        <w:t>(</w:t>
      </w:r>
      <w:r w:rsidR="004E5AB8" w:rsidRPr="00544C1F">
        <w:rPr>
          <w:lang w:val="fr-FR"/>
        </w:rPr>
        <w:t>5</w:t>
      </w:r>
      <w:r>
        <w:rPr>
          <w:lang w:val="fr-FR"/>
        </w:rPr>
        <w:t>-</w:t>
      </w:r>
      <w:r w:rsidR="004E5AB8" w:rsidRPr="00544C1F">
        <w:rPr>
          <w:lang w:val="fr-FR"/>
        </w:rPr>
        <w:t>3</w:t>
      </w:r>
      <w:r>
        <w:rPr>
          <w:lang w:val="fr-FR"/>
        </w:rPr>
        <w:t>-</w:t>
      </w:r>
      <w:r w:rsidR="004E5AB8" w:rsidRPr="00544C1F">
        <w:rPr>
          <w:lang w:val="fr-FR"/>
        </w:rPr>
        <w:t>5</w:t>
      </w:r>
      <w:r w:rsidR="004E5AB8">
        <w:rPr>
          <w:lang w:val="fr-FR"/>
        </w:rPr>
        <w:t>)</w:t>
      </w:r>
      <w:r w:rsidR="004E5AB8" w:rsidRPr="00544C1F">
        <w:rPr>
          <w:lang w:val="fr-FR"/>
        </w:rPr>
        <w:t>.</w:t>
      </w:r>
    </w:p>
    <w:p w14:paraId="4CE24FE4" w14:textId="2E018725" w:rsidR="004E5AB8" w:rsidRDefault="002A0A2C" w:rsidP="002A0A2C">
      <w:pPr>
        <w:jc w:val="both"/>
        <w:rPr>
          <w:lang w:val="fr-FR"/>
        </w:rPr>
      </w:pPr>
      <w:r>
        <w:rPr>
          <w:lang w:val="fr-FR"/>
        </w:rPr>
        <w:t xml:space="preserve">PANEL D : </w:t>
      </w:r>
      <w:r w:rsidR="004E5AB8" w:rsidRPr="00544C1F">
        <w:rPr>
          <w:lang w:val="fr-FR"/>
        </w:rPr>
        <w:t>momentum des prix basé sur le volume en utilisant uniquement les 50</w:t>
      </w:r>
      <w:r>
        <w:rPr>
          <w:lang w:val="fr-FR"/>
        </w:rPr>
        <w:t>% d</w:t>
      </w:r>
      <w:r w:rsidR="004E5AB8" w:rsidRPr="00544C1F">
        <w:rPr>
          <w:lang w:val="fr-FR"/>
        </w:rPr>
        <w:t>es plus grandes actions de NYSE0AMEX.</w:t>
      </w:r>
    </w:p>
    <w:p w14:paraId="31900DE0" w14:textId="7E710EC8" w:rsidR="00CB22C7" w:rsidRDefault="00CB22C7" w:rsidP="002A0A2C">
      <w:pPr>
        <w:jc w:val="both"/>
        <w:rPr>
          <w:lang w:val="fr-FR"/>
        </w:rPr>
      </w:pPr>
      <w:r>
        <w:rPr>
          <w:lang w:val="fr-FR"/>
        </w:rPr>
        <w:t xml:space="preserve">Tableau : résultats pour les portefeuilles R1, R5, R10 et R10 – R1 (lignes) et les portefeuille V1, V2, V3, V3-V1 (colonne) </w:t>
      </w:r>
    </w:p>
    <w:p w14:paraId="2DBD6363" w14:textId="77777777" w:rsidR="00CB22C7" w:rsidRDefault="00CB22C7" w:rsidP="00CB22C7">
      <w:pPr>
        <w:spacing w:after="0"/>
        <w:jc w:val="both"/>
        <w:rPr>
          <w:lang w:val="fr-FR"/>
        </w:rPr>
      </w:pPr>
      <w:r>
        <w:rPr>
          <w:lang w:val="fr-FR"/>
        </w:rPr>
        <w:t>Résultats affichés :</w:t>
      </w:r>
    </w:p>
    <w:p w14:paraId="2BEF39EE" w14:textId="525108A4" w:rsidR="00CB22C7" w:rsidRDefault="00CB22C7" w:rsidP="002A0A2C">
      <w:pPr>
        <w:jc w:val="both"/>
        <w:rPr>
          <w:lang w:val="fr-FR"/>
        </w:rPr>
      </w:pPr>
      <w:r>
        <w:rPr>
          <w:lang w:val="fr-FR"/>
        </w:rPr>
        <w:t xml:space="preserve">* </w:t>
      </w:r>
      <w:r w:rsidRPr="006D6340">
        <w:rPr>
          <w:lang w:val="fr-FR"/>
        </w:rPr>
        <w:t>rendements mensuels moyens pondérés par égale sur les prochains K mois (</w:t>
      </w:r>
      <m:oMath>
        <m:r>
          <w:rPr>
            <w:rFonts w:ascii="Cambria Math" w:hAnsi="Cambria Math"/>
            <w:lang w:val="fr-FR"/>
          </w:rPr>
          <m:t>K∈[3, 6, 9, 12]</m:t>
        </m:r>
      </m:oMath>
      <w:r w:rsidRPr="006D6340">
        <w:rPr>
          <w:lang w:val="fr-FR"/>
        </w:rPr>
        <w:t>)</w:t>
      </w:r>
    </w:p>
    <w:p w14:paraId="34C7DB34" w14:textId="77777777" w:rsidR="00F73E74" w:rsidRDefault="002A0A2C" w:rsidP="002A0A2C">
      <w:pPr>
        <w:pStyle w:val="Paragraphedeliste"/>
        <w:numPr>
          <w:ilvl w:val="0"/>
          <w:numId w:val="2"/>
        </w:numPr>
        <w:jc w:val="both"/>
        <w:rPr>
          <w:u w:val="single"/>
          <w:lang w:val="fr-FR"/>
        </w:rPr>
      </w:pPr>
      <w:r w:rsidRPr="002A0A2C">
        <w:rPr>
          <w:u w:val="single"/>
          <w:lang w:val="fr-FR"/>
        </w:rPr>
        <w:t xml:space="preserve">Risk Adjustment </w:t>
      </w:r>
    </w:p>
    <w:p w14:paraId="3CD02B36" w14:textId="1AED439D" w:rsidR="002A0A2C" w:rsidRDefault="00F73E74" w:rsidP="00F73E74">
      <w:pPr>
        <w:jc w:val="both"/>
        <w:rPr>
          <w:lang w:val="fr-FR"/>
        </w:rPr>
      </w:pPr>
      <w:r>
        <w:rPr>
          <w:lang w:val="fr-FR"/>
        </w:rPr>
        <w:t>TABLEAU 4 : C</w:t>
      </w:r>
      <w:r w:rsidRPr="00F73E74">
        <w:rPr>
          <w:lang w:val="fr-FR"/>
        </w:rPr>
        <w:t>aractéristiques descriptives de divers portefeuilles de momentum des prix et de volume</w:t>
      </w:r>
      <w:r w:rsidR="009153EB">
        <w:rPr>
          <w:lang w:val="fr-FR"/>
        </w:rPr>
        <w:t xml:space="preserve"> (4 panels) </w:t>
      </w:r>
    </w:p>
    <w:p w14:paraId="70C14EAE" w14:textId="474B3109" w:rsidR="00CB22C7" w:rsidRDefault="00CB22C7" w:rsidP="00F73E74">
      <w:pPr>
        <w:jc w:val="both"/>
        <w:rPr>
          <w:lang w:val="fr-FR"/>
        </w:rPr>
      </w:pPr>
      <w:r>
        <w:rPr>
          <w:lang w:val="fr-FR"/>
        </w:rPr>
        <w:lastRenderedPageBreak/>
        <w:t>Tableau : résultats pour les portefeuilles R1, R5 et R10 (lignes) et les portefeuille V1, V2 et V3 (colonne)</w:t>
      </w:r>
    </w:p>
    <w:p w14:paraId="16A607FC" w14:textId="109F18A8" w:rsidR="00CB22C7" w:rsidRDefault="00CB22C7" w:rsidP="00CB22C7">
      <w:pPr>
        <w:spacing w:after="0"/>
        <w:jc w:val="both"/>
        <w:rPr>
          <w:lang w:val="fr-FR"/>
        </w:rPr>
      </w:pPr>
      <w:r>
        <w:rPr>
          <w:lang w:val="fr-FR"/>
        </w:rPr>
        <w:t>Résultats affichés :</w:t>
      </w:r>
    </w:p>
    <w:p w14:paraId="3B3EE62B" w14:textId="77777777" w:rsidR="00CB22C7" w:rsidRDefault="00CB22C7" w:rsidP="00CB22C7">
      <w:pPr>
        <w:spacing w:after="0"/>
        <w:jc w:val="both"/>
        <w:rPr>
          <w:lang w:val="fr-FR"/>
        </w:rPr>
      </w:pPr>
      <w:r>
        <w:rPr>
          <w:lang w:val="fr-FR"/>
        </w:rPr>
        <w:t xml:space="preserve">* </w:t>
      </w:r>
      <w:r w:rsidRPr="006D6340">
        <w:rPr>
          <w:lang w:val="fr-FR"/>
        </w:rPr>
        <w:t>rendement moyen du volume pendant la période de formation du portefeuille</w:t>
      </w:r>
    </w:p>
    <w:p w14:paraId="7710CCF2" w14:textId="77777777" w:rsidR="00CB22C7" w:rsidRPr="006D6340" w:rsidRDefault="00CB22C7" w:rsidP="00CB22C7">
      <w:pPr>
        <w:spacing w:after="0"/>
        <w:jc w:val="both"/>
        <w:rPr>
          <w:lang w:val="fr-FR"/>
        </w:rPr>
      </w:pPr>
      <w:r>
        <w:rPr>
          <w:lang w:val="fr-FR"/>
        </w:rPr>
        <w:t xml:space="preserve">* </w:t>
      </w:r>
      <w:r w:rsidRPr="006D6340">
        <w:rPr>
          <w:lang w:val="fr-FR"/>
        </w:rPr>
        <w:t>volume</w:t>
      </w:r>
      <w:r>
        <w:rPr>
          <w:lang w:val="fr-FR"/>
        </w:rPr>
        <w:t xml:space="preserve"> ???? </w:t>
      </w:r>
    </w:p>
    <w:p w14:paraId="5A934B23" w14:textId="77777777" w:rsidR="00CB22C7" w:rsidRPr="006D6340" w:rsidRDefault="00CB22C7" w:rsidP="00CB22C7">
      <w:pPr>
        <w:spacing w:after="0"/>
        <w:jc w:val="both"/>
        <w:rPr>
          <w:lang w:val="fr-FR"/>
        </w:rPr>
      </w:pPr>
      <w:r>
        <w:rPr>
          <w:lang w:val="fr-FR"/>
        </w:rPr>
        <w:t xml:space="preserve">* </w:t>
      </w:r>
      <w:r w:rsidRPr="006D6340">
        <w:rPr>
          <w:lang w:val="fr-FR"/>
        </w:rPr>
        <w:t xml:space="preserve">moyenne temporelle du décile médian de la taille du portefeuille en fonction des seuils de la NYSE et de l'AMEX </w:t>
      </w:r>
    </w:p>
    <w:p w14:paraId="1EDDBA40" w14:textId="1C8E37BA" w:rsidR="00CB22C7" w:rsidRDefault="00CB22C7" w:rsidP="00CB22C7">
      <w:pPr>
        <w:jc w:val="both"/>
        <w:rPr>
          <w:lang w:val="fr-FR"/>
        </w:rPr>
      </w:pPr>
      <w:r>
        <w:rPr>
          <w:lang w:val="fr-FR"/>
        </w:rPr>
        <w:t xml:space="preserve">* </w:t>
      </w:r>
      <w:r w:rsidRPr="006D6340">
        <w:rPr>
          <w:lang w:val="fr-FR"/>
        </w:rPr>
        <w:t>moyenne temporelle du prix médian de l'action à la date de formation du portefeuille</w:t>
      </w:r>
    </w:p>
    <w:p w14:paraId="18C6E251" w14:textId="4B57A391" w:rsidR="00F73E74" w:rsidRDefault="00F73E74" w:rsidP="00F73E74">
      <w:pPr>
        <w:jc w:val="both"/>
        <w:rPr>
          <w:lang w:val="fr-FR"/>
        </w:rPr>
      </w:pPr>
      <w:r>
        <w:rPr>
          <w:lang w:val="fr-FR"/>
        </w:rPr>
        <w:t xml:space="preserve">TABLEAU 5 : </w:t>
      </w:r>
      <w:r w:rsidRPr="00544C1F">
        <w:rPr>
          <w:lang w:val="fr-FR"/>
        </w:rPr>
        <w:t>preuves supplémentaires sur la source des rendements anormaux pour les différentes stratégies de momentum des prix basées sur le volume</w:t>
      </w:r>
      <w:r>
        <w:rPr>
          <w:lang w:val="fr-FR"/>
        </w:rPr>
        <w:t xml:space="preserve"> -&gt; </w:t>
      </w:r>
      <w:r w:rsidRPr="00544C1F">
        <w:rPr>
          <w:lang w:val="fr-FR"/>
        </w:rPr>
        <w:t>régressions en séries temporelles basées sur le modèle à trois facteurs de Fama–French</w:t>
      </w:r>
      <w:r>
        <w:rPr>
          <w:lang w:val="fr-FR"/>
        </w:rPr>
        <w:t xml:space="preserve"> </w:t>
      </w:r>
      <m:oMath>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f</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i</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i</m:t>
            </m:r>
          </m:sub>
        </m:sSub>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m</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f</m:t>
                </m:r>
              </m:sub>
            </m:sSub>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i</m:t>
            </m:r>
          </m:sub>
        </m:sSub>
        <m:r>
          <w:rPr>
            <w:rFonts w:ascii="Cambria Math" w:hAnsi="Cambria Math"/>
            <w:lang w:val="fr-FR"/>
          </w:rPr>
          <m:t>SMB+</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i</m:t>
            </m:r>
          </m:sub>
        </m:sSub>
        <m:r>
          <w:rPr>
            <w:rFonts w:ascii="Cambria Math" w:hAnsi="Cambria Math"/>
            <w:lang w:val="fr-FR"/>
          </w:rPr>
          <m:t>HML+</m:t>
        </m:r>
        <m:sSub>
          <m:sSubPr>
            <m:ctrlPr>
              <w:rPr>
                <w:rFonts w:ascii="Cambria Math" w:hAnsi="Cambria Math"/>
                <w:i/>
                <w:lang w:val="fr-FR"/>
              </w:rPr>
            </m:ctrlPr>
          </m:sSubPr>
          <m:e>
            <m:r>
              <w:rPr>
                <w:rFonts w:ascii="Cambria Math" w:hAnsi="Cambria Math"/>
                <w:lang w:val="fr-FR"/>
              </w:rPr>
              <m:t>e</m:t>
            </m:r>
          </m:e>
          <m:sub>
            <m:r>
              <w:rPr>
                <w:rFonts w:ascii="Cambria Math" w:hAnsi="Cambria Math"/>
                <w:lang w:val="fr-FR"/>
              </w:rPr>
              <m:t>i</m:t>
            </m:r>
          </m:sub>
        </m:sSub>
      </m:oMath>
      <w:r w:rsidR="00CB22C7">
        <w:rPr>
          <w:lang w:val="fr-FR"/>
        </w:rPr>
        <w:t xml:space="preserve"> avec</w:t>
      </w:r>
      <w:r w:rsidR="00CB22C7" w:rsidRPr="00544C1F">
        <w:rPr>
          <w:lang w:val="fr-FR"/>
        </w:rPr>
        <w:t xml:space="preserv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m:t>
            </m:r>
          </m:sub>
        </m:sSub>
      </m:oMath>
      <w:r w:rsidR="00CB22C7" w:rsidRPr="00544C1F">
        <w:rPr>
          <w:lang w:val="fr-FR"/>
        </w:rPr>
        <w:t xml:space="preserve"> le rendement mensuel pour le portefeuille </w:t>
      </w:r>
      <m:oMath>
        <m:r>
          <w:rPr>
            <w:rFonts w:ascii="Cambria Math" w:hAnsi="Cambria Math"/>
            <w:lang w:val="fr-FR"/>
          </w:rPr>
          <m:t xml:space="preserve">i </m:t>
        </m:r>
      </m:oMath>
      <w:r w:rsidR="00CB22C7" w:rsidRPr="00544C1F">
        <w:rPr>
          <w:lang w:val="fr-FR"/>
        </w:rPr>
        <w:t xml:space="preserv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f</m:t>
            </m:r>
          </m:sub>
        </m:sSub>
        <m:r>
          <w:rPr>
            <w:rFonts w:ascii="Cambria Math" w:hAnsi="Cambria Math"/>
            <w:lang w:val="fr-FR"/>
          </w:rPr>
          <m:t xml:space="preserve"> </m:t>
        </m:r>
      </m:oMath>
      <w:r w:rsidR="00CB22C7" w:rsidRPr="00544C1F">
        <w:rPr>
          <w:lang w:val="fr-FR"/>
        </w:rPr>
        <w:t xml:space="preserve">le rendement mensuel sur les bons du Trésor d'un mois obtenu à partir de la série </w:t>
      </w:r>
      <w:r w:rsidR="00CB22C7">
        <w:rPr>
          <w:lang w:val="fr-FR"/>
        </w:rPr>
        <w:t>S</w:t>
      </w:r>
      <w:r w:rsidR="00CB22C7" w:rsidRPr="00544C1F">
        <w:rPr>
          <w:lang w:val="fr-FR"/>
        </w:rPr>
        <w:t xml:space="preserve">BBI ;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m</m:t>
            </m:r>
          </m:sub>
        </m:sSub>
      </m:oMath>
      <w:r w:rsidR="00CB22C7" w:rsidRPr="00544C1F">
        <w:rPr>
          <w:lang w:val="fr-FR"/>
        </w:rPr>
        <w:t xml:space="preserve"> le rendement pondéré des valeurs de l'indice boursier NYSE</w:t>
      </w:r>
      <w:r w:rsidR="00CB22C7">
        <w:rPr>
          <w:lang w:val="fr-FR"/>
        </w:rPr>
        <w:t>/</w:t>
      </w:r>
      <w:r w:rsidR="00CB22C7" w:rsidRPr="00544C1F">
        <w:rPr>
          <w:lang w:val="fr-FR"/>
        </w:rPr>
        <w:t>AMEX</w:t>
      </w:r>
      <w:r w:rsidR="00CB22C7">
        <w:rPr>
          <w:lang w:val="fr-FR"/>
        </w:rPr>
        <w:t>/</w:t>
      </w:r>
      <w:r w:rsidR="00CB22C7" w:rsidRPr="00544C1F">
        <w:rPr>
          <w:lang w:val="fr-FR"/>
        </w:rPr>
        <w:t xml:space="preserve">Nasdaq ; SMB le facteur des petites entreprises de Fama–French ; HML le facteur de valeur de Fama–French ;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i</m:t>
            </m:r>
          </m:sub>
        </m:sSub>
      </m:oMath>
      <w:r w:rsidR="00CB22C7" w:rsidRPr="00544C1F">
        <w:rPr>
          <w:lang w:val="fr-FR"/>
        </w:rPr>
        <w:t xml:space="preserve">, </w:t>
      </w: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i</m:t>
            </m:r>
          </m:sub>
        </m:sSub>
      </m:oMath>
      <w:r w:rsidR="00CB22C7" w:rsidRPr="00544C1F">
        <w:rPr>
          <w:lang w:val="fr-FR"/>
        </w:rPr>
        <w:t xml:space="preserve">, </w:t>
      </w:r>
      <m:oMath>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i</m:t>
            </m:r>
          </m:sub>
        </m:sSub>
      </m:oMath>
      <w:r w:rsidR="00CB22C7" w:rsidRPr="00544C1F">
        <w:rPr>
          <w:lang w:val="fr-FR"/>
        </w:rPr>
        <w:t xml:space="preserve"> les coefficients de chargement correspondants ; et </w:t>
      </w: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i</m:t>
            </m:r>
          </m:sub>
        </m:sSub>
      </m:oMath>
      <w:r w:rsidR="00CB22C7" w:rsidRPr="00544C1F">
        <w:rPr>
          <w:lang w:val="fr-FR"/>
        </w:rPr>
        <w:t xml:space="preserve"> l</w:t>
      </w:r>
      <w:r w:rsidR="00CB22C7">
        <w:rPr>
          <w:lang w:val="fr-FR"/>
        </w:rPr>
        <w:t>a constante</w:t>
      </w:r>
      <w:r w:rsidR="00CB22C7" w:rsidRPr="00544C1F">
        <w:rPr>
          <w:lang w:val="fr-FR"/>
        </w:rPr>
        <w:t xml:space="preserve"> ou l'alpha du portefeuille</w:t>
      </w:r>
      <w:r w:rsidR="00CB22C7">
        <w:rPr>
          <w:lang w:val="fr-FR"/>
        </w:rPr>
        <w:t>)</w:t>
      </w:r>
    </w:p>
    <w:p w14:paraId="525F5B07" w14:textId="602C6D00" w:rsidR="00CB22C7" w:rsidRDefault="00CB22C7" w:rsidP="00F73E74">
      <w:pPr>
        <w:jc w:val="both"/>
        <w:rPr>
          <w:lang w:val="fr-FR"/>
        </w:rPr>
      </w:pPr>
      <w:r>
        <w:rPr>
          <w:lang w:val="fr-FR"/>
        </w:rPr>
        <w:t xml:space="preserve">Tableau : </w:t>
      </w:r>
      <w:r w:rsidR="009153EB">
        <w:rPr>
          <w:lang w:val="fr-FR"/>
        </w:rPr>
        <w:t xml:space="preserve">résultats pour les portefeuilles R1, R5, R10 et R10 – R1 (lignes) et les portefeuille V1, V2, V3, V3-V1 (colonne) ; </w:t>
      </w:r>
      <w:r>
        <w:rPr>
          <w:lang w:val="fr-FR"/>
        </w:rPr>
        <w:t>présentation</w:t>
      </w:r>
      <w:r w:rsidRPr="00544C1F">
        <w:rPr>
          <w:lang w:val="fr-FR"/>
        </w:rPr>
        <w:t xml:space="preserve"> pour des combinaisons symétriques de périodes de formation et de détention de portefeuille </w:t>
      </w:r>
      <w:r>
        <w:rPr>
          <w:lang w:val="fr-FR"/>
        </w:rPr>
        <w:t>(</w:t>
      </w:r>
      <m:oMath>
        <m:r>
          <w:rPr>
            <w:rFonts w:ascii="Cambria Math" w:hAnsi="Cambria Math"/>
            <w:lang w:val="fr-FR"/>
          </w:rPr>
          <m:t>J, J∈[6, 12]</m:t>
        </m:r>
      </m:oMath>
      <w:r>
        <w:rPr>
          <w:lang w:val="fr-FR"/>
        </w:rPr>
        <w:t>)</w:t>
      </w:r>
      <w:r w:rsidR="009153EB">
        <w:rPr>
          <w:lang w:val="fr-FR"/>
        </w:rPr>
        <w:t xml:space="preserve"> (4 panels) </w:t>
      </w:r>
    </w:p>
    <w:p w14:paraId="1AA45733" w14:textId="3CC49B32" w:rsidR="00CB22C7" w:rsidRDefault="00CB22C7" w:rsidP="00CB22C7">
      <w:pPr>
        <w:spacing w:after="0"/>
        <w:jc w:val="both"/>
        <w:rPr>
          <w:lang w:val="fr-FR"/>
        </w:rPr>
      </w:pPr>
      <w:r>
        <w:rPr>
          <w:lang w:val="fr-FR"/>
        </w:rPr>
        <w:t>Résultats affichés :</w:t>
      </w:r>
      <w:r w:rsidRPr="00CB22C7">
        <w:rPr>
          <w:lang w:val="fr-FR"/>
        </w:rPr>
        <w:t xml:space="preserve"> </w:t>
      </w:r>
    </w:p>
    <w:p w14:paraId="2B45E7DC" w14:textId="77777777" w:rsidR="00CB22C7" w:rsidRDefault="00CB22C7" w:rsidP="00CB22C7">
      <w:pPr>
        <w:spacing w:after="0"/>
        <w:jc w:val="both"/>
        <w:rPr>
          <w:lang w:val="fr-FR"/>
        </w:rPr>
      </w:pPr>
      <w:r>
        <w:rPr>
          <w:lang w:val="fr-FR"/>
        </w:rPr>
        <w:t>* c</w:t>
      </w:r>
      <w:r w:rsidRPr="00544C1F">
        <w:rPr>
          <w:lang w:val="fr-FR"/>
        </w:rPr>
        <w:t>oefficient d'interception estimé</w:t>
      </w:r>
    </w:p>
    <w:p w14:paraId="6CF18C05" w14:textId="77777777" w:rsidR="00CB22C7" w:rsidRDefault="00CB22C7" w:rsidP="00CB22C7">
      <w:pPr>
        <w:spacing w:after="0"/>
        <w:jc w:val="both"/>
        <w:rPr>
          <w:lang w:val="fr-FR"/>
        </w:rPr>
      </w:pPr>
      <w:r>
        <w:rPr>
          <w:lang w:val="fr-FR"/>
        </w:rPr>
        <w:t xml:space="preserve">* </w:t>
      </w:r>
      <w:r w:rsidRPr="00544C1F">
        <w:rPr>
          <w:lang w:val="fr-FR"/>
        </w:rPr>
        <w:t xml:space="preserve">coefficients estimés pour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i</m:t>
            </m:r>
          </m:sub>
        </m:sSub>
      </m:oMath>
      <w:r w:rsidRPr="00544C1F">
        <w:rPr>
          <w:lang w:val="fr-FR"/>
        </w:rPr>
        <w:t xml:space="preserve">, </w:t>
      </w: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i</m:t>
            </m:r>
          </m:sub>
        </m:sSub>
      </m:oMath>
      <w:r w:rsidRPr="00544C1F">
        <w:rPr>
          <w:lang w:val="fr-FR"/>
        </w:rPr>
        <w:t xml:space="preserve">, et </w:t>
      </w:r>
      <m:oMath>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i</m:t>
            </m:r>
          </m:sub>
        </m:sSub>
      </m:oMath>
      <w:r w:rsidRPr="00544C1F">
        <w:rPr>
          <w:lang w:val="fr-FR"/>
        </w:rPr>
        <w:t xml:space="preserve"> </w:t>
      </w:r>
    </w:p>
    <w:p w14:paraId="648EEB6F" w14:textId="7C0B30C4" w:rsidR="00CB22C7" w:rsidRDefault="00CB22C7" w:rsidP="00CB22C7">
      <w:pPr>
        <w:jc w:val="both"/>
        <w:rPr>
          <w:lang w:val="fr-FR"/>
        </w:rPr>
      </w:pPr>
      <w:r>
        <w:rPr>
          <w:lang w:val="fr-FR"/>
        </w:rPr>
        <w:t xml:space="preserve">* </w:t>
      </w:r>
      <m:oMath>
        <m:sSup>
          <m:sSupPr>
            <m:ctrlPr>
              <w:rPr>
                <w:rFonts w:ascii="Cambria Math" w:hAnsi="Cambria Math"/>
                <w:i/>
                <w:lang w:val="fr-FR"/>
              </w:rPr>
            </m:ctrlPr>
          </m:sSupPr>
          <m:e>
            <m:r>
              <w:rPr>
                <w:rFonts w:ascii="Cambria Math" w:hAnsi="Cambria Math"/>
                <w:lang w:val="fr-FR"/>
              </w:rPr>
              <m:t>R</m:t>
            </m:r>
          </m:e>
          <m:sup>
            <m:r>
              <w:rPr>
                <w:rFonts w:ascii="Cambria Math" w:hAnsi="Cambria Math"/>
                <w:lang w:val="fr-FR"/>
              </w:rPr>
              <m:t>2</m:t>
            </m:r>
          </m:sup>
        </m:sSup>
      </m:oMath>
      <w:r w:rsidRPr="00544C1F">
        <w:rPr>
          <w:lang w:val="fr-FR"/>
        </w:rPr>
        <w:t xml:space="preserve"> ajusté</w:t>
      </w:r>
    </w:p>
    <w:p w14:paraId="4FF6148D" w14:textId="53D937BD" w:rsidR="00CB22C7" w:rsidRPr="009153EB" w:rsidRDefault="009153EB" w:rsidP="009153EB">
      <w:pPr>
        <w:pStyle w:val="Paragraphedeliste"/>
        <w:numPr>
          <w:ilvl w:val="0"/>
          <w:numId w:val="2"/>
        </w:numPr>
        <w:jc w:val="both"/>
        <w:rPr>
          <w:u w:val="single"/>
          <w:lang w:val="fr-FR"/>
        </w:rPr>
      </w:pPr>
      <w:r w:rsidRPr="009153EB">
        <w:rPr>
          <w:u w:val="single"/>
          <w:lang w:val="fr-FR"/>
        </w:rPr>
        <w:t xml:space="preserve">Long Horizon results </w:t>
      </w:r>
    </w:p>
    <w:p w14:paraId="2DDF2189" w14:textId="2F29920E" w:rsidR="00AF31FF" w:rsidRDefault="00AF31FF" w:rsidP="009153EB">
      <w:pPr>
        <w:jc w:val="both"/>
        <w:rPr>
          <w:lang w:val="fr-FR"/>
        </w:rPr>
      </w:pPr>
      <w:r>
        <w:rPr>
          <w:lang w:val="fr-FR"/>
        </w:rPr>
        <w:t xml:space="preserve">Portefeuille construit </w:t>
      </w:r>
      <w:r w:rsidRPr="00544C1F">
        <w:rPr>
          <w:lang w:val="fr-FR"/>
        </w:rPr>
        <w:t>sur la période de formation du portefeuille de six mois</w:t>
      </w:r>
      <w:r>
        <w:rPr>
          <w:lang w:val="fr-FR"/>
        </w:rPr>
        <w:t xml:space="preserve"> (</w:t>
      </w:r>
      <m:oMath>
        <m:r>
          <w:rPr>
            <w:rFonts w:ascii="Cambria Math" w:hAnsi="Cambria Math"/>
            <w:lang w:val="fr-FR"/>
          </w:rPr>
          <m:t>J=6</m:t>
        </m:r>
      </m:oMath>
      <w:r>
        <w:rPr>
          <w:lang w:val="fr-FR"/>
        </w:rPr>
        <w:t>)</w:t>
      </w:r>
      <w:r w:rsidRPr="00AF31FF">
        <w:rPr>
          <w:lang w:val="fr-FR"/>
        </w:rPr>
        <w:t xml:space="preserve"> </w:t>
      </w:r>
      <w:r>
        <w:rPr>
          <w:lang w:val="fr-FR"/>
        </w:rPr>
        <w:t xml:space="preserve">-&gt; </w:t>
      </w:r>
      <w:r w:rsidRPr="00544C1F">
        <w:rPr>
          <w:lang w:val="fr-FR"/>
        </w:rPr>
        <w:t xml:space="preserve">10 portefeuilles de momentum et trois portefeuilles de volume (10 x 3 </w:t>
      </w:r>
      <w:r>
        <w:rPr>
          <w:lang w:val="fr-FR"/>
        </w:rPr>
        <w:t xml:space="preserve">). </w:t>
      </w:r>
    </w:p>
    <w:p w14:paraId="5381B720" w14:textId="75AAA093" w:rsidR="009153EB" w:rsidRDefault="00AF31FF" w:rsidP="009153EB">
      <w:pPr>
        <w:jc w:val="both"/>
        <w:rPr>
          <w:lang w:val="fr-FR"/>
        </w:rPr>
      </w:pPr>
      <w:r w:rsidRPr="00AF31FF">
        <w:rPr>
          <w:lang w:val="fr-FR"/>
        </w:rPr>
        <w:t xml:space="preserve">Pour corriger l'autocorrélation des observations chevauchantes, on calcul les t-statistiques en utilisant la correction d'autocorrélation de Hansen et Hodrick jusqu'au retard 11. </w:t>
      </w:r>
    </w:p>
    <w:p w14:paraId="6628F1B7" w14:textId="34833644" w:rsidR="00AF31FF" w:rsidRDefault="00AF31FF" w:rsidP="00AF31FF">
      <w:pPr>
        <w:spacing w:after="0"/>
        <w:jc w:val="both"/>
        <w:rPr>
          <w:lang w:val="fr-FR"/>
        </w:rPr>
      </w:pPr>
      <w:r>
        <w:rPr>
          <w:lang w:val="fr-FR"/>
        </w:rPr>
        <w:t>Résultats affichés :</w:t>
      </w:r>
    </w:p>
    <w:p w14:paraId="0AA472D2" w14:textId="56BB02D2" w:rsidR="00AF31FF" w:rsidRDefault="00AF31FF" w:rsidP="00AF31FF">
      <w:pPr>
        <w:jc w:val="both"/>
        <w:rPr>
          <w:lang w:val="fr-FR"/>
        </w:rPr>
      </w:pPr>
      <w:r>
        <w:rPr>
          <w:lang w:val="fr-FR"/>
        </w:rPr>
        <w:t xml:space="preserve">* </w:t>
      </w:r>
      <w:r w:rsidRPr="00544C1F">
        <w:rPr>
          <w:lang w:val="fr-FR"/>
        </w:rPr>
        <w:t xml:space="preserve">rendements annuels </w:t>
      </w:r>
      <w:r>
        <w:rPr>
          <w:lang w:val="fr-FR"/>
        </w:rPr>
        <w:t>(</w:t>
      </w:r>
      <m:oMath>
        <m:r>
          <w:rPr>
            <w:rFonts w:ascii="Cambria Math" w:hAnsi="Cambria Math"/>
            <w:lang w:val="fr-FR"/>
          </w:rPr>
          <m:t>Y∈[1, 2, 3, 4, 5]</m:t>
        </m:r>
      </m:oMath>
      <w:r>
        <w:rPr>
          <w:lang w:val="fr-FR"/>
        </w:rPr>
        <w:t xml:space="preserve">) -&gt; 5 périodes de 12 mois suivant </w:t>
      </w:r>
      <w:r w:rsidRPr="00544C1F">
        <w:rPr>
          <w:lang w:val="fr-FR"/>
        </w:rPr>
        <w:t>la date de formation du portefeuille</w:t>
      </w:r>
    </w:p>
    <w:p w14:paraId="64FCC590" w14:textId="772DF55F" w:rsidR="00AF31FF" w:rsidRDefault="00AF31FF" w:rsidP="00AF31FF">
      <w:pPr>
        <w:jc w:val="both"/>
        <w:rPr>
          <w:lang w:val="fr-FR"/>
        </w:rPr>
      </w:pPr>
      <w:r>
        <w:rPr>
          <w:lang w:val="fr-FR"/>
        </w:rPr>
        <w:t>PAN</w:t>
      </w:r>
      <w:r w:rsidR="004006E2">
        <w:rPr>
          <w:lang w:val="fr-FR"/>
        </w:rPr>
        <w:t>EL</w:t>
      </w:r>
      <w:r>
        <w:rPr>
          <w:lang w:val="fr-FR"/>
        </w:rPr>
        <w:t xml:space="preserve"> A : </w:t>
      </w:r>
      <w:r w:rsidRPr="00544C1F">
        <w:rPr>
          <w:lang w:val="fr-FR"/>
        </w:rPr>
        <w:t>rendements bruts</w:t>
      </w:r>
    </w:p>
    <w:p w14:paraId="64477433" w14:textId="3EB6D285" w:rsidR="00AF31FF" w:rsidRDefault="00AF31FF" w:rsidP="00AF31FF">
      <w:pPr>
        <w:jc w:val="both"/>
        <w:rPr>
          <w:lang w:val="fr-FR"/>
        </w:rPr>
      </w:pPr>
      <w:r>
        <w:rPr>
          <w:lang w:val="fr-FR"/>
        </w:rPr>
        <w:t>PAN</w:t>
      </w:r>
      <w:r w:rsidR="004006E2">
        <w:rPr>
          <w:lang w:val="fr-FR"/>
        </w:rPr>
        <w:t>EL</w:t>
      </w:r>
      <w:r>
        <w:rPr>
          <w:lang w:val="fr-FR"/>
        </w:rPr>
        <w:t xml:space="preserve"> B : </w:t>
      </w:r>
      <w:r w:rsidRPr="00544C1F">
        <w:rPr>
          <w:lang w:val="fr-FR"/>
        </w:rPr>
        <w:t>rendements ajustés en fonction de l'industrie</w:t>
      </w:r>
    </w:p>
    <w:p w14:paraId="4DE1C493" w14:textId="33EAEA9C" w:rsidR="00AF31FF" w:rsidRPr="00544C1F" w:rsidRDefault="00AF31FF" w:rsidP="00AF31FF">
      <w:pPr>
        <w:jc w:val="both"/>
        <w:rPr>
          <w:lang w:val="fr-FR"/>
        </w:rPr>
      </w:pPr>
      <w:r>
        <w:rPr>
          <w:lang w:val="fr-FR"/>
        </w:rPr>
        <w:t>PAN</w:t>
      </w:r>
      <w:r w:rsidR="004006E2">
        <w:rPr>
          <w:lang w:val="fr-FR"/>
        </w:rPr>
        <w:t>EL</w:t>
      </w:r>
      <w:r>
        <w:rPr>
          <w:lang w:val="fr-FR"/>
        </w:rPr>
        <w:t xml:space="preserve"> C : </w:t>
      </w:r>
      <w:r w:rsidRPr="00544C1F">
        <w:rPr>
          <w:lang w:val="fr-FR"/>
        </w:rPr>
        <w:t>rendements ajustés en fonction de la taille</w:t>
      </w:r>
    </w:p>
    <w:p w14:paraId="5D2B8CF6" w14:textId="77777777" w:rsidR="004006E2" w:rsidRDefault="00AF31FF" w:rsidP="00AF31FF">
      <w:pPr>
        <w:jc w:val="both"/>
        <w:rPr>
          <w:lang w:val="fr-FR"/>
        </w:rPr>
      </w:pPr>
      <w:r w:rsidRPr="00544C1F">
        <w:rPr>
          <w:lang w:val="fr-FR"/>
        </w:rPr>
        <w:t>L'ajustement industriel est basé sur 25 portefeuilles industriels pondérés également formés en regroupant les codes SIC à deux chiffres.</w:t>
      </w:r>
    </w:p>
    <w:p w14:paraId="5824080C" w14:textId="05E743A3" w:rsidR="00AF31FF" w:rsidRDefault="00AF31FF" w:rsidP="00AF31FF">
      <w:pPr>
        <w:jc w:val="both"/>
        <w:rPr>
          <w:lang w:val="fr-FR"/>
        </w:rPr>
      </w:pPr>
      <w:r w:rsidRPr="00544C1F">
        <w:rPr>
          <w:lang w:val="fr-FR"/>
        </w:rPr>
        <w:t xml:space="preserve">L'ajustement de taille est basé sur des portefeuilles de déciles de taille </w:t>
      </w:r>
      <w:r w:rsidR="004006E2">
        <w:rPr>
          <w:lang w:val="fr-FR"/>
        </w:rPr>
        <w:t>équi</w:t>
      </w:r>
      <w:r w:rsidRPr="00544C1F">
        <w:rPr>
          <w:lang w:val="fr-FR"/>
        </w:rPr>
        <w:t>pondérés. Les portefeuilles de référence sont formés mensuellement en utilisant toutes les entreprises NYSE0AMEX disponibles à ce moment-là. Le rendement ajusté en fonction du benchmark de chaque entreprise est calculé en soustrayant le rendement annuel du portefeuille de référence approprié du rendement annuel de l'action individuelle. Les rendements annuels des portefeuilles ajustés en fonction du benchmark sont calculés comme une moyenne pondérée également des rendements ajustés des actions individuelles.</w:t>
      </w:r>
    </w:p>
    <w:p w14:paraId="55775E18" w14:textId="78DACCC5" w:rsidR="004006E2" w:rsidRPr="004006E2" w:rsidRDefault="004006E2" w:rsidP="004006E2">
      <w:pPr>
        <w:pStyle w:val="Paragraphedeliste"/>
        <w:numPr>
          <w:ilvl w:val="0"/>
          <w:numId w:val="2"/>
        </w:numPr>
        <w:jc w:val="both"/>
        <w:rPr>
          <w:u w:val="single"/>
          <w:lang w:val="fr-FR"/>
        </w:rPr>
      </w:pPr>
      <w:r w:rsidRPr="004006E2">
        <w:rPr>
          <w:u w:val="single"/>
          <w:lang w:val="fr-FR"/>
        </w:rPr>
        <w:t xml:space="preserve">Price Momentum Reversals </w:t>
      </w:r>
    </w:p>
    <w:p w14:paraId="694AF9B0" w14:textId="31DBAB88" w:rsidR="004006E2" w:rsidRDefault="009F2803" w:rsidP="004006E2">
      <w:pPr>
        <w:jc w:val="both"/>
        <w:rPr>
          <w:lang w:val="fr-FR"/>
        </w:rPr>
      </w:pPr>
      <w:r>
        <w:rPr>
          <w:lang w:val="fr-FR"/>
        </w:rPr>
        <w:t xml:space="preserve">On veut </w:t>
      </w:r>
      <w:r w:rsidR="004006E2" w:rsidRPr="00544C1F">
        <w:rPr>
          <w:lang w:val="fr-FR"/>
        </w:rPr>
        <w:t>compare</w:t>
      </w:r>
      <w:r>
        <w:rPr>
          <w:lang w:val="fr-FR"/>
        </w:rPr>
        <w:t>r</w:t>
      </w:r>
      <w:r w:rsidR="004006E2" w:rsidRPr="00544C1F">
        <w:rPr>
          <w:lang w:val="fr-FR"/>
        </w:rPr>
        <w:t xml:space="preserve"> les rendements annuels de la stratégie simple de momentum des prix (simple) à ceux des stratégies de début de phase (early) et de fin de phase (late).</w:t>
      </w:r>
    </w:p>
    <w:p w14:paraId="4A3EB01B" w14:textId="77777777" w:rsidR="009F2803" w:rsidRDefault="004006E2" w:rsidP="004006E2">
      <w:pPr>
        <w:jc w:val="both"/>
        <w:rPr>
          <w:lang w:val="fr-FR"/>
        </w:rPr>
      </w:pPr>
      <w:r w:rsidRPr="00544C1F">
        <w:rPr>
          <w:lang w:val="fr-FR"/>
        </w:rPr>
        <w:t xml:space="preserve">Les Figures 1 et 2 fournissent des représentations graphiques des rendements de ces trois stratégies en termes de conservation. </w:t>
      </w:r>
    </w:p>
    <w:p w14:paraId="5EDAA706" w14:textId="77777777" w:rsidR="009F2803" w:rsidRDefault="009F2803" w:rsidP="004006E2">
      <w:pPr>
        <w:jc w:val="both"/>
        <w:rPr>
          <w:lang w:val="fr-FR"/>
        </w:rPr>
      </w:pPr>
      <w:r>
        <w:rPr>
          <w:lang w:val="fr-FR"/>
        </w:rPr>
        <w:lastRenderedPageBreak/>
        <w:t xml:space="preserve">FIGURE 1 : </w:t>
      </w:r>
      <w:r w:rsidR="004006E2" w:rsidRPr="00544C1F">
        <w:rPr>
          <w:lang w:val="fr-FR"/>
        </w:rPr>
        <w:t>rendements ajustés pour l'industrie</w:t>
      </w:r>
    </w:p>
    <w:p w14:paraId="5083C137" w14:textId="794B5057" w:rsidR="004006E2" w:rsidRPr="004006E2" w:rsidRDefault="009F2803" w:rsidP="004006E2">
      <w:pPr>
        <w:jc w:val="both"/>
        <w:rPr>
          <w:lang w:val="fr-FR"/>
        </w:rPr>
      </w:pPr>
      <w:r>
        <w:rPr>
          <w:lang w:val="fr-FR"/>
        </w:rPr>
        <w:t xml:space="preserve">FIGURE 2 : </w:t>
      </w:r>
      <w:r w:rsidR="004006E2" w:rsidRPr="00544C1F">
        <w:rPr>
          <w:lang w:val="fr-FR"/>
        </w:rPr>
        <w:t>rendements ajustés pour la taille</w:t>
      </w:r>
      <w:r>
        <w:rPr>
          <w:lang w:val="fr-FR"/>
        </w:rPr>
        <w:t xml:space="preserve"> -&gt; </w:t>
      </w:r>
      <w:r w:rsidR="00110B17">
        <w:rPr>
          <w:rFonts w:eastAsiaTheme="minorEastAsia"/>
          <w:lang w:val="fr-FR"/>
        </w:rPr>
        <w:t xml:space="preserve"> </w:t>
      </w:r>
      <m:oMath>
        <m:r>
          <w:rPr>
            <w:rFonts w:ascii="Cambria Math" w:hAnsi="Cambria Math"/>
            <w:lang w:val="fr-FR"/>
          </w:rPr>
          <m:t>BHA</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m:t>
            </m:r>
          </m:sub>
        </m:sSub>
        <m:r>
          <w:rPr>
            <w:rFonts w:ascii="Cambria Math" w:hAnsi="Cambria Math"/>
            <w:lang w:val="fr-FR"/>
          </w:rPr>
          <m:t xml:space="preserve">= </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T</m:t>
            </m:r>
          </m:sup>
          <m:e>
            <m:d>
              <m:dPr>
                <m:ctrlPr>
                  <w:rPr>
                    <w:rFonts w:ascii="Cambria Math" w:hAnsi="Cambria Math"/>
                    <w:i/>
                    <w:lang w:val="fr-FR"/>
                  </w:rPr>
                </m:ctrlPr>
              </m:dPr>
              <m:e>
                <m:r>
                  <w:rPr>
                    <w:rFonts w:ascii="Cambria Math" w:hAnsi="Cambria Math"/>
                    <w:lang w:val="fr-FR"/>
                  </w:rPr>
                  <m:t>1+</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it</m:t>
                    </m:r>
                  </m:sub>
                </m:sSub>
              </m:e>
            </m:d>
            <m:r>
              <w:rPr>
                <w:rFonts w:ascii="Cambria Math" w:hAnsi="Cambria Math"/>
                <w:lang w:val="fr-FR"/>
              </w:rPr>
              <m:t xml:space="preserve">- </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T</m:t>
                </m:r>
              </m:sup>
              <m:e>
                <m:r>
                  <w:rPr>
                    <w:rFonts w:ascii="Cambria Math" w:hAnsi="Cambria Math"/>
                    <w:lang w:val="fr-FR"/>
                  </w:rPr>
                  <m:t>(1+</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mt</m:t>
                    </m:r>
                  </m:sub>
                </m:sSub>
                <m:r>
                  <w:rPr>
                    <w:rFonts w:ascii="Cambria Math" w:hAnsi="Cambria Math"/>
                    <w:lang w:val="fr-FR"/>
                  </w:rPr>
                  <m:t>)</m:t>
                </m:r>
              </m:e>
            </m:nary>
          </m:e>
        </m:nary>
      </m:oMath>
    </w:p>
    <w:p w14:paraId="4817A355" w14:textId="1C35D847" w:rsidR="00AF31FF" w:rsidRDefault="009F2803" w:rsidP="009153EB">
      <w:pPr>
        <w:jc w:val="both"/>
        <w:rPr>
          <w:lang w:val="fr-FR"/>
        </w:rPr>
      </w:pPr>
      <w:r>
        <w:rPr>
          <w:lang w:val="fr-FR"/>
        </w:rPr>
        <w:t xml:space="preserve">Tableau : </w:t>
      </w:r>
      <w:r w:rsidRPr="00544C1F">
        <w:rPr>
          <w:lang w:val="fr-FR"/>
        </w:rPr>
        <w:t>le coefficient de pente moyen estimé avec divers sous-échantillons</w:t>
      </w:r>
    </w:p>
    <w:p w14:paraId="045B9792" w14:textId="77777777" w:rsidR="00110B17" w:rsidRDefault="00110B17" w:rsidP="009153EB">
      <w:pPr>
        <w:jc w:val="both"/>
        <w:rPr>
          <w:lang w:val="fr-FR"/>
        </w:rPr>
      </w:pPr>
    </w:p>
    <w:p w14:paraId="140473A4" w14:textId="7932035A" w:rsidR="00CB22C7" w:rsidRDefault="009F2803" w:rsidP="00F73E74">
      <w:pPr>
        <w:jc w:val="both"/>
        <w:rPr>
          <w:lang w:val="fr-FR"/>
        </w:rPr>
      </w:pPr>
      <w:r>
        <w:rPr>
          <w:lang w:val="fr-FR"/>
        </w:rPr>
        <w:t xml:space="preserve">Résultats affichés : </w:t>
      </w:r>
      <w:r w:rsidR="00110B17" w:rsidRPr="00544C1F">
        <w:rPr>
          <w:lang w:val="fr-FR"/>
        </w:rPr>
        <w:t>moyenne temporelle des coefficients de pente estimés à partir des régressions croisées Fama-MacBeth mensuelles</w:t>
      </w:r>
      <w:r>
        <w:rPr>
          <w:lang w:val="fr-FR"/>
        </w:rPr>
        <w:t xml:space="preserve"> -&gt;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t+K, i</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K</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K</m:t>
            </m:r>
          </m:sub>
        </m:sSub>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t, i</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t+K, i</m:t>
            </m:r>
          </m:sub>
        </m:sSub>
      </m:oMath>
      <w:r>
        <w:rPr>
          <w:rFonts w:eastAsiaTheme="minorEastAsia"/>
          <w:lang w:val="fr-FR"/>
        </w:rPr>
        <w:t xml:space="preserve"> </w:t>
      </w:r>
      <w:r w:rsidR="00110B17" w:rsidRPr="00544C1F">
        <w:rPr>
          <w:lang w:val="fr-FR"/>
        </w:rPr>
        <w:t xml:space="preserve">l'action </w:t>
      </w:r>
      <m:oMath>
        <m:r>
          <w:rPr>
            <w:rFonts w:ascii="Cambria Math" w:hAnsi="Cambria Math"/>
            <w:lang w:val="fr-FR"/>
          </w:rPr>
          <m:t>i</m:t>
        </m:r>
      </m:oMath>
      <w:r w:rsidR="00110B17" w:rsidRPr="00544C1F">
        <w:rPr>
          <w:lang w:val="fr-FR"/>
        </w:rPr>
        <w:t xml:space="preserve">, </w:t>
      </w:r>
      <m:oMath>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t+K, i</m:t>
            </m:r>
          </m:sub>
        </m:sSub>
      </m:oMath>
      <w:r>
        <w:rPr>
          <w:lang w:val="fr-FR"/>
        </w:rPr>
        <w:t xml:space="preserve"> </w:t>
      </w:r>
      <w:r w:rsidR="00110B17" w:rsidRPr="00544C1F">
        <w:rPr>
          <w:lang w:val="fr-FR"/>
        </w:rPr>
        <w:t xml:space="preserve">le rendement annuel </w:t>
      </w:r>
      <m:oMath>
        <m:r>
          <w:rPr>
            <w:rFonts w:ascii="Cambria Math" w:hAnsi="Cambria Math"/>
            <w:lang w:val="fr-FR"/>
          </w:rPr>
          <m:t xml:space="preserve">K </m:t>
        </m:r>
      </m:oMath>
      <w:r w:rsidR="00110B17" w:rsidRPr="00544C1F">
        <w:rPr>
          <w:lang w:val="fr-FR"/>
        </w:rPr>
        <w:t xml:space="preserve"> années à l'avance, et </w:t>
      </w:r>
      <m:oMath>
        <m:sSub>
          <m:sSubPr>
            <m:ctrlPr>
              <w:rPr>
                <w:rFonts w:ascii="Cambria Math" w:hAnsi="Cambria Math"/>
                <w:i/>
                <w:lang w:val="fr-FR"/>
              </w:rPr>
            </m:ctrlPr>
          </m:sSubPr>
          <m:e>
            <m:r>
              <w:rPr>
                <w:rFonts w:ascii="Cambria Math" w:hAnsi="Cambria Math"/>
                <w:lang w:val="fr-FR"/>
              </w:rPr>
              <m:t>t</m:t>
            </m:r>
          </m:e>
          <m:sub>
            <m:r>
              <w:rPr>
                <w:rFonts w:ascii="Cambria Math" w:hAnsi="Cambria Math"/>
                <w:lang w:val="fr-FR"/>
              </w:rPr>
              <m:t>t, i</m:t>
            </m:r>
          </m:sub>
        </m:sSub>
      </m:oMath>
      <w:r>
        <w:rPr>
          <w:lang w:val="fr-FR"/>
        </w:rPr>
        <w:t xml:space="preserve"> </w:t>
      </w:r>
      <w:r w:rsidR="00110B17" w:rsidRPr="00544C1F">
        <w:rPr>
          <w:lang w:val="fr-FR"/>
        </w:rPr>
        <w:t xml:space="preserve">le rendement de l'année précédente (avant la formation du portefeuille) où </w:t>
      </w:r>
      <m:oMath>
        <m:r>
          <w:rPr>
            <w:rFonts w:ascii="Cambria Math" w:hAnsi="Cambria Math"/>
            <w:lang w:val="fr-FR"/>
          </w:rPr>
          <m:t>K∈</m:t>
        </m:r>
        <m:d>
          <m:dPr>
            <m:begChr m:val="["/>
            <m:endChr m:val="]"/>
            <m:ctrlPr>
              <w:rPr>
                <w:rFonts w:ascii="Cambria Math" w:hAnsi="Cambria Math"/>
                <w:i/>
                <w:lang w:val="fr-FR"/>
              </w:rPr>
            </m:ctrlPr>
          </m:dPr>
          <m:e>
            <m:r>
              <w:rPr>
                <w:rFonts w:ascii="Cambria Math" w:hAnsi="Cambria Math"/>
                <w:lang w:val="fr-FR"/>
              </w:rPr>
              <m:t>1, 2, 3, 4, 5</m:t>
            </m:r>
          </m:e>
        </m:d>
      </m:oMath>
      <w:r>
        <w:rPr>
          <w:lang w:val="fr-FR"/>
        </w:rPr>
        <w:t>.</w:t>
      </w:r>
    </w:p>
    <w:p w14:paraId="3189C922" w14:textId="4F112C63" w:rsidR="009F2803" w:rsidRDefault="009F2803" w:rsidP="00F73E74">
      <w:pPr>
        <w:jc w:val="both"/>
        <w:rPr>
          <w:lang w:val="fr-FR"/>
        </w:rPr>
      </w:pPr>
      <w:r>
        <w:rPr>
          <w:lang w:val="fr-FR"/>
        </w:rPr>
        <w:t>Méthodes : l</w:t>
      </w:r>
      <w:r w:rsidRPr="00544C1F">
        <w:rPr>
          <w:lang w:val="fr-FR"/>
        </w:rPr>
        <w:t xml:space="preserve">a moyenne temporelle de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K</m:t>
            </m:r>
          </m:sub>
        </m:sSub>
      </m:oMath>
      <w:r w:rsidRPr="00544C1F">
        <w:rPr>
          <w:lang w:val="fr-FR"/>
        </w:rPr>
        <w:t xml:space="preserve"> est une estimation de l'autocorrélation moyenne (pour toutes les actions) entre le rendement de l'année précédente et les rendements futurs</w:t>
      </w:r>
      <w:r>
        <w:rPr>
          <w:lang w:val="fr-FR"/>
        </w:rPr>
        <w:t> ; l</w:t>
      </w:r>
      <w:r w:rsidRPr="00544C1F">
        <w:rPr>
          <w:lang w:val="fr-FR"/>
        </w:rPr>
        <w:t>a régression croisée est effectuée chaque mois en utilisant toutes les actions disponibles au début du mois, et les erreurs-types des moyennes temporelles sont calculées en utilisant la correction de Hansen et Hodrick avec 11 retards.</w:t>
      </w:r>
    </w:p>
    <w:p w14:paraId="3DCFC6F5" w14:textId="2B4AE381" w:rsidR="009F2803" w:rsidRDefault="009F2803" w:rsidP="009F2803">
      <w:pPr>
        <w:spacing w:after="0"/>
        <w:jc w:val="both"/>
        <w:rPr>
          <w:lang w:val="fr-FR"/>
        </w:rPr>
      </w:pPr>
      <w:r>
        <w:rPr>
          <w:lang w:val="fr-FR"/>
        </w:rPr>
        <w:t xml:space="preserve">* Colonne 1 : </w:t>
      </w:r>
      <w:r w:rsidRPr="00544C1F">
        <w:rPr>
          <w:lang w:val="fr-FR"/>
        </w:rPr>
        <w:t>concerne toutes les actions,</w:t>
      </w:r>
    </w:p>
    <w:p w14:paraId="5BF029ED" w14:textId="1A001699" w:rsidR="009F2803" w:rsidRDefault="009F2803" w:rsidP="009F2803">
      <w:pPr>
        <w:spacing w:after="0"/>
        <w:jc w:val="both"/>
        <w:rPr>
          <w:lang w:val="fr-FR"/>
        </w:rPr>
      </w:pPr>
      <w:r>
        <w:rPr>
          <w:lang w:val="fr-FR"/>
        </w:rPr>
        <w:t xml:space="preserve">* Colonne </w:t>
      </w:r>
      <w:r w:rsidRPr="00544C1F">
        <w:rPr>
          <w:lang w:val="fr-FR"/>
        </w:rPr>
        <w:t>3</w:t>
      </w:r>
      <w:r>
        <w:rPr>
          <w:lang w:val="fr-FR"/>
        </w:rPr>
        <w:t> :</w:t>
      </w:r>
      <w:r w:rsidRPr="00544C1F">
        <w:rPr>
          <w:lang w:val="fr-FR"/>
        </w:rPr>
        <w:t xml:space="preserve"> seules les actions en début ou en fin de phase, basées sur le volume des échanges passés, sont incluses dans les régressions.</w:t>
      </w:r>
    </w:p>
    <w:p w14:paraId="62A5E5E6" w14:textId="61E1B789" w:rsidR="009F2803" w:rsidRDefault="009F2803" w:rsidP="00F73E74">
      <w:pPr>
        <w:jc w:val="both"/>
        <w:rPr>
          <w:lang w:val="fr-FR"/>
        </w:rPr>
      </w:pPr>
      <w:r>
        <w:rPr>
          <w:lang w:val="fr-FR"/>
        </w:rPr>
        <w:t>* C</w:t>
      </w:r>
      <w:r w:rsidRPr="00544C1F">
        <w:rPr>
          <w:lang w:val="fr-FR"/>
        </w:rPr>
        <w:t>olonnes 5 et 6</w:t>
      </w:r>
      <w:r>
        <w:rPr>
          <w:lang w:val="fr-FR"/>
        </w:rPr>
        <w:t xml:space="preserve"> : </w:t>
      </w:r>
      <w:r w:rsidRPr="00544C1F">
        <w:rPr>
          <w:lang w:val="fr-FR"/>
        </w:rPr>
        <w:t>le même test en utilisant la taille de l'entreprise plutôt que le volume des échanges comme variable conditionnelle.</w:t>
      </w:r>
    </w:p>
    <w:p w14:paraId="15D1FD8F" w14:textId="77777777" w:rsidR="00F73E74" w:rsidRPr="00F73E74" w:rsidRDefault="00F73E74" w:rsidP="00F73E74">
      <w:pPr>
        <w:jc w:val="both"/>
        <w:rPr>
          <w:u w:val="single"/>
          <w:lang w:val="fr-FR"/>
        </w:rPr>
      </w:pPr>
    </w:p>
    <w:p w14:paraId="379DC007" w14:textId="7309AB3E" w:rsidR="007674FC" w:rsidRPr="00FB7E2E" w:rsidRDefault="007674FC" w:rsidP="007674FC">
      <w:pPr>
        <w:pBdr>
          <w:bottom w:val="single" w:sz="4" w:space="1" w:color="000000" w:themeColor="text1"/>
        </w:pBdr>
        <w:jc w:val="center"/>
        <w:rPr>
          <w:b/>
          <w:bCs/>
          <w:lang w:val="fr-FR"/>
        </w:rPr>
      </w:pPr>
      <w:r w:rsidRPr="00FB7E2E">
        <w:rPr>
          <w:b/>
          <w:bCs/>
          <w:lang w:val="fr-FR"/>
        </w:rPr>
        <w:t>Description des différents test</w:t>
      </w:r>
      <w:r>
        <w:rPr>
          <w:b/>
          <w:bCs/>
          <w:lang w:val="fr-FR"/>
        </w:rPr>
        <w:t xml:space="preserve"> (Partie 4) </w:t>
      </w:r>
    </w:p>
    <w:p w14:paraId="39DCA08A" w14:textId="2F9D5161" w:rsidR="007674FC" w:rsidRPr="007674FC" w:rsidRDefault="007674FC" w:rsidP="007674FC">
      <w:pPr>
        <w:pStyle w:val="Paragraphedeliste"/>
        <w:numPr>
          <w:ilvl w:val="0"/>
          <w:numId w:val="4"/>
        </w:numPr>
        <w:jc w:val="both"/>
        <w:rPr>
          <w:u w:val="single"/>
        </w:rPr>
      </w:pPr>
      <w:r w:rsidRPr="007674FC">
        <w:rPr>
          <w:u w:val="single"/>
        </w:rPr>
        <w:t>Volume as a Liquidity Pro</w:t>
      </w:r>
      <w:r>
        <w:rPr>
          <w:u w:val="single"/>
        </w:rPr>
        <w:t xml:space="preserve">xy </w:t>
      </w:r>
    </w:p>
    <w:p w14:paraId="314FA31C" w14:textId="6E6276F4" w:rsidR="009A6506" w:rsidRDefault="009A6506" w:rsidP="009A6506">
      <w:pPr>
        <w:jc w:val="both"/>
        <w:rPr>
          <w:lang w:val="fr-FR"/>
        </w:rPr>
      </w:pPr>
      <w:r>
        <w:rPr>
          <w:lang w:val="fr-FR"/>
        </w:rPr>
        <w:t>= R</w:t>
      </w:r>
      <w:r w:rsidRPr="00544C1F">
        <w:rPr>
          <w:lang w:val="fr-FR"/>
        </w:rPr>
        <w:t>elation entre le volume des échanges (turnover) et d'autres proxies de liquidité</w:t>
      </w:r>
    </w:p>
    <w:p w14:paraId="26459005" w14:textId="3923E687" w:rsidR="009A6506" w:rsidRPr="009A6506" w:rsidRDefault="009A6506" w:rsidP="009A6506">
      <w:pPr>
        <w:jc w:val="both"/>
        <w:rPr>
          <w:lang w:val="fr-FR"/>
        </w:rPr>
      </w:pPr>
      <w:r>
        <w:rPr>
          <w:lang w:val="fr-FR"/>
        </w:rPr>
        <w:t>Utilisation d’une mesure de Turnover : l</w:t>
      </w:r>
      <w:r w:rsidRPr="009A6506">
        <w:rPr>
          <w:lang w:val="fr-FR"/>
        </w:rPr>
        <w:t>e volume quotidien moyen en dollars mis à l'échelle par la capitalisation boursière totale d'une entreprise</w:t>
      </w:r>
      <w:r>
        <w:rPr>
          <w:lang w:val="fr-FR"/>
        </w:rPr>
        <w:t xml:space="preserve"> (division </w:t>
      </w:r>
      <w:r w:rsidRPr="009A6506">
        <w:rPr>
          <w:lang w:val="fr-FR"/>
        </w:rPr>
        <w:t xml:space="preserve">par la taille de l'entreprise </w:t>
      </w:r>
      <w:r>
        <w:rPr>
          <w:lang w:val="fr-FR"/>
        </w:rPr>
        <w:t>pour</w:t>
      </w:r>
      <w:r w:rsidRPr="009A6506">
        <w:rPr>
          <w:lang w:val="fr-FR"/>
        </w:rPr>
        <w:t xml:space="preserve"> ne pas avoir de fortes corrélations avec des proxies de liquidité traditionnels</w:t>
      </w:r>
      <w:r>
        <w:rPr>
          <w:lang w:val="fr-FR"/>
        </w:rPr>
        <w:t>)</w:t>
      </w:r>
      <w:r w:rsidRPr="009A6506">
        <w:rPr>
          <w:lang w:val="fr-FR"/>
        </w:rPr>
        <w:t>.</w:t>
      </w:r>
    </w:p>
    <w:p w14:paraId="6007995C" w14:textId="70D93405" w:rsidR="007674FC" w:rsidRDefault="009A6506" w:rsidP="007674FC">
      <w:pPr>
        <w:jc w:val="both"/>
        <w:rPr>
          <w:lang w:val="fr-FR"/>
        </w:rPr>
      </w:pPr>
      <w:r>
        <w:rPr>
          <w:lang w:val="fr-FR"/>
        </w:rPr>
        <w:t xml:space="preserve">Résultats : </w:t>
      </w:r>
      <w:r w:rsidRPr="00544C1F">
        <w:rPr>
          <w:lang w:val="fr-FR"/>
        </w:rPr>
        <w:t>corrélations de rang de Spearman en coupe transversale du volume des échanges par rapport à la taille de l'entreprise, au prix des actions et à l'écart relatif</w:t>
      </w:r>
      <w:r>
        <w:rPr>
          <w:lang w:val="fr-FR"/>
        </w:rPr>
        <w:t xml:space="preserve">. </w:t>
      </w:r>
    </w:p>
    <w:p w14:paraId="033C9D46" w14:textId="1D8AAA98" w:rsidR="009A6506" w:rsidRDefault="009A6506" w:rsidP="007674FC">
      <w:pPr>
        <w:jc w:val="both"/>
        <w:rPr>
          <w:lang w:val="fr-FR"/>
        </w:rPr>
      </w:pPr>
      <w:r>
        <w:rPr>
          <w:lang w:val="fr-FR"/>
        </w:rPr>
        <w:t xml:space="preserve">Période : </w:t>
      </w:r>
      <w:r w:rsidRPr="00544C1F">
        <w:rPr>
          <w:lang w:val="fr-FR"/>
        </w:rPr>
        <w:t>de 1964 à 1995</w:t>
      </w:r>
      <w:r>
        <w:rPr>
          <w:lang w:val="fr-FR"/>
        </w:rPr>
        <w:t> ;</w:t>
      </w:r>
      <w:r w:rsidRPr="00544C1F">
        <w:rPr>
          <w:lang w:val="fr-FR"/>
        </w:rPr>
        <w:t xml:space="preserve"> sauf pour les résultats de l'écart relatif</w:t>
      </w:r>
      <w:r>
        <w:rPr>
          <w:lang w:val="fr-FR"/>
        </w:rPr>
        <w:t xml:space="preserve"> </w:t>
      </w:r>
      <w:r w:rsidRPr="00544C1F">
        <w:rPr>
          <w:lang w:val="fr-FR"/>
        </w:rPr>
        <w:t>basés sur la période de 1979 à 1989</w:t>
      </w:r>
      <w:r w:rsidR="00A364F4">
        <w:rPr>
          <w:lang w:val="fr-FR"/>
        </w:rPr>
        <w:t xml:space="preserve">. </w:t>
      </w:r>
    </w:p>
    <w:p w14:paraId="3F105001" w14:textId="6583C055" w:rsidR="007674FC" w:rsidRPr="00EE7B44" w:rsidRDefault="00EE7B44" w:rsidP="00EE7B44">
      <w:pPr>
        <w:pStyle w:val="Paragraphedeliste"/>
        <w:numPr>
          <w:ilvl w:val="0"/>
          <w:numId w:val="4"/>
        </w:numPr>
        <w:jc w:val="both"/>
        <w:rPr>
          <w:u w:val="single"/>
        </w:rPr>
      </w:pPr>
      <w:r w:rsidRPr="00EE7B44">
        <w:rPr>
          <w:u w:val="single"/>
        </w:rPr>
        <w:t xml:space="preserve">Firm characteristics related to profitability and under or overvaluation </w:t>
      </w:r>
    </w:p>
    <w:p w14:paraId="445F9B9A" w14:textId="77777777" w:rsidR="00A364F4" w:rsidRDefault="00A364F4" w:rsidP="00A364F4">
      <w:pPr>
        <w:jc w:val="both"/>
        <w:rPr>
          <w:lang w:val="fr-FR"/>
        </w:rPr>
      </w:pPr>
      <w:r>
        <w:rPr>
          <w:lang w:val="fr-FR"/>
        </w:rPr>
        <w:t>T</w:t>
      </w:r>
      <w:r w:rsidRPr="00A364F4">
        <w:rPr>
          <w:lang w:val="fr-FR"/>
        </w:rPr>
        <w:t>ableau IX</w:t>
      </w:r>
      <w:r>
        <w:rPr>
          <w:lang w:val="fr-FR"/>
        </w:rPr>
        <w:t xml:space="preserve"> : </w:t>
      </w:r>
      <w:r w:rsidRPr="00A364F4">
        <w:rPr>
          <w:lang w:val="fr-FR"/>
        </w:rPr>
        <w:t xml:space="preserve">schéma de rentabilité passée et future et les caractéristiques des entreprises qui servent de proxy à la sous- ou surévaluation à travers les portefeuilles à fort et faible volume. </w:t>
      </w:r>
    </w:p>
    <w:p w14:paraId="23E96609" w14:textId="2D3FCAF7" w:rsidR="00A364F4" w:rsidRDefault="00A364F4" w:rsidP="00A364F4">
      <w:pPr>
        <w:jc w:val="both"/>
        <w:rPr>
          <w:lang w:val="fr-FR"/>
        </w:rPr>
      </w:pPr>
      <w:r>
        <w:rPr>
          <w:lang w:val="fr-FR"/>
        </w:rPr>
        <w:t xml:space="preserve">PANEL A : </w:t>
      </w:r>
      <w:r w:rsidRPr="00A364F4">
        <w:rPr>
          <w:lang w:val="fr-FR"/>
        </w:rPr>
        <w:t>résultats lorsque les entreprises sont divisées en 10 portefeuilles de momentum de prix et trois portefeuilles de volume (10 3 3)</w:t>
      </w:r>
    </w:p>
    <w:p w14:paraId="717778CF" w14:textId="77777777" w:rsidR="00A364F4" w:rsidRDefault="00A364F4" w:rsidP="00A364F4">
      <w:pPr>
        <w:jc w:val="both"/>
        <w:rPr>
          <w:lang w:val="fr-FR"/>
        </w:rPr>
      </w:pPr>
      <w:r>
        <w:rPr>
          <w:lang w:val="fr-FR"/>
        </w:rPr>
        <w:t xml:space="preserve">PANEL B : </w:t>
      </w:r>
      <w:r w:rsidRPr="00A364F4">
        <w:rPr>
          <w:lang w:val="fr-FR"/>
        </w:rPr>
        <w:t xml:space="preserve">résultats lorsque les entreprises sont divisées en cinq portefeuilles de momentum de prix et cinq portefeuilles de volume (5 3 5). </w:t>
      </w:r>
    </w:p>
    <w:p w14:paraId="61C6E40E" w14:textId="070B3CB2" w:rsidR="00A364F4" w:rsidRDefault="00A364F4" w:rsidP="00A364F4">
      <w:pPr>
        <w:spacing w:after="0"/>
        <w:jc w:val="both"/>
        <w:rPr>
          <w:lang w:val="fr-FR"/>
        </w:rPr>
      </w:pPr>
      <w:r>
        <w:rPr>
          <w:lang w:val="fr-FR"/>
        </w:rPr>
        <w:t xml:space="preserve">Résultats affichés : </w:t>
      </w:r>
    </w:p>
    <w:p w14:paraId="6D6E0ED7" w14:textId="77777777" w:rsidR="00A364F4" w:rsidRDefault="00A364F4" w:rsidP="00A364F4">
      <w:pPr>
        <w:spacing w:after="0"/>
        <w:jc w:val="both"/>
        <w:rPr>
          <w:lang w:val="fr-FR"/>
        </w:rPr>
      </w:pPr>
      <w:r>
        <w:rPr>
          <w:lang w:val="fr-FR"/>
        </w:rPr>
        <w:t xml:space="preserve">* </w:t>
      </w:r>
      <w:r w:rsidRPr="00A364F4">
        <w:rPr>
          <w:lang w:val="fr-FR"/>
        </w:rPr>
        <w:t>nombre d'analystes suivant l'entreprise (NANA)</w:t>
      </w:r>
    </w:p>
    <w:p w14:paraId="1E24411C" w14:textId="77777777" w:rsidR="00A364F4" w:rsidRDefault="00A364F4" w:rsidP="00A364F4">
      <w:pPr>
        <w:spacing w:after="0"/>
        <w:jc w:val="both"/>
        <w:rPr>
          <w:lang w:val="fr-FR"/>
        </w:rPr>
      </w:pPr>
      <w:r>
        <w:rPr>
          <w:lang w:val="fr-FR"/>
        </w:rPr>
        <w:t xml:space="preserve">* </w:t>
      </w:r>
      <w:r w:rsidRPr="00A364F4">
        <w:rPr>
          <w:lang w:val="fr-FR"/>
        </w:rPr>
        <w:t>taux de croissance des bénéfices à long terme prévu (Ltg)</w:t>
      </w:r>
    </w:p>
    <w:p w14:paraId="6B5C7BE9" w14:textId="2F88DE6B" w:rsidR="00A364F4" w:rsidRDefault="00A364F4" w:rsidP="00A364F4">
      <w:pPr>
        <w:spacing w:after="0"/>
        <w:jc w:val="both"/>
        <w:rPr>
          <w:lang w:val="fr-FR"/>
        </w:rPr>
      </w:pPr>
      <w:r>
        <w:rPr>
          <w:lang w:val="fr-FR"/>
        </w:rPr>
        <w:t xml:space="preserve">* </w:t>
      </w:r>
      <w:r w:rsidRPr="00A364F4">
        <w:rPr>
          <w:lang w:val="fr-FR"/>
        </w:rPr>
        <w:t xml:space="preserve">rendements cumulatifs buy-and-hold </w:t>
      </w:r>
      <w:r>
        <w:rPr>
          <w:lang w:val="fr-FR"/>
        </w:rPr>
        <w:t>sur l</w:t>
      </w:r>
      <w:r w:rsidRPr="00A364F4">
        <w:rPr>
          <w:lang w:val="fr-FR"/>
        </w:rPr>
        <w:t>es cinq années précédant la date de formation du portefeuille (LtRet)</w:t>
      </w:r>
    </w:p>
    <w:p w14:paraId="729E9881" w14:textId="40296B57" w:rsidR="00A364F4" w:rsidRDefault="00A364F4" w:rsidP="00A364F4">
      <w:pPr>
        <w:jc w:val="both"/>
        <w:rPr>
          <w:lang w:val="fr-FR"/>
        </w:rPr>
      </w:pPr>
      <w:r>
        <w:rPr>
          <w:lang w:val="fr-FR"/>
        </w:rPr>
        <w:t>* r</w:t>
      </w:r>
      <w:r w:rsidRPr="00A364F4">
        <w:rPr>
          <w:lang w:val="fr-FR"/>
        </w:rPr>
        <w:t>atio cours/bénéfice juste avant la date de formation du portefeuille (B0M)</w:t>
      </w:r>
    </w:p>
    <w:p w14:paraId="3D81BB0B" w14:textId="77777777" w:rsidR="00A364F4" w:rsidRDefault="00A364F4" w:rsidP="00A364F4">
      <w:pPr>
        <w:jc w:val="both"/>
        <w:rPr>
          <w:lang w:val="fr-FR"/>
        </w:rPr>
      </w:pPr>
      <w:r w:rsidRPr="00A364F4">
        <w:rPr>
          <w:lang w:val="fr-FR"/>
        </w:rPr>
        <w:t>Tableau IX</w:t>
      </w:r>
      <w:r>
        <w:rPr>
          <w:lang w:val="fr-FR"/>
        </w:rPr>
        <w:t xml:space="preserve"> : </w:t>
      </w:r>
      <w:r w:rsidRPr="00A364F4">
        <w:rPr>
          <w:lang w:val="fr-FR"/>
        </w:rPr>
        <w:t xml:space="preserve">rendement des capitaux propres de la dernière année fiscale </w:t>
      </w:r>
      <w:r>
        <w:rPr>
          <w:lang w:val="fr-FR"/>
        </w:rPr>
        <w:t>+</w:t>
      </w:r>
      <w:r w:rsidRPr="00A364F4">
        <w:rPr>
          <w:lang w:val="fr-FR"/>
        </w:rPr>
        <w:t xml:space="preserve"> changement dans le ROE au cours des trois dernières années et des trois prochaines années. </w:t>
      </w:r>
    </w:p>
    <w:p w14:paraId="68CF13F2" w14:textId="77777777" w:rsidR="00F119C3" w:rsidRDefault="00A364F4" w:rsidP="00EE7B44">
      <w:pPr>
        <w:jc w:val="both"/>
        <w:rPr>
          <w:lang w:val="fr-FR"/>
        </w:rPr>
      </w:pPr>
      <w:r>
        <w:rPr>
          <w:lang w:val="fr-FR"/>
        </w:rPr>
        <w:lastRenderedPageBreak/>
        <w:t xml:space="preserve">Résultats affichés : </w:t>
      </w:r>
      <w:r w:rsidRPr="00A364F4">
        <w:rPr>
          <w:lang w:val="fr-FR"/>
        </w:rPr>
        <w:t>moyennes temporelles des médianes des portefeuilles</w:t>
      </w:r>
      <w:r>
        <w:rPr>
          <w:lang w:val="fr-FR"/>
        </w:rPr>
        <w:t xml:space="preserve"> (</w:t>
      </w:r>
      <w:r w:rsidRPr="00A364F4">
        <w:rPr>
          <w:lang w:val="fr-FR"/>
        </w:rPr>
        <w:t>Pour NANA et Ltg</w:t>
      </w:r>
      <w:r>
        <w:rPr>
          <w:lang w:val="fr-FR"/>
        </w:rPr>
        <w:t xml:space="preserve"> -&gt; </w:t>
      </w:r>
      <w:r w:rsidRPr="00A364F4">
        <w:rPr>
          <w:lang w:val="fr-FR"/>
        </w:rPr>
        <w:t>sous-ensemble d'entreprises couvertes par I0B0E0S (période d'échantillonnage de 1979 à 1995)</w:t>
      </w:r>
      <w:r>
        <w:rPr>
          <w:lang w:val="fr-FR"/>
        </w:rPr>
        <w:t>)</w:t>
      </w:r>
    </w:p>
    <w:p w14:paraId="36402CB1" w14:textId="59A6961C" w:rsidR="00F119C3" w:rsidRPr="00A364F4" w:rsidRDefault="00F119C3" w:rsidP="00EE7B44">
      <w:pPr>
        <w:jc w:val="both"/>
        <w:rPr>
          <w:lang w:val="fr-FR"/>
        </w:rPr>
      </w:pPr>
      <w:r w:rsidRPr="00544C1F">
        <w:rPr>
          <w:lang w:val="fr-FR"/>
        </w:rPr>
        <w:t>Figure 3</w:t>
      </w:r>
      <w:r>
        <w:rPr>
          <w:lang w:val="fr-FR"/>
        </w:rPr>
        <w:t xml:space="preserve"> : </w:t>
      </w:r>
      <w:r w:rsidRPr="00544C1F">
        <w:rPr>
          <w:lang w:val="fr-FR"/>
        </w:rPr>
        <w:t>rendement annuel moyen pour divers portefeuilles de volume de l'année -24 à l'année -15 autour de la date de formation du portefeuille</w:t>
      </w:r>
    </w:p>
    <w:p w14:paraId="00D995DF" w14:textId="3FD2DB02" w:rsidR="00EE7B44" w:rsidRPr="00F119C3" w:rsidRDefault="00EE7B44" w:rsidP="00EE7B44">
      <w:pPr>
        <w:pStyle w:val="Paragraphedeliste"/>
        <w:numPr>
          <w:ilvl w:val="0"/>
          <w:numId w:val="4"/>
        </w:numPr>
        <w:jc w:val="both"/>
        <w:rPr>
          <w:u w:val="single"/>
        </w:rPr>
      </w:pPr>
      <w:r w:rsidRPr="00EE7B44">
        <w:rPr>
          <w:u w:val="single"/>
        </w:rPr>
        <w:t xml:space="preserve">Abnormal Returns around Quarterly earnins announcements </w:t>
      </w:r>
    </w:p>
    <w:p w14:paraId="32B8896F" w14:textId="497DFA52" w:rsidR="00F119C3" w:rsidRDefault="0012441D" w:rsidP="00EE7B44">
      <w:pPr>
        <w:jc w:val="both"/>
        <w:rPr>
          <w:lang w:val="fr-FR"/>
        </w:rPr>
      </w:pPr>
      <w:r>
        <w:rPr>
          <w:lang w:val="fr-FR"/>
        </w:rPr>
        <w:t xml:space="preserve">= </w:t>
      </w:r>
      <w:r w:rsidR="00F119C3" w:rsidRPr="00544C1F">
        <w:rPr>
          <w:lang w:val="fr-FR"/>
        </w:rPr>
        <w:t>exam</w:t>
      </w:r>
      <w:r>
        <w:rPr>
          <w:lang w:val="fr-FR"/>
        </w:rPr>
        <w:t>en d</w:t>
      </w:r>
      <w:r w:rsidR="00F119C3" w:rsidRPr="00544C1F">
        <w:rPr>
          <w:lang w:val="fr-FR"/>
        </w:rPr>
        <w:t>es réactions des cours des actions autour des futures annonces trimestrielles de résultats</w:t>
      </w:r>
    </w:p>
    <w:p w14:paraId="2A7F23DD" w14:textId="77777777" w:rsidR="0012441D" w:rsidRDefault="00F119C3" w:rsidP="00EE7B44">
      <w:pPr>
        <w:jc w:val="both"/>
        <w:rPr>
          <w:lang w:val="fr-FR"/>
        </w:rPr>
      </w:pPr>
      <w:r w:rsidRPr="00544C1F">
        <w:rPr>
          <w:lang w:val="fr-FR"/>
        </w:rPr>
        <w:t>Tableau X</w:t>
      </w:r>
      <w:r w:rsidR="0012441D">
        <w:rPr>
          <w:lang w:val="fr-FR"/>
        </w:rPr>
        <w:t xml:space="preserve"> : </w:t>
      </w:r>
      <w:r w:rsidRPr="00544C1F">
        <w:rPr>
          <w:lang w:val="fr-FR"/>
        </w:rPr>
        <w:t xml:space="preserve">rendements anormaux autour des annonces trimestrielles de résultats pour divers portefeuilles basés sur le momentum des prix et le volume d'échange. </w:t>
      </w:r>
    </w:p>
    <w:p w14:paraId="7D4581E5" w14:textId="77777777" w:rsidR="0012441D" w:rsidRDefault="0012441D" w:rsidP="0012441D">
      <w:pPr>
        <w:spacing w:after="0"/>
        <w:jc w:val="both"/>
        <w:rPr>
          <w:lang w:val="fr-FR"/>
        </w:rPr>
      </w:pPr>
      <w:r>
        <w:rPr>
          <w:lang w:val="fr-FR"/>
        </w:rPr>
        <w:t xml:space="preserve">Résultats affichés : </w:t>
      </w:r>
    </w:p>
    <w:p w14:paraId="17E3D6C8" w14:textId="6045C88D" w:rsidR="0012441D" w:rsidRDefault="0012441D" w:rsidP="0012441D">
      <w:pPr>
        <w:spacing w:after="0"/>
        <w:jc w:val="both"/>
        <w:rPr>
          <w:lang w:val="fr-FR"/>
        </w:rPr>
      </w:pPr>
      <w:r>
        <w:rPr>
          <w:lang w:val="fr-FR"/>
        </w:rPr>
        <w:t xml:space="preserve">* </w:t>
      </w:r>
      <w:r w:rsidR="00F119C3" w:rsidRPr="00544C1F">
        <w:rPr>
          <w:lang w:val="fr-FR"/>
        </w:rPr>
        <w:t xml:space="preserve">rendements anormaux cumulatifs </w:t>
      </w:r>
      <w:r w:rsidR="00F119C3">
        <w:rPr>
          <w:lang w:val="fr-FR"/>
        </w:rPr>
        <w:t>(</w:t>
      </w:r>
      <w:r w:rsidR="00F119C3" w:rsidRPr="00544C1F">
        <w:rPr>
          <w:lang w:val="fr-FR"/>
        </w:rPr>
        <w:t>CAR</w:t>
      </w:r>
      <w:r w:rsidR="00F119C3">
        <w:rPr>
          <w:lang w:val="fr-FR"/>
        </w:rPr>
        <w:t>)</w:t>
      </w:r>
      <w:r w:rsidR="00F119C3" w:rsidRPr="00544C1F">
        <w:rPr>
          <w:lang w:val="fr-FR"/>
        </w:rPr>
        <w:t xml:space="preserve"> sur quatre jours </w:t>
      </w:r>
      <w:r w:rsidR="00F119C3">
        <w:rPr>
          <w:lang w:val="fr-FR"/>
        </w:rPr>
        <w:t>(</w:t>
      </w:r>
      <w:r w:rsidR="00F119C3" w:rsidRPr="00544C1F">
        <w:rPr>
          <w:lang w:val="fr-FR"/>
        </w:rPr>
        <w:t>du jour 22 au jour 11</w:t>
      </w:r>
      <w:r w:rsidR="00F119C3">
        <w:rPr>
          <w:lang w:val="fr-FR"/>
        </w:rPr>
        <w:t>)</w:t>
      </w:r>
      <w:r w:rsidR="00F119C3" w:rsidRPr="00544C1F">
        <w:rPr>
          <w:lang w:val="fr-FR"/>
        </w:rPr>
        <w:t xml:space="preserve"> en pourcentage autour des annonces trimestrielles de résultats. Les rendements sont rapportés pour les huit trimestres avant et après la date de l'annonce de résultats la plus récente juste avant la formation du portefeuille. L'indice pondéré en fonction de la valeur NYSE0AMEX0 Nasdaq est utilisé comme référence pour calculer le CAR. </w:t>
      </w:r>
    </w:p>
    <w:p w14:paraId="51E12322" w14:textId="77777777" w:rsidR="0012441D" w:rsidRDefault="0012441D" w:rsidP="00EE7B44">
      <w:pPr>
        <w:jc w:val="both"/>
        <w:rPr>
          <w:lang w:val="fr-FR"/>
        </w:rPr>
      </w:pPr>
      <w:r>
        <w:rPr>
          <w:lang w:val="fr-FR"/>
        </w:rPr>
        <w:t>* t-</w:t>
      </w:r>
      <w:r w:rsidR="00F119C3" w:rsidRPr="00544C1F">
        <w:rPr>
          <w:lang w:val="fr-FR"/>
        </w:rPr>
        <w:t xml:space="preserve">statistiques calculées en utilisant la correction de l'autocorrélation de Hansen et Hodrick avec six retards de moyenne mobile. </w:t>
      </w:r>
    </w:p>
    <w:p w14:paraId="11627AFD" w14:textId="42333295" w:rsidR="00F119C3" w:rsidRPr="00F119C3" w:rsidRDefault="00F119C3" w:rsidP="00EE7B44">
      <w:pPr>
        <w:jc w:val="both"/>
        <w:rPr>
          <w:lang w:val="fr-FR"/>
        </w:rPr>
      </w:pPr>
      <w:r w:rsidRPr="00544C1F">
        <w:rPr>
          <w:lang w:val="fr-FR"/>
        </w:rPr>
        <w:t xml:space="preserve">La stratégie sur six mois </w:t>
      </w:r>
      <w:r>
        <w:rPr>
          <w:lang w:val="fr-FR"/>
        </w:rPr>
        <w:t>(</w:t>
      </w:r>
      <w:r w:rsidRPr="00544C1F">
        <w:rPr>
          <w:lang w:val="fr-FR"/>
        </w:rPr>
        <w:t>J</w:t>
      </w:r>
      <w:r w:rsidR="0012441D">
        <w:rPr>
          <w:lang w:val="fr-FR"/>
        </w:rPr>
        <w:t xml:space="preserve"> =</w:t>
      </w:r>
      <w:r w:rsidRPr="00544C1F">
        <w:rPr>
          <w:lang w:val="fr-FR"/>
        </w:rPr>
        <w:t xml:space="preserve"> 6, K </w:t>
      </w:r>
      <w:r w:rsidR="0012441D">
        <w:rPr>
          <w:lang w:val="fr-FR"/>
        </w:rPr>
        <w:t>=</w:t>
      </w:r>
      <w:r w:rsidRPr="00544C1F">
        <w:rPr>
          <w:lang w:val="fr-FR"/>
        </w:rPr>
        <w:t xml:space="preserve"> 6</w:t>
      </w:r>
      <w:r>
        <w:rPr>
          <w:lang w:val="fr-FR"/>
        </w:rPr>
        <w:t>)</w:t>
      </w:r>
      <w:r w:rsidRPr="00544C1F">
        <w:rPr>
          <w:lang w:val="fr-FR"/>
        </w:rPr>
        <w:t xml:space="preserve"> est présentée.</w:t>
      </w:r>
    </w:p>
    <w:p w14:paraId="0B7AFB0F" w14:textId="5F1F046E" w:rsidR="00EE7B44" w:rsidRPr="00DA50BF" w:rsidRDefault="00EE7B44" w:rsidP="00EE7B44">
      <w:pPr>
        <w:pStyle w:val="Paragraphedeliste"/>
        <w:numPr>
          <w:ilvl w:val="0"/>
          <w:numId w:val="4"/>
        </w:numPr>
        <w:jc w:val="both"/>
        <w:rPr>
          <w:u w:val="single"/>
        </w:rPr>
      </w:pPr>
      <w:r w:rsidRPr="00DA50BF">
        <w:rPr>
          <w:u w:val="single"/>
        </w:rPr>
        <w:t>Changes in Trading Volume</w:t>
      </w:r>
    </w:p>
    <w:p w14:paraId="778948A3" w14:textId="77777777" w:rsidR="00095F3F" w:rsidRDefault="00095F3F" w:rsidP="00EE7B44">
      <w:pPr>
        <w:jc w:val="both"/>
        <w:rPr>
          <w:lang w:val="fr-FR"/>
        </w:rPr>
      </w:pPr>
      <w:r w:rsidRPr="00095F3F">
        <w:rPr>
          <w:lang w:val="fr-FR"/>
        </w:rPr>
        <w:t xml:space="preserve">= </w:t>
      </w:r>
      <w:r w:rsidRPr="00544C1F">
        <w:rPr>
          <w:lang w:val="fr-FR"/>
        </w:rPr>
        <w:t>form</w:t>
      </w:r>
      <w:r>
        <w:rPr>
          <w:lang w:val="fr-FR"/>
        </w:rPr>
        <w:t>ation</w:t>
      </w:r>
      <w:r w:rsidRPr="00544C1F">
        <w:rPr>
          <w:lang w:val="fr-FR"/>
        </w:rPr>
        <w:t xml:space="preserve"> de portefeuille</w:t>
      </w:r>
      <w:r>
        <w:rPr>
          <w:lang w:val="fr-FR"/>
        </w:rPr>
        <w:t>s</w:t>
      </w:r>
      <w:r w:rsidRPr="00544C1F">
        <w:rPr>
          <w:lang w:val="fr-FR"/>
        </w:rPr>
        <w:t xml:space="preserve"> basés sur le momentum des prix et les changements dans le volume de transactions. </w:t>
      </w:r>
    </w:p>
    <w:p w14:paraId="54F3155F" w14:textId="545D24CF" w:rsidR="00095F3F" w:rsidRDefault="00095F3F" w:rsidP="00EE7B44">
      <w:pPr>
        <w:jc w:val="both"/>
        <w:rPr>
          <w:lang w:val="fr-FR"/>
        </w:rPr>
      </w:pPr>
      <w:r w:rsidRPr="00544C1F">
        <w:rPr>
          <w:lang w:val="fr-FR"/>
        </w:rPr>
        <w:t>Tableau XI</w:t>
      </w:r>
      <w:r>
        <w:rPr>
          <w:lang w:val="fr-FR"/>
        </w:rPr>
        <w:t> :</w:t>
      </w:r>
      <w:r w:rsidRPr="00544C1F">
        <w:rPr>
          <w:lang w:val="fr-FR"/>
        </w:rPr>
        <w:t xml:space="preserve"> </w:t>
      </w:r>
      <w:r>
        <w:rPr>
          <w:lang w:val="fr-FR"/>
        </w:rPr>
        <w:t>t</w:t>
      </w:r>
      <w:r w:rsidRPr="00544C1F">
        <w:rPr>
          <w:lang w:val="fr-FR"/>
        </w:rPr>
        <w:t>ests de prédiction de rendement ajusté selon l'industrie</w:t>
      </w:r>
      <w:r>
        <w:rPr>
          <w:lang w:val="fr-FR"/>
        </w:rPr>
        <w:t xml:space="preserve"> (</w:t>
      </w:r>
      <w:r w:rsidRPr="00544C1F">
        <w:rPr>
          <w:lang w:val="fr-FR"/>
        </w:rPr>
        <w:t>remplac</w:t>
      </w:r>
      <w:r>
        <w:rPr>
          <w:lang w:val="fr-FR"/>
        </w:rPr>
        <w:t>ement</w:t>
      </w:r>
      <w:r w:rsidRPr="00544C1F">
        <w:rPr>
          <w:lang w:val="fr-FR"/>
        </w:rPr>
        <w:t xml:space="preserve"> </w:t>
      </w:r>
      <w:r>
        <w:rPr>
          <w:lang w:val="fr-FR"/>
        </w:rPr>
        <w:t>du</w:t>
      </w:r>
      <w:r w:rsidRPr="00544C1F">
        <w:rPr>
          <w:lang w:val="fr-FR"/>
        </w:rPr>
        <w:t xml:space="preserve"> volume de transactions par le changement réel du volume de transactions</w:t>
      </w:r>
      <w:r>
        <w:rPr>
          <w:lang w:val="fr-FR"/>
        </w:rPr>
        <w:t>)</w:t>
      </w:r>
      <w:r w:rsidRPr="00544C1F">
        <w:rPr>
          <w:lang w:val="fr-FR"/>
        </w:rPr>
        <w:t xml:space="preserve">. </w:t>
      </w:r>
      <w:r>
        <w:rPr>
          <w:lang w:val="fr-FR"/>
        </w:rPr>
        <w:t>L</w:t>
      </w:r>
      <w:r w:rsidRPr="00544C1F">
        <w:rPr>
          <w:lang w:val="fr-FR"/>
        </w:rPr>
        <w:t>es entreprises sont triées de manière indépendante en cinq portefeuilles de momentum des prix et cinq portefeuilles basés sur les changements dans le volume de transactions au cours des quatre dernières années.</w:t>
      </w:r>
    </w:p>
    <w:p w14:paraId="2CF4C099" w14:textId="77777777" w:rsidR="00095F3F" w:rsidRDefault="00095F3F" w:rsidP="00095F3F">
      <w:pPr>
        <w:jc w:val="both"/>
        <w:rPr>
          <w:lang w:val="fr-FR"/>
        </w:rPr>
      </w:pPr>
      <w:r w:rsidRPr="00544C1F">
        <w:rPr>
          <w:lang w:val="fr-FR"/>
        </w:rPr>
        <w:t>Table</w:t>
      </w:r>
      <w:r>
        <w:rPr>
          <w:lang w:val="fr-FR"/>
        </w:rPr>
        <w:t>au</w:t>
      </w:r>
      <w:r w:rsidRPr="00544C1F">
        <w:rPr>
          <w:lang w:val="fr-FR"/>
        </w:rPr>
        <w:t xml:space="preserve"> XII</w:t>
      </w:r>
      <w:r>
        <w:rPr>
          <w:lang w:val="fr-FR"/>
        </w:rPr>
        <w:t xml:space="preserve"> : </w:t>
      </w:r>
      <w:r w:rsidRPr="00544C1F">
        <w:rPr>
          <w:lang w:val="fr-FR"/>
        </w:rPr>
        <w:t>compa</w:t>
      </w:r>
      <w:r>
        <w:rPr>
          <w:lang w:val="fr-FR"/>
        </w:rPr>
        <w:t>raison</w:t>
      </w:r>
      <w:r w:rsidRPr="00544C1F">
        <w:rPr>
          <w:lang w:val="fr-FR"/>
        </w:rPr>
        <w:t xml:space="preserve"> </w:t>
      </w:r>
      <w:r>
        <w:rPr>
          <w:lang w:val="fr-FR"/>
        </w:rPr>
        <w:t xml:space="preserve">de </w:t>
      </w:r>
      <w:r w:rsidRPr="00544C1F">
        <w:rPr>
          <w:lang w:val="fr-FR"/>
        </w:rPr>
        <w:t xml:space="preserve">la puissance prédictive des éléments suivants : </w:t>
      </w:r>
      <w:r>
        <w:rPr>
          <w:lang w:val="fr-FR"/>
        </w:rPr>
        <w:t>(</w:t>
      </w:r>
      <w:r w:rsidRPr="00544C1F">
        <w:rPr>
          <w:lang w:val="fr-FR"/>
        </w:rPr>
        <w:t>1</w:t>
      </w:r>
      <w:r>
        <w:rPr>
          <w:lang w:val="fr-FR"/>
        </w:rPr>
        <w:t>)</w:t>
      </w:r>
      <w:r w:rsidRPr="00544C1F">
        <w:rPr>
          <w:lang w:val="fr-FR"/>
        </w:rPr>
        <w:t xml:space="preserve"> le volume moyen de transactions des six derniers mois, </w:t>
      </w:r>
      <w:r>
        <w:rPr>
          <w:lang w:val="fr-FR"/>
        </w:rPr>
        <w:t>(</w:t>
      </w:r>
      <w:r w:rsidRPr="00544C1F">
        <w:rPr>
          <w:lang w:val="fr-FR"/>
        </w:rPr>
        <w:t>2</w:t>
      </w:r>
      <w:r>
        <w:rPr>
          <w:lang w:val="fr-FR"/>
        </w:rPr>
        <w:t>)</w:t>
      </w:r>
      <w:r w:rsidRPr="00544C1F">
        <w:rPr>
          <w:lang w:val="fr-FR"/>
        </w:rPr>
        <w:t xml:space="preserve"> les changements dans le volume de transactions au cours des quatre dernières années, </w:t>
      </w:r>
      <w:r>
        <w:rPr>
          <w:lang w:val="fr-FR"/>
        </w:rPr>
        <w:t>(</w:t>
      </w:r>
      <w:r w:rsidRPr="00544C1F">
        <w:rPr>
          <w:lang w:val="fr-FR"/>
        </w:rPr>
        <w:t>3</w:t>
      </w:r>
      <w:r>
        <w:rPr>
          <w:lang w:val="fr-FR"/>
        </w:rPr>
        <w:t>)</w:t>
      </w:r>
      <w:r w:rsidRPr="00544C1F">
        <w:rPr>
          <w:lang w:val="fr-FR"/>
        </w:rPr>
        <w:t xml:space="preserve"> le volume de transactions retardé de quatre ans. </w:t>
      </w:r>
    </w:p>
    <w:p w14:paraId="1D9940BF" w14:textId="77777777" w:rsidR="00095F3F" w:rsidRDefault="00095F3F" w:rsidP="00095F3F">
      <w:pPr>
        <w:jc w:val="both"/>
        <w:rPr>
          <w:lang w:val="fr-FR"/>
        </w:rPr>
      </w:pPr>
      <w:r>
        <w:rPr>
          <w:lang w:val="fr-FR"/>
        </w:rPr>
        <w:t xml:space="preserve">PANEL A : </w:t>
      </w:r>
      <w:r w:rsidRPr="00544C1F">
        <w:rPr>
          <w:lang w:val="fr-FR"/>
        </w:rPr>
        <w:t>rendements des stratégies précoces et tardives basées sur le volume de transactions des six derniers mois.</w:t>
      </w:r>
    </w:p>
    <w:p w14:paraId="680E0878" w14:textId="15501E26" w:rsidR="00095F3F" w:rsidRDefault="00095F3F" w:rsidP="00095F3F">
      <w:pPr>
        <w:jc w:val="both"/>
        <w:rPr>
          <w:lang w:val="fr-FR"/>
        </w:rPr>
      </w:pPr>
      <w:r>
        <w:rPr>
          <w:lang w:val="fr-FR"/>
        </w:rPr>
        <w:t xml:space="preserve">PANEL B : </w:t>
      </w:r>
      <w:r w:rsidRPr="00544C1F">
        <w:rPr>
          <w:lang w:val="fr-FR"/>
        </w:rPr>
        <w:t xml:space="preserve">résultats pour les changements dans le volume de transactions mesurés par rapport au volume de transactions en année t </w:t>
      </w:r>
      <w:r>
        <w:rPr>
          <w:lang w:val="fr-FR"/>
        </w:rPr>
        <w:t>–</w:t>
      </w:r>
      <w:r w:rsidRPr="00544C1F">
        <w:rPr>
          <w:lang w:val="fr-FR"/>
        </w:rPr>
        <w:t xml:space="preserve"> 4</w:t>
      </w:r>
    </w:p>
    <w:p w14:paraId="4FFE0CEE" w14:textId="0F9D3663" w:rsidR="00095F3F" w:rsidRPr="00544C1F" w:rsidRDefault="00095F3F" w:rsidP="00095F3F">
      <w:pPr>
        <w:jc w:val="both"/>
        <w:rPr>
          <w:lang w:val="fr-FR"/>
        </w:rPr>
      </w:pPr>
      <w:r>
        <w:rPr>
          <w:lang w:val="fr-FR"/>
        </w:rPr>
        <w:t>PANEL</w:t>
      </w:r>
      <w:r w:rsidRPr="00544C1F">
        <w:rPr>
          <w:lang w:val="fr-FR"/>
        </w:rPr>
        <w:t xml:space="preserve"> C</w:t>
      </w:r>
      <w:r>
        <w:rPr>
          <w:lang w:val="fr-FR"/>
        </w:rPr>
        <w:t xml:space="preserve"> : </w:t>
      </w:r>
      <w:r w:rsidRPr="00544C1F">
        <w:rPr>
          <w:lang w:val="fr-FR"/>
        </w:rPr>
        <w:t xml:space="preserve">résultats en n'utilisant que le volume de transactions en année t </w:t>
      </w:r>
      <w:r>
        <w:rPr>
          <w:lang w:val="fr-FR"/>
        </w:rPr>
        <w:t>-</w:t>
      </w:r>
      <w:r w:rsidRPr="00544C1F">
        <w:rPr>
          <w:lang w:val="fr-FR"/>
        </w:rPr>
        <w:t xml:space="preserve"> 4</w:t>
      </w:r>
    </w:p>
    <w:p w14:paraId="523B822E" w14:textId="77777777" w:rsidR="00095F3F" w:rsidRPr="00095F3F" w:rsidRDefault="00095F3F" w:rsidP="00EE7B44">
      <w:pPr>
        <w:jc w:val="both"/>
        <w:rPr>
          <w:lang w:val="fr-FR"/>
        </w:rPr>
      </w:pPr>
    </w:p>
    <w:p w14:paraId="327796B7" w14:textId="722307F6" w:rsidR="00EE7B44" w:rsidRPr="00DA50BF" w:rsidRDefault="00EE7B44" w:rsidP="00EE7B44">
      <w:pPr>
        <w:pStyle w:val="Paragraphedeliste"/>
        <w:numPr>
          <w:ilvl w:val="0"/>
          <w:numId w:val="4"/>
        </w:numPr>
        <w:jc w:val="both"/>
        <w:rPr>
          <w:u w:val="single"/>
        </w:rPr>
      </w:pPr>
      <w:r w:rsidRPr="00DA50BF">
        <w:rPr>
          <w:u w:val="single"/>
        </w:rPr>
        <w:t>Relation to existing behavioral models of under and overreaction</w:t>
      </w:r>
    </w:p>
    <w:p w14:paraId="113BAE85" w14:textId="214EB97E" w:rsidR="00EE7B44" w:rsidRDefault="008A2F42" w:rsidP="00EE7B44">
      <w:pPr>
        <w:jc w:val="both"/>
      </w:pPr>
      <w:r>
        <w:t xml:space="preserve">Revue de literature </w:t>
      </w:r>
    </w:p>
    <w:p w14:paraId="723FC8DA" w14:textId="5B5921AA" w:rsidR="008A2F42" w:rsidRPr="00DA50BF" w:rsidRDefault="008A2F42" w:rsidP="008A2F42">
      <w:pPr>
        <w:pStyle w:val="Paragraphedeliste"/>
        <w:numPr>
          <w:ilvl w:val="0"/>
          <w:numId w:val="4"/>
        </w:numPr>
        <w:jc w:val="both"/>
        <w:rPr>
          <w:u w:val="single"/>
        </w:rPr>
      </w:pPr>
      <w:r w:rsidRPr="00DA50BF">
        <w:rPr>
          <w:u w:val="single"/>
        </w:rPr>
        <w:t xml:space="preserve">Momentum Life Cycle (MLC) </w:t>
      </w:r>
    </w:p>
    <w:p w14:paraId="4D32B555" w14:textId="77777777" w:rsidR="008A2F42" w:rsidRDefault="008A2F42" w:rsidP="008A2F42">
      <w:pPr>
        <w:jc w:val="both"/>
      </w:pPr>
    </w:p>
    <w:p w14:paraId="1D70397E" w14:textId="77777777" w:rsidR="00EE7B44" w:rsidRPr="00EE7B44" w:rsidRDefault="00EE7B44" w:rsidP="00EE7B44">
      <w:pPr>
        <w:jc w:val="both"/>
      </w:pPr>
    </w:p>
    <w:p w14:paraId="0AA2B57D" w14:textId="77777777" w:rsidR="00F73E74" w:rsidRPr="00EE7B44" w:rsidRDefault="00F73E74" w:rsidP="002A0A2C">
      <w:pPr>
        <w:jc w:val="both"/>
      </w:pPr>
    </w:p>
    <w:sectPr w:rsidR="00F73E74" w:rsidRPr="00EE7B44" w:rsidSect="000933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4C9B"/>
    <w:multiLevelType w:val="hybridMultilevel"/>
    <w:tmpl w:val="76D42C58"/>
    <w:lvl w:ilvl="0" w:tplc="AA6C895A">
      <w:start w:val="1"/>
      <w:numFmt w:val="upp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E927BC"/>
    <w:multiLevelType w:val="hybridMultilevel"/>
    <w:tmpl w:val="76D42C58"/>
    <w:lvl w:ilvl="0" w:tplc="FFFFFFFF">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48C7B45"/>
    <w:multiLevelType w:val="hybridMultilevel"/>
    <w:tmpl w:val="67E64D32"/>
    <w:lvl w:ilvl="0" w:tplc="C756BB8C">
      <w:start w:val="5"/>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EE4AEE"/>
    <w:multiLevelType w:val="hybridMultilevel"/>
    <w:tmpl w:val="9782D78A"/>
    <w:lvl w:ilvl="0" w:tplc="8D7A1016">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398602">
    <w:abstractNumId w:val="3"/>
  </w:num>
  <w:num w:numId="2" w16cid:durableId="258030125">
    <w:abstractNumId w:val="0"/>
  </w:num>
  <w:num w:numId="3" w16cid:durableId="977882599">
    <w:abstractNumId w:val="2"/>
  </w:num>
  <w:num w:numId="4" w16cid:durableId="548877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A00B3"/>
    <w:rsid w:val="00093310"/>
    <w:rsid w:val="00095F3F"/>
    <w:rsid w:val="000A1A36"/>
    <w:rsid w:val="00110B17"/>
    <w:rsid w:val="0012441D"/>
    <w:rsid w:val="00125A7B"/>
    <w:rsid w:val="002A0A2C"/>
    <w:rsid w:val="00303EB5"/>
    <w:rsid w:val="004006E2"/>
    <w:rsid w:val="004E5AB8"/>
    <w:rsid w:val="0057352B"/>
    <w:rsid w:val="005B6C85"/>
    <w:rsid w:val="006D6340"/>
    <w:rsid w:val="006F06B0"/>
    <w:rsid w:val="007674FC"/>
    <w:rsid w:val="007A00B3"/>
    <w:rsid w:val="00824474"/>
    <w:rsid w:val="008A2F42"/>
    <w:rsid w:val="008D57F9"/>
    <w:rsid w:val="008F48D6"/>
    <w:rsid w:val="009153EB"/>
    <w:rsid w:val="009A6506"/>
    <w:rsid w:val="009F2803"/>
    <w:rsid w:val="00A03A8C"/>
    <w:rsid w:val="00A364F4"/>
    <w:rsid w:val="00AC1014"/>
    <w:rsid w:val="00AF31FF"/>
    <w:rsid w:val="00B14731"/>
    <w:rsid w:val="00BF1C28"/>
    <w:rsid w:val="00CB22C7"/>
    <w:rsid w:val="00CE087D"/>
    <w:rsid w:val="00D21C91"/>
    <w:rsid w:val="00DA50BF"/>
    <w:rsid w:val="00ED54E2"/>
    <w:rsid w:val="00EE7B44"/>
    <w:rsid w:val="00F119C3"/>
    <w:rsid w:val="00F73E74"/>
    <w:rsid w:val="00F83EA9"/>
    <w:rsid w:val="00FB7E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DE58"/>
  <w15:chartTrackingRefBased/>
  <w15:docId w15:val="{8AE7C2CB-AFA1-4C14-B80A-F56B4D40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A00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A00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A00B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A00B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A00B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A00B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A00B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A00B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A00B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00B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A00B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A00B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A00B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A00B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A00B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A00B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A00B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A00B3"/>
    <w:rPr>
      <w:rFonts w:eastAsiaTheme="majorEastAsia" w:cstheme="majorBidi"/>
      <w:color w:val="272727" w:themeColor="text1" w:themeTint="D8"/>
    </w:rPr>
  </w:style>
  <w:style w:type="paragraph" w:styleId="Titre">
    <w:name w:val="Title"/>
    <w:basedOn w:val="Normal"/>
    <w:next w:val="Normal"/>
    <w:link w:val="TitreCar"/>
    <w:uiPriority w:val="10"/>
    <w:qFormat/>
    <w:rsid w:val="007A0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00B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A00B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A00B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A00B3"/>
    <w:pPr>
      <w:spacing w:before="160"/>
      <w:jc w:val="center"/>
    </w:pPr>
    <w:rPr>
      <w:i/>
      <w:iCs/>
      <w:color w:val="404040" w:themeColor="text1" w:themeTint="BF"/>
    </w:rPr>
  </w:style>
  <w:style w:type="character" w:customStyle="1" w:styleId="CitationCar">
    <w:name w:val="Citation Car"/>
    <w:basedOn w:val="Policepardfaut"/>
    <w:link w:val="Citation"/>
    <w:uiPriority w:val="29"/>
    <w:rsid w:val="007A00B3"/>
    <w:rPr>
      <w:i/>
      <w:iCs/>
      <w:color w:val="404040" w:themeColor="text1" w:themeTint="BF"/>
    </w:rPr>
  </w:style>
  <w:style w:type="paragraph" w:styleId="Paragraphedeliste">
    <w:name w:val="List Paragraph"/>
    <w:basedOn w:val="Normal"/>
    <w:uiPriority w:val="34"/>
    <w:qFormat/>
    <w:rsid w:val="007A00B3"/>
    <w:pPr>
      <w:ind w:left="720"/>
      <w:contextualSpacing/>
    </w:pPr>
  </w:style>
  <w:style w:type="character" w:styleId="Accentuationintense">
    <w:name w:val="Intense Emphasis"/>
    <w:basedOn w:val="Policepardfaut"/>
    <w:uiPriority w:val="21"/>
    <w:qFormat/>
    <w:rsid w:val="007A00B3"/>
    <w:rPr>
      <w:i/>
      <w:iCs/>
      <w:color w:val="2F5496" w:themeColor="accent1" w:themeShade="BF"/>
    </w:rPr>
  </w:style>
  <w:style w:type="paragraph" w:styleId="Citationintense">
    <w:name w:val="Intense Quote"/>
    <w:basedOn w:val="Normal"/>
    <w:next w:val="Normal"/>
    <w:link w:val="CitationintenseCar"/>
    <w:uiPriority w:val="30"/>
    <w:qFormat/>
    <w:rsid w:val="007A00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A00B3"/>
    <w:rPr>
      <w:i/>
      <w:iCs/>
      <w:color w:val="2F5496" w:themeColor="accent1" w:themeShade="BF"/>
    </w:rPr>
  </w:style>
  <w:style w:type="character" w:styleId="Rfrenceintense">
    <w:name w:val="Intense Reference"/>
    <w:basedOn w:val="Policepardfaut"/>
    <w:uiPriority w:val="32"/>
    <w:qFormat/>
    <w:rsid w:val="007A00B3"/>
    <w:rPr>
      <w:b/>
      <w:bCs/>
      <w:smallCaps/>
      <w:color w:val="2F5496" w:themeColor="accent1" w:themeShade="BF"/>
      <w:spacing w:val="5"/>
    </w:rPr>
  </w:style>
  <w:style w:type="character" w:styleId="Textedelespacerserv">
    <w:name w:val="Placeholder Text"/>
    <w:basedOn w:val="Policepardfaut"/>
    <w:uiPriority w:val="99"/>
    <w:semiHidden/>
    <w:rsid w:val="00BF1C2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2170</Words>
  <Characters>12370</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KIRCH</dc:creator>
  <cp:keywords/>
  <dc:description/>
  <cp:lastModifiedBy>Caroline KIRCH</cp:lastModifiedBy>
  <cp:revision>19</cp:revision>
  <dcterms:created xsi:type="dcterms:W3CDTF">2024-02-11T15:53:00Z</dcterms:created>
  <dcterms:modified xsi:type="dcterms:W3CDTF">2024-02-13T21:06:00Z</dcterms:modified>
</cp:coreProperties>
</file>