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Hackathon Retrospective 2025</w:t>
      </w:r>
    </w:p>
    <w:p>
      <w:r>
        <w:t>This document summarizes the operational outcomes of our annual hackathon.</w:t>
      </w:r>
    </w:p>
    <w:p>
      <w:pPr>
        <w:pStyle w:val="Heading2"/>
      </w:pPr>
      <w:r>
        <w:t>Section 1: General Overview</w:t>
      </w:r>
    </w:p>
    <w:p>
      <w:r>
        <w:t>Total participants exceeded 350 students across 12 departments.</w:t>
      </w:r>
    </w:p>
    <w:p>
      <w:pPr>
        <w:pStyle w:val="Heading2"/>
      </w:pPr>
      <w:r>
        <w:t>Section 2: Operational Delays and Logistics</w:t>
      </w:r>
    </w:p>
    <w:p>
      <w:r>
        <w:t>Last year's event had delays in venue setup and sponsor coordination.</w:t>
      </w:r>
    </w:p>
    <w:p>
      <w:r>
        <w:t>Sponsor coordination had critical delays at the registration desk and booth assignments.</w:t>
      </w:r>
    </w:p>
    <w:p>
      <w:r>
        <w:t>Venue setup took 3 hours because audio-visual systems required custom HDMI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