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200"/>
        <w:jc w:val="center"/>
      </w:pPr>
      <w:r>
        <w:rPr>
          <w:rFonts w:ascii="Arial" w:cs="Arial" w:eastAsia="Arial" w:hAnsi="Arial"/>
          <w:b/>
          <w:bCs/>
          <w:color w:val="1F4E79"/>
          <w:sz w:val="36"/>
          <w:szCs w:val="36"/>
        </w:rPr>
        <w:t xml:space="preserve">NovaPharma Inc.</w:t>
      </w:r>
    </w:p>
    <w:p>
      <w:pPr>
        <w:spacing w:after="100"/>
        <w:jc w:val="center"/>
      </w:pPr>
      <w:r>
        <w:rPr>
          <w:rFonts w:ascii="Arial" w:cs="Arial" w:eastAsia="Arial" w:hAnsi="Arial"/>
          <w:b/>
          <w:bCs/>
          <w:color w:val="1F4E79"/>
          <w:sz w:val="32"/>
          <w:szCs w:val="32"/>
        </w:rPr>
        <w:t xml:space="preserve">Veeva Vault QualityDocs Implementation</w:t>
      </w:r>
    </w:p>
    <w:p>
      <w:pPr>
        <w:spacing w:after="600"/>
        <w:jc w:val="center"/>
      </w:pPr>
      <w:r>
        <w:rPr>
          <w:rFonts w:ascii="Arial" w:cs="Arial" w:eastAsia="Arial" w:hAnsi="Arial"/>
          <w:b/>
          <w:bCs/>
          <w:color w:val="2E75B6"/>
          <w:sz w:val="28"/>
          <w:szCs w:val="28"/>
        </w:rPr>
        <w:t xml:space="preserve">FUNCTIONAL REQUIREMENTS DOCUMENT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D6E4F0" w:color="auto" w:val="clear"/>
          </w:tcPr>
          <w:p>
            <w:r>
              <w:rPr>
                <w:rFonts w:ascii="Arial" w:cs="Arial" w:eastAsia="Arial" w:hAnsi="Arial"/>
                <w:b/>
                <w:bCs/>
                <w:sz w:val="22"/>
                <w:szCs w:val="22"/>
              </w:rPr>
              <w:t xml:space="preserve">Document ID</w:t>
            </w:r>
          </w:p>
        </w:tc>
        <w:tc>
          <w:tcPr>
            <w:tcW w:type="dxa" w:w="5000"/>
          </w:tcPr>
          <w:p>
            <w:r>
              <w:rPr>
                <w:rFonts w:ascii="Arial" w:cs="Arial" w:eastAsia="Arial" w:hAnsi="Arial"/>
                <w:sz w:val="22"/>
                <w:szCs w:val="22"/>
              </w:rPr>
              <w:t xml:space="preserve">NP-VAULT-FRD-001</w:t>
            </w:r>
          </w:p>
        </w:tc>
      </w:tr>
      <w:tr>
        <w:tc>
          <w:tcPr>
            <w:tcW w:type="dxa" w:w="3000"/>
            <w:shd w:fill="D6E4F0" w:color="auto" w:val="clear"/>
          </w:tcPr>
          <w:p>
            <w:r>
              <w:rPr>
                <w:rFonts w:ascii="Arial" w:cs="Arial" w:eastAsia="Arial" w:hAnsi="Arial"/>
                <w:b/>
                <w:bCs/>
                <w:sz w:val="22"/>
                <w:szCs w:val="22"/>
              </w:rPr>
              <w:t xml:space="preserve">Version</w:t>
            </w:r>
          </w:p>
        </w:tc>
        <w:tc>
          <w:tcPr>
            <w:tcW w:type="dxa" w:w="5000"/>
          </w:tcPr>
          <w:p>
            <w:r>
              <w:rPr>
                <w:rFonts w:ascii="Arial" w:cs="Arial" w:eastAsia="Arial" w:hAnsi="Arial"/>
                <w:sz w:val="22"/>
                <w:szCs w:val="22"/>
              </w:rPr>
              <w:t xml:space="preserve">1.0</w:t>
            </w:r>
          </w:p>
        </w:tc>
      </w:tr>
      <w:tr>
        <w:tc>
          <w:tcPr>
            <w:tcW w:type="dxa" w:w="3000"/>
            <w:shd w:fill="D6E4F0" w:color="auto" w:val="clear"/>
          </w:tcPr>
          <w:p>
            <w:r>
              <w:rPr>
                <w:rFonts w:ascii="Arial" w:cs="Arial" w:eastAsia="Arial" w:hAnsi="Arial"/>
                <w:b/>
                <w:bCs/>
                <w:sz w:val="22"/>
                <w:szCs w:val="22"/>
              </w:rPr>
              <w:t xml:space="preserve">Status</w:t>
            </w:r>
          </w:p>
        </w:tc>
        <w:tc>
          <w:tcPr>
            <w:tcW w:type="dxa" w:w="5000"/>
          </w:tcPr>
          <w:p>
            <w:r>
              <w:rPr>
                <w:rFonts w:ascii="Arial" w:cs="Arial" w:eastAsia="Arial" w:hAnsi="Arial"/>
                <w:sz w:val="22"/>
                <w:szCs w:val="22"/>
              </w:rPr>
              <w:t xml:space="preserve">Draft — For Review</w:t>
            </w:r>
          </w:p>
        </w:tc>
      </w:tr>
      <w:tr>
        <w:tc>
          <w:tcPr>
            <w:tcW w:type="dxa" w:w="3000"/>
            <w:shd w:fill="D6E4F0" w:color="auto" w:val="clear"/>
          </w:tcPr>
          <w:p>
            <w:r>
              <w:rPr>
                <w:rFonts w:ascii="Arial" w:cs="Arial" w:eastAsia="Arial" w:hAnsi="Arial"/>
                <w:b/>
                <w:bCs/>
                <w:sz w:val="22"/>
                <w:szCs w:val="22"/>
              </w:rPr>
              <w:t xml:space="preserve">Prepared By</w:t>
            </w:r>
          </w:p>
        </w:tc>
        <w:tc>
          <w:tcPr>
            <w:tcW w:type="dxa" w:w="5000"/>
          </w:tcPr>
          <w:p>
            <w:r>
              <w:rPr>
                <w:rFonts w:ascii="Arial" w:cs="Arial" w:eastAsia="Arial" w:hAnsi="Arial"/>
                <w:sz w:val="22"/>
                <w:szCs w:val="22"/>
              </w:rPr>
              <w:t xml:space="preserve">[Your Name], Veeva Vault Consultant</w:t>
            </w:r>
          </w:p>
        </w:tc>
      </w:tr>
      <w:tr>
        <w:tc>
          <w:tcPr>
            <w:tcW w:type="dxa" w:w="3000"/>
            <w:shd w:fill="D6E4F0" w:color="auto" w:val="clear"/>
          </w:tcPr>
          <w:p>
            <w:r>
              <w:rPr>
                <w:rFonts w:ascii="Arial" w:cs="Arial" w:eastAsia="Arial" w:hAnsi="Arial"/>
                <w:b/>
                <w:bCs/>
                <w:sz w:val="22"/>
                <w:szCs w:val="22"/>
              </w:rPr>
              <w:t xml:space="preserve">Reviewed By</w:t>
            </w:r>
          </w:p>
        </w:tc>
        <w:tc>
          <w:tcPr>
            <w:tcW w:type="dxa" w:w="5000"/>
          </w:tcPr>
          <w:p>
            <w:r>
              <w:rPr>
                <w:rFonts w:ascii="Arial" w:cs="Arial" w:eastAsia="Arial" w:hAnsi="Arial"/>
                <w:sz w:val="22"/>
                <w:szCs w:val="22"/>
              </w:rPr>
              <w:t xml:space="preserve">Quality Systems Manager</w:t>
            </w:r>
          </w:p>
        </w:tc>
      </w:tr>
      <w:tr>
        <w:tc>
          <w:tcPr>
            <w:tcW w:type="dxa" w:w="3000"/>
            <w:shd w:fill="D6E4F0" w:color="auto" w:val="clear"/>
          </w:tcPr>
          <w:p>
            <w:r>
              <w:rPr>
                <w:rFonts w:ascii="Arial" w:cs="Arial" w:eastAsia="Arial" w:hAnsi="Arial"/>
                <w:b/>
                <w:bCs/>
                <w:sz w:val="22"/>
                <w:szCs w:val="22"/>
              </w:rPr>
              <w:t xml:space="preserve">Approved By</w:t>
            </w:r>
          </w:p>
        </w:tc>
        <w:tc>
          <w:tcPr>
            <w:tcW w:type="dxa" w:w="5000"/>
          </w:tcPr>
          <w:p>
            <w:r>
              <w:rPr>
                <w:rFonts w:ascii="Arial" w:cs="Arial" w:eastAsia="Arial" w:hAnsi="Arial"/>
                <w:sz w:val="22"/>
                <w:szCs w:val="22"/>
              </w:rPr>
              <w:t xml:space="preserve">VP Quality</w:t>
            </w:r>
          </w:p>
        </w:tc>
      </w:tr>
      <w:tr>
        <w:tc>
          <w:tcPr>
            <w:tcW w:type="dxa" w:w="3000"/>
            <w:shd w:fill="D6E4F0" w:color="auto" w:val="clear"/>
          </w:tcPr>
          <w:p>
            <w:r>
              <w:rPr>
                <w:rFonts w:ascii="Arial" w:cs="Arial" w:eastAsia="Arial" w:hAnsi="Arial"/>
                <w:b/>
                <w:bCs/>
                <w:sz w:val="22"/>
                <w:szCs w:val="22"/>
              </w:rPr>
              <w:t xml:space="preserve">Date</w:t>
            </w:r>
          </w:p>
        </w:tc>
        <w:tc>
          <w:tcPr>
            <w:tcW w:type="dxa" w:w="5000"/>
          </w:tcPr>
          <w:p>
            <w:r>
              <w:rPr>
                <w:rFonts w:ascii="Arial" w:cs="Arial" w:eastAsia="Arial" w:hAnsi="Arial"/>
                <w:sz w:val="22"/>
                <w:szCs w:val="22"/>
              </w:rPr>
              <w:t xml:space="preserve">September 2026</w:t>
            </w:r>
          </w:p>
        </w:tc>
      </w:tr>
      <w:tr>
        <w:tc>
          <w:tcPr>
            <w:tcW w:type="dxa" w:w="3000"/>
            <w:shd w:fill="D6E4F0" w:color="auto" w:val="clear"/>
          </w:tcPr>
          <w:p>
            <w:r>
              <w:rPr>
                <w:rFonts w:ascii="Arial" w:cs="Arial" w:eastAsia="Arial" w:hAnsi="Arial"/>
                <w:b/>
                <w:bCs/>
                <w:sz w:val="22"/>
                <w:szCs w:val="22"/>
              </w:rPr>
              <w:t xml:space="preserve">Confidentiality</w:t>
            </w:r>
          </w:p>
        </w:tc>
        <w:tc>
          <w:tcPr>
            <w:tcW w:type="dxa" w:w="5000"/>
          </w:tcPr>
          <w:p>
            <w:r>
              <w:rPr>
                <w:rFonts w:ascii="Arial" w:cs="Arial" w:eastAsia="Arial" w:hAnsi="Arial"/>
                <w:sz w:val="22"/>
                <w:szCs w:val="22"/>
              </w:rPr>
              <w:t xml:space="preserve">NovaPharma Confidential</w:t>
            </w:r>
          </w:p>
        </w:tc>
      </w:tr>
    </w:tbl>
    <w:p>
      <w:r>
        <w:br w:type="page"/>
      </w: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Arial" w:cs="Arial" w:eastAsia="Arial" w:hAnsi="Arial"/>
          <w:b/>
          <w:bCs/>
          <w:color w:val="1F4E79"/>
        </w:rPr>
        <w:t xml:space="preserve">1. Introduction</w:t>
      </w:r>
    </w:p>
    <w:p>
      <w:pPr>
        <w:pStyle w:val="Heading2"/>
        <w:spacing w:after="100" w:before="200"/>
      </w:pPr>
      <w:r>
        <w:rPr>
          <w:rFonts w:ascii="Arial" w:cs="Arial" w:eastAsia="Arial" w:hAnsi="Arial"/>
          <w:b/>
          <w:bCs/>
          <w:color w:val="2E75B6"/>
        </w:rPr>
        <w:t xml:space="preserve">1.1 Purpose</w:t>
      </w:r>
    </w:p>
    <w:p>
      <w:pPr>
        <w:spacing w:after="200"/>
      </w:pPr>
      <w:r>
        <w:rPr>
          <w:rFonts w:ascii="Arial" w:cs="Arial" w:eastAsia="Arial" w:hAnsi="Arial"/>
          <w:sz w:val="22"/>
          <w:szCs w:val="22"/>
        </w:rPr>
        <w:t xml:space="preserve">This Functional Requirements Document (FRD) defines the business and functional requirements for the implementation of Veeva Vault QualityDocs at NovaPharma Inc. The document serves as the primary reference for system configuration, validation, and user acceptance testing of the Vault QualityDocs module.</w:t>
      </w:r>
    </w:p>
    <w:p>
      <w:pPr>
        <w:spacing w:after="200"/>
      </w:pPr>
      <w:r>
        <w:rPr>
          <w:rFonts w:ascii="Arial" w:cs="Arial" w:eastAsia="Arial" w:hAnsi="Arial"/>
          <w:sz w:val="22"/>
          <w:szCs w:val="22"/>
        </w:rPr>
        <w:t xml:space="preserve">This document is intended for use by the NovaPharma Quality team, IT department, Veeva implementation consultants, and validation team members involved in the project.</w:t>
      </w:r>
    </w:p>
    <w:p>
      <w:pPr>
        <w:pStyle w:val="Heading2"/>
        <w:spacing w:after="100" w:before="200"/>
      </w:pPr>
      <w:r>
        <w:rPr>
          <w:rFonts w:ascii="Arial" w:cs="Arial" w:eastAsia="Arial" w:hAnsi="Arial"/>
          <w:b/>
          <w:bCs/>
          <w:color w:val="2E75B6"/>
        </w:rPr>
        <w:t xml:space="preserve">1.2 Scope</w:t>
      </w:r>
    </w:p>
    <w:p>
      <w:pPr>
        <w:spacing w:after="200"/>
      </w:pPr>
      <w:r>
        <w:rPr>
          <w:rFonts w:ascii="Arial" w:cs="Arial" w:eastAsia="Arial" w:hAnsi="Arial"/>
          <w:sz w:val="22"/>
          <w:szCs w:val="22"/>
        </w:rPr>
        <w:t xml:space="preserve">The scope of this implementation covers the deployment of Veeva Vault QualityDocs as the enterprise document management system (DMS) for all GxP and quality-related documentation at NovaPharma Inc. The system will replace the current hybrid paper/SharePoint-based document management process.</w:t>
      </w:r>
    </w:p>
    <w:p>
      <w:pPr>
        <w:spacing w:after="100"/>
      </w:pPr>
      <w:r>
        <w:rPr>
          <w:rFonts w:ascii="Arial" w:cs="Arial" w:eastAsia="Arial" w:hAnsi="Arial"/>
          <w:b/>
          <w:bCs/>
          <w:sz w:val="22"/>
          <w:szCs w:val="22"/>
        </w:rPr>
        <w:t xml:space="preserve">In-Scope:</w:t>
      </w:r>
    </w:p>
    <w:p>
      <w:pPr>
        <w:pStyle w:val="ListParagraph"/>
        <w:numPr>
          <w:ilvl w:val="0"/>
          <w:numId w:val="2"/>
        </w:numPr>
        <w:spacing w:after="80"/>
      </w:pPr>
      <w:r>
        <w:rPr>
          <w:rFonts w:ascii="Arial" w:cs="Arial" w:eastAsia="Arial" w:hAnsi="Arial"/>
          <w:sz w:val="22"/>
          <w:szCs w:val="22"/>
        </w:rPr>
        <w:t xml:space="preserve">Configuration of document types, subtypes, and classifications for all quality documentation</w:t>
      </w:r>
    </w:p>
    <w:p>
      <w:pPr>
        <w:pStyle w:val="ListParagraph"/>
        <w:numPr>
          <w:ilvl w:val="0"/>
          <w:numId w:val="2"/>
        </w:numPr>
        <w:spacing w:after="80"/>
      </w:pPr>
      <w:r>
        <w:rPr>
          <w:rFonts w:ascii="Arial" w:cs="Arial" w:eastAsia="Arial" w:hAnsi="Arial"/>
          <w:sz w:val="22"/>
          <w:szCs w:val="22"/>
        </w:rPr>
        <w:t xml:space="preserve">Design and implementation of document lifecycles (GxP Document, Form, Report lifecycles)</w:t>
      </w:r>
    </w:p>
    <w:p>
      <w:pPr>
        <w:pStyle w:val="ListParagraph"/>
        <w:numPr>
          <w:ilvl w:val="0"/>
          <w:numId w:val="2"/>
        </w:numPr>
        <w:spacing w:after="80"/>
      </w:pPr>
      <w:r>
        <w:rPr>
          <w:rFonts w:ascii="Arial" w:cs="Arial" w:eastAsia="Arial" w:hAnsi="Arial"/>
          <w:sz w:val="22"/>
          <w:szCs w:val="22"/>
        </w:rPr>
        <w:t xml:space="preserve">Workflow configuration for review, approval, periodic review, and change control processes</w:t>
      </w:r>
    </w:p>
    <w:p>
      <w:pPr>
        <w:pStyle w:val="ListParagraph"/>
        <w:numPr>
          <w:ilvl w:val="0"/>
          <w:numId w:val="2"/>
        </w:numPr>
        <w:spacing w:after="80"/>
      </w:pPr>
      <w:r>
        <w:rPr>
          <w:rFonts w:ascii="Arial" w:cs="Arial" w:eastAsia="Arial" w:hAnsi="Arial"/>
          <w:sz w:val="22"/>
          <w:szCs w:val="22"/>
        </w:rPr>
        <w:t xml:space="preserve">Role-based access control and security configuration compliant with 21 CFR Part 11</w:t>
      </w:r>
    </w:p>
    <w:p>
      <w:pPr>
        <w:pStyle w:val="ListParagraph"/>
        <w:numPr>
          <w:ilvl w:val="0"/>
          <w:numId w:val="2"/>
        </w:numPr>
        <w:spacing w:after="80"/>
      </w:pPr>
      <w:r>
        <w:rPr>
          <w:rFonts w:ascii="Arial" w:cs="Arial" w:eastAsia="Arial" w:hAnsi="Arial"/>
          <w:sz w:val="22"/>
          <w:szCs w:val="22"/>
        </w:rPr>
        <w:t xml:space="preserve">Custom metadata field configuration for document classification and searchability</w:t>
      </w:r>
    </w:p>
    <w:p>
      <w:pPr>
        <w:pStyle w:val="ListParagraph"/>
        <w:numPr>
          <w:ilvl w:val="0"/>
          <w:numId w:val="2"/>
        </w:numPr>
        <w:spacing w:after="80"/>
      </w:pPr>
      <w:r>
        <w:rPr>
          <w:rFonts w:ascii="Arial" w:cs="Arial" w:eastAsia="Arial" w:hAnsi="Arial"/>
          <w:sz w:val="22"/>
          <w:szCs w:val="22"/>
        </w:rPr>
        <w:t xml:space="preserve">User Acceptance Testing (UAT) execution and documentation</w:t>
      </w:r>
    </w:p>
    <w:p>
      <w:pPr>
        <w:pStyle w:val="ListParagraph"/>
        <w:numPr>
          <w:ilvl w:val="0"/>
          <w:numId w:val="2"/>
        </w:numPr>
        <w:spacing w:after="80"/>
      </w:pPr>
      <w:r>
        <w:rPr>
          <w:rFonts w:ascii="Arial" w:cs="Arial" w:eastAsia="Arial" w:hAnsi="Arial"/>
          <w:sz w:val="22"/>
          <w:szCs w:val="22"/>
        </w:rPr>
        <w:t xml:space="preserve">Data migration of approximately 8,000 existing controlled documents from SharePoint</w:t>
      </w:r>
    </w:p>
    <w:p>
      <w:pPr>
        <w:pStyle w:val="ListParagraph"/>
        <w:numPr>
          <w:ilvl w:val="0"/>
          <w:numId w:val="2"/>
        </w:numPr>
        <w:spacing w:after="80"/>
      </w:pPr>
      <w:r>
        <w:rPr>
          <w:rFonts w:ascii="Arial" w:cs="Arial" w:eastAsia="Arial" w:hAnsi="Arial"/>
          <w:sz w:val="22"/>
          <w:szCs w:val="22"/>
        </w:rPr>
        <w:t xml:space="preserve">User training for 150 end users across 4 departments</w:t>
      </w:r>
    </w:p>
    <w:p>
      <w:pPr>
        <w:spacing w:after="100"/>
      </w:pPr>
      <w:r>
        <w:rPr>
          <w:rFonts w:ascii="Arial" w:cs="Arial" w:eastAsia="Arial" w:hAnsi="Arial"/>
          <w:b/>
          <w:bCs/>
          <w:sz w:val="22"/>
          <w:szCs w:val="22"/>
        </w:rPr>
        <w:t xml:space="preserve">Out of Scope:</w:t>
      </w:r>
    </w:p>
    <w:p>
      <w:pPr>
        <w:pStyle w:val="ListParagraph"/>
        <w:numPr>
          <w:ilvl w:val="0"/>
          <w:numId w:val="2"/>
        </w:numPr>
        <w:spacing w:after="80"/>
      </w:pPr>
      <w:r>
        <w:rPr>
          <w:rFonts w:ascii="Arial" w:cs="Arial" w:eastAsia="Arial" w:hAnsi="Arial"/>
          <w:sz w:val="22"/>
          <w:szCs w:val="22"/>
        </w:rPr>
        <w:t xml:space="preserve">Veeva Vault QMS (Quality Management System) module — planned for Phase 2</w:t>
      </w:r>
    </w:p>
    <w:p>
      <w:pPr>
        <w:pStyle w:val="ListParagraph"/>
        <w:numPr>
          <w:ilvl w:val="0"/>
          <w:numId w:val="2"/>
        </w:numPr>
        <w:spacing w:after="80"/>
      </w:pPr>
      <w:r>
        <w:rPr>
          <w:rFonts w:ascii="Arial" w:cs="Arial" w:eastAsia="Arial" w:hAnsi="Arial"/>
          <w:sz w:val="22"/>
          <w:szCs w:val="22"/>
        </w:rPr>
        <w:t xml:space="preserve">Veeva Vault RIM (Regulatory Information Management) — separate project</w:t>
      </w:r>
    </w:p>
    <w:p>
      <w:pPr>
        <w:pStyle w:val="ListParagraph"/>
        <w:numPr>
          <w:ilvl w:val="0"/>
          <w:numId w:val="2"/>
        </w:numPr>
        <w:spacing w:after="80"/>
      </w:pPr>
      <w:r>
        <w:rPr>
          <w:rFonts w:ascii="Arial" w:cs="Arial" w:eastAsia="Arial" w:hAnsi="Arial"/>
          <w:sz w:val="22"/>
          <w:szCs w:val="22"/>
        </w:rPr>
        <w:t xml:space="preserve">Integration with ERP systems (SAP) — future phase</w:t>
      </w:r>
    </w:p>
    <w:p>
      <w:pPr>
        <w:pStyle w:val="ListParagraph"/>
        <w:numPr>
          <w:ilvl w:val="0"/>
          <w:numId w:val="2"/>
        </w:numPr>
        <w:spacing w:after="80"/>
      </w:pPr>
      <w:r>
        <w:rPr>
          <w:rFonts w:ascii="Arial" w:cs="Arial" w:eastAsia="Arial" w:hAnsi="Arial"/>
          <w:sz w:val="22"/>
          <w:szCs w:val="22"/>
        </w:rPr>
        <w:t xml:space="preserve">Non-GxP departmental documents (HR, Finance, Legal) — separate evaluation</w:t>
      </w:r>
    </w:p>
    <w:p>
      <w:pPr>
        <w:pStyle w:val="Heading2"/>
        <w:spacing w:after="100" w:before="200"/>
      </w:pPr>
      <w:r>
        <w:rPr>
          <w:rFonts w:ascii="Arial" w:cs="Arial" w:eastAsia="Arial" w:hAnsi="Arial"/>
          <w:b/>
          <w:bCs/>
          <w:color w:val="2E75B6"/>
        </w:rPr>
        <w:t xml:space="preserve">1.3 Business Background</w:t>
      </w:r>
    </w:p>
    <w:p>
      <w:pPr>
        <w:spacing w:after="200"/>
      </w:pPr>
      <w:r>
        <w:rPr>
          <w:rFonts w:ascii="Arial" w:cs="Arial" w:eastAsia="Arial" w:hAnsi="Arial"/>
          <w:sz w:val="22"/>
          <w:szCs w:val="22"/>
        </w:rPr>
        <w:t xml:space="preserve">NovaPharma Inc. is a mid-size pharmaceutical manufacturer producing oral solid dosage forms and injectable products across two manufacturing sites in New Jersey and a research facility in California. The company currently manages approximately 8,000 controlled documents including SOPs, Work Instructions, Specifications, Forms, and Reports using a combination of SharePoint document libraries and paper-based processes.</w:t>
      </w:r>
    </w:p>
    <w:p>
      <w:pPr>
        <w:spacing w:after="200"/>
      </w:pPr>
      <w:r>
        <w:rPr>
          <w:rFonts w:ascii="Arial" w:cs="Arial" w:eastAsia="Arial" w:hAnsi="Arial"/>
          <w:sz w:val="22"/>
          <w:szCs w:val="22"/>
        </w:rPr>
        <w:t xml:space="preserve">Key business drivers for this implementation include:</w:t>
      </w:r>
    </w:p>
    <w:p>
      <w:pPr>
        <w:pStyle w:val="ListParagraph"/>
        <w:numPr>
          <w:ilvl w:val="0"/>
          <w:numId w:val="2"/>
        </w:numPr>
        <w:spacing w:after="80"/>
      </w:pPr>
      <w:r>
        <w:rPr>
          <w:rFonts w:ascii="Arial" w:cs="Arial" w:eastAsia="Arial" w:hAnsi="Arial"/>
          <w:sz w:val="22"/>
          <w:szCs w:val="22"/>
        </w:rPr>
        <w:t xml:space="preserve">Recent FDA inspection observation (Form 483) citing inadequate document control procedures and inability to demonstrate timely periodic reviews</w:t>
      </w:r>
    </w:p>
    <w:p>
      <w:pPr>
        <w:pStyle w:val="ListParagraph"/>
        <w:numPr>
          <w:ilvl w:val="0"/>
          <w:numId w:val="2"/>
        </w:numPr>
        <w:spacing w:after="80"/>
      </w:pPr>
      <w:r>
        <w:rPr>
          <w:rFonts w:ascii="Arial" w:cs="Arial" w:eastAsia="Arial" w:hAnsi="Arial"/>
          <w:sz w:val="22"/>
          <w:szCs w:val="22"/>
        </w:rPr>
        <w:t xml:space="preserve">Manual, error-prone approval processes resulting in average document approval cycle times of 15-20 business days</w:t>
      </w:r>
    </w:p>
    <w:p>
      <w:pPr>
        <w:pStyle w:val="ListParagraph"/>
        <w:numPr>
          <w:ilvl w:val="0"/>
          <w:numId w:val="2"/>
        </w:numPr>
        <w:spacing w:after="80"/>
      </w:pPr>
      <w:r>
        <w:rPr>
          <w:rFonts w:ascii="Arial" w:cs="Arial" w:eastAsia="Arial" w:hAnsi="Arial"/>
          <w:sz w:val="22"/>
          <w:szCs w:val="22"/>
        </w:rPr>
        <w:t xml:space="preserve">Lack of centralized document repository leading to use of outdated document versions on the manufacturing floor</w:t>
      </w:r>
    </w:p>
    <w:p>
      <w:pPr>
        <w:pStyle w:val="ListParagraph"/>
        <w:numPr>
          <w:ilvl w:val="0"/>
          <w:numId w:val="2"/>
        </w:numPr>
        <w:spacing w:after="80"/>
      </w:pPr>
      <w:r>
        <w:rPr>
          <w:rFonts w:ascii="Arial" w:cs="Arial" w:eastAsia="Arial" w:hAnsi="Arial"/>
          <w:sz w:val="22"/>
          <w:szCs w:val="22"/>
        </w:rPr>
        <w:t xml:space="preserve">Upcoming EU GMP Annex 11 compliance requirements for computerized systems</w:t>
      </w:r>
    </w:p>
    <w:p>
      <w:pPr>
        <w:pStyle w:val="ListParagraph"/>
        <w:numPr>
          <w:ilvl w:val="0"/>
          <w:numId w:val="2"/>
        </w:numPr>
        <w:spacing w:after="80"/>
      </w:pPr>
      <w:r>
        <w:rPr>
          <w:rFonts w:ascii="Arial" w:cs="Arial" w:eastAsia="Arial" w:hAnsi="Arial"/>
          <w:sz w:val="22"/>
          <w:szCs w:val="22"/>
        </w:rPr>
        <w:t xml:space="preserve">Need to support multi-site operations with consistent document control processes</w:t>
      </w:r>
    </w:p>
    <w:p>
      <w:pPr>
        <w:pStyle w:val="Heading2"/>
        <w:spacing w:after="100" w:before="200"/>
      </w:pPr>
      <w:r>
        <w:rPr>
          <w:rFonts w:ascii="Arial" w:cs="Arial" w:eastAsia="Arial" w:hAnsi="Arial"/>
          <w:b/>
          <w:bCs/>
          <w:color w:val="2E75B6"/>
        </w:rPr>
        <w:t xml:space="preserve">1.4 Regulatory Context</w:t>
      </w:r>
    </w:p>
    <w:p>
      <w:pPr>
        <w:spacing w:after="200"/>
      </w:pPr>
      <w:r>
        <w:rPr>
          <w:rFonts w:ascii="Arial" w:cs="Arial" w:eastAsia="Arial" w:hAnsi="Arial"/>
          <w:sz w:val="22"/>
          <w:szCs w:val="22"/>
        </w:rPr>
        <w:t xml:space="preserve">The Vault QualityDocs system must comply with the following regulatory requirements:</w:t>
      </w:r>
    </w:p>
    <w:p>
      <w:pPr>
        <w:pStyle w:val="ListParagraph"/>
        <w:numPr>
          <w:ilvl w:val="0"/>
          <w:numId w:val="2"/>
        </w:numPr>
        <w:spacing w:after="80"/>
      </w:pPr>
      <w:r>
        <w:rPr>
          <w:rFonts w:ascii="Arial" w:cs="Arial" w:eastAsia="Arial" w:hAnsi="Arial"/>
          <w:sz w:val="22"/>
          <w:szCs w:val="22"/>
        </w:rPr>
        <w:t xml:space="preserve">FDA 21 CFR Part 11 — Electronic Records; Electronic Signatures: The system must support compliant electronic signatures with meaning of signature, username/password authentication, and non-repudiation. All electronic records must maintain complete audit trails.</w:t>
      </w:r>
    </w:p>
    <w:p>
      <w:pPr>
        <w:pStyle w:val="ListParagraph"/>
        <w:numPr>
          <w:ilvl w:val="0"/>
          <w:numId w:val="2"/>
        </w:numPr>
        <w:spacing w:after="80"/>
      </w:pPr>
      <w:r>
        <w:rPr>
          <w:rFonts w:ascii="Arial" w:cs="Arial" w:eastAsia="Arial" w:hAnsi="Arial"/>
          <w:sz w:val="22"/>
          <w:szCs w:val="22"/>
        </w:rPr>
        <w:t xml:space="preserve">FDA 21 CFR Part 211 — Current Good Manufacturing Practice: Document control procedures must ensure only current, approved documents are available at points of use.</w:t>
      </w:r>
    </w:p>
    <w:p>
      <w:pPr>
        <w:pStyle w:val="ListParagraph"/>
        <w:numPr>
          <w:ilvl w:val="0"/>
          <w:numId w:val="2"/>
        </w:numPr>
        <w:spacing w:after="80"/>
      </w:pPr>
      <w:r>
        <w:rPr>
          <w:rFonts w:ascii="Arial" w:cs="Arial" w:eastAsia="Arial" w:hAnsi="Arial"/>
          <w:sz w:val="22"/>
          <w:szCs w:val="22"/>
        </w:rPr>
        <w:t xml:space="preserve">ICH Q10 — Pharmaceutical Quality System: The document management system must support a robust pharmaceutical quality system including change management and knowledge management.</w:t>
      </w:r>
    </w:p>
    <w:p>
      <w:pPr>
        <w:pStyle w:val="ListParagraph"/>
        <w:numPr>
          <w:ilvl w:val="0"/>
          <w:numId w:val="2"/>
        </w:numPr>
        <w:spacing w:after="80"/>
      </w:pPr>
      <w:r>
        <w:rPr>
          <w:rFonts w:ascii="Arial" w:cs="Arial" w:eastAsia="Arial" w:hAnsi="Arial"/>
          <w:sz w:val="22"/>
          <w:szCs w:val="22"/>
        </w:rPr>
        <w:t xml:space="preserve">EU GMP Annex 11 — Computerized Systems: The system must be validated according to risk-based approaches and maintain data integrity throughout the document lifecycle.</w:t>
      </w:r>
    </w:p>
    <w:p>
      <w:pPr>
        <w:pStyle w:val="ListParagraph"/>
        <w:numPr>
          <w:ilvl w:val="0"/>
          <w:numId w:val="2"/>
        </w:numPr>
        <w:spacing w:after="80"/>
      </w:pPr>
      <w:r>
        <w:rPr>
          <w:rFonts w:ascii="Arial" w:cs="Arial" w:eastAsia="Arial" w:hAnsi="Arial"/>
          <w:sz w:val="22"/>
          <w:szCs w:val="22"/>
        </w:rPr>
        <w:t xml:space="preserve">GAMP 5 — The system will be validated as a Category 4 (Configured Product) system following GAMP 5 risk-based validation methodology.</w:t>
      </w:r>
    </w:p>
    <w:p>
      <w:r>
        <w:br w:type="page"/>
      </w:r>
    </w:p>
    <w:p>
      <w:pPr>
        <w:pStyle w:val="Heading1"/>
        <w:spacing w:after="200"/>
      </w:pPr>
      <w:r>
        <w:rPr>
          <w:rFonts w:ascii="Arial" w:cs="Arial" w:eastAsia="Arial" w:hAnsi="Arial"/>
          <w:b/>
          <w:bCs/>
          <w:color w:val="1F4E79"/>
        </w:rPr>
        <w:t xml:space="preserve">2. System Overview</w:t>
      </w:r>
    </w:p>
    <w:p>
      <w:pPr>
        <w:pStyle w:val="Heading2"/>
        <w:spacing w:after="100" w:before="200"/>
      </w:pPr>
      <w:r>
        <w:rPr>
          <w:rFonts w:ascii="Arial" w:cs="Arial" w:eastAsia="Arial" w:hAnsi="Arial"/>
          <w:b/>
          <w:bCs/>
          <w:color w:val="2E75B6"/>
        </w:rPr>
        <w:t xml:space="preserve">2.1 System Architecture</w:t>
      </w:r>
    </w:p>
    <w:p>
      <w:pPr>
        <w:spacing w:after="200"/>
      </w:pPr>
      <w:r>
        <w:rPr>
          <w:rFonts w:ascii="Arial" w:cs="Arial" w:eastAsia="Arial" w:hAnsi="Arial"/>
          <w:sz w:val="22"/>
          <w:szCs w:val="22"/>
        </w:rPr>
        <w:t xml:space="preserve">Veeva Vault is a cloud-based, multi-tenant platform hosted and maintained by Veeva Systems. The platform is validated by Veeva as the infrastructure provider, with NovaPharma responsible for configuration-level validation. The system architecture consists of the Vault Platform layer (managed by Veeva), the QualityDocs application layer (configured by the implementation team), and client access via standard web browsers.</w:t>
      </w:r>
    </w:p>
    <w:p>
      <w:pPr>
        <w:pStyle w:val="Heading2"/>
        <w:spacing w:after="100" w:before="200"/>
      </w:pPr>
      <w:r>
        <w:rPr>
          <w:rFonts w:ascii="Arial" w:cs="Arial" w:eastAsia="Arial" w:hAnsi="Arial"/>
          <w:b/>
          <w:bCs/>
          <w:color w:val="2E75B6"/>
        </w:rPr>
        <w:t xml:space="preserve">2.2 Environment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4E79" w:color="auto" w:val="clear"/>
          </w:tcPr>
          <w:p>
            <w:r>
              <w:rPr>
                <w:rFonts w:ascii="Arial" w:cs="Arial" w:eastAsia="Arial" w:hAnsi="Arial"/>
                <w:b/>
                <w:bCs/>
                <w:color w:val="FFFFFF"/>
                <w:sz w:val="20"/>
                <w:szCs w:val="20"/>
              </w:rPr>
              <w:t xml:space="preserve">Environment</w:t>
            </w:r>
          </w:p>
        </w:tc>
        <w:tc>
          <w:tcPr>
            <w:tcW w:type="dxa" w:w="2250"/>
            <w:shd w:fill="1F4E79" w:color="auto" w:val="clear"/>
          </w:tcPr>
          <w:p>
            <w:r>
              <w:rPr>
                <w:rFonts w:ascii="Arial" w:cs="Arial" w:eastAsia="Arial" w:hAnsi="Arial"/>
                <w:b/>
                <w:bCs/>
                <w:color w:val="FFFFFF"/>
                <w:sz w:val="20"/>
                <w:szCs w:val="20"/>
              </w:rPr>
              <w:t xml:space="preserve">Purpose</w:t>
            </w:r>
          </w:p>
        </w:tc>
        <w:tc>
          <w:tcPr>
            <w:tcW w:type="dxa" w:w="2250"/>
            <w:shd w:fill="1F4E79" w:color="auto" w:val="clear"/>
          </w:tcPr>
          <w:p>
            <w:r>
              <w:rPr>
                <w:rFonts w:ascii="Arial" w:cs="Arial" w:eastAsia="Arial" w:hAnsi="Arial"/>
                <w:b/>
                <w:bCs/>
                <w:color w:val="FFFFFF"/>
                <w:sz w:val="20"/>
                <w:szCs w:val="20"/>
              </w:rPr>
              <w:t xml:space="preserve">Data</w:t>
            </w:r>
          </w:p>
        </w:tc>
        <w:tc>
          <w:tcPr>
            <w:tcW w:type="dxa" w:w="2250"/>
            <w:shd w:fill="1F4E79" w:color="auto" w:val="clear"/>
          </w:tcPr>
          <w:p>
            <w:r>
              <w:rPr>
                <w:rFonts w:ascii="Arial" w:cs="Arial" w:eastAsia="Arial" w:hAnsi="Arial"/>
                <w:b/>
                <w:bCs/>
                <w:color w:val="FFFFFF"/>
                <w:sz w:val="20"/>
                <w:szCs w:val="20"/>
              </w:rPr>
              <w:t xml:space="preserve">Access</w:t>
            </w:r>
          </w:p>
        </w:tc>
      </w:tr>
      <w:tr>
        <w:tc>
          <w:tcPr>
            <w:tcW w:type="dxa" w:w="2250"/>
          </w:tcPr>
          <w:p>
            <w:r>
              <w:rPr>
                <w:rFonts w:ascii="Arial" w:cs="Arial" w:eastAsia="Arial" w:hAnsi="Arial"/>
                <w:b w:val="false"/>
                <w:bCs w:val="false"/>
                <w:color w:val="000000"/>
                <w:sz w:val="20"/>
                <w:szCs w:val="20"/>
              </w:rPr>
              <w:t xml:space="preserve">Sandbox</w:t>
            </w:r>
          </w:p>
        </w:tc>
        <w:tc>
          <w:tcPr>
            <w:tcW w:type="dxa" w:w="2250"/>
          </w:tcPr>
          <w:p>
            <w:r>
              <w:rPr>
                <w:rFonts w:ascii="Arial" w:cs="Arial" w:eastAsia="Arial" w:hAnsi="Arial"/>
                <w:b w:val="false"/>
                <w:bCs w:val="false"/>
                <w:color w:val="000000"/>
                <w:sz w:val="20"/>
                <w:szCs w:val="20"/>
              </w:rPr>
              <w:t xml:space="preserve">Development and configuration</w:t>
            </w:r>
          </w:p>
        </w:tc>
        <w:tc>
          <w:tcPr>
            <w:tcW w:type="dxa" w:w="2250"/>
          </w:tcPr>
          <w:p>
            <w:r>
              <w:rPr>
                <w:rFonts w:ascii="Arial" w:cs="Arial" w:eastAsia="Arial" w:hAnsi="Arial"/>
                <w:b w:val="false"/>
                <w:bCs w:val="false"/>
                <w:color w:val="000000"/>
                <w:sz w:val="20"/>
                <w:szCs w:val="20"/>
              </w:rPr>
              <w:t xml:space="preserve">Test data only</w:t>
            </w:r>
          </w:p>
        </w:tc>
        <w:tc>
          <w:tcPr>
            <w:tcW w:type="dxa" w:w="2250"/>
          </w:tcPr>
          <w:p>
            <w:r>
              <w:rPr>
                <w:rFonts w:ascii="Arial" w:cs="Arial" w:eastAsia="Arial" w:hAnsi="Arial"/>
                <w:b w:val="false"/>
                <w:bCs w:val="false"/>
                <w:color w:val="000000"/>
                <w:sz w:val="20"/>
                <w:szCs w:val="20"/>
              </w:rPr>
              <w:t xml:space="preserve">Implementation team</w:t>
            </w:r>
          </w:p>
        </w:tc>
      </w:tr>
      <w:tr>
        <w:tc>
          <w:tcPr>
            <w:tcW w:type="dxa" w:w="2250"/>
          </w:tcPr>
          <w:p>
            <w:r>
              <w:rPr>
                <w:rFonts w:ascii="Arial" w:cs="Arial" w:eastAsia="Arial" w:hAnsi="Arial"/>
                <w:b w:val="false"/>
                <w:bCs w:val="false"/>
                <w:color w:val="000000"/>
                <w:sz w:val="20"/>
                <w:szCs w:val="20"/>
              </w:rPr>
              <w:t xml:space="preserve">Pre-Production (UAT)</w:t>
            </w:r>
          </w:p>
        </w:tc>
        <w:tc>
          <w:tcPr>
            <w:tcW w:type="dxa" w:w="2250"/>
          </w:tcPr>
          <w:p>
            <w:r>
              <w:rPr>
                <w:rFonts w:ascii="Arial" w:cs="Arial" w:eastAsia="Arial" w:hAnsi="Arial"/>
                <w:b w:val="false"/>
                <w:bCs w:val="false"/>
                <w:color w:val="000000"/>
                <w:sz w:val="20"/>
                <w:szCs w:val="20"/>
              </w:rPr>
              <w:t xml:space="preserve">User acceptance testing and validation</w:t>
            </w:r>
          </w:p>
        </w:tc>
        <w:tc>
          <w:tcPr>
            <w:tcW w:type="dxa" w:w="2250"/>
          </w:tcPr>
          <w:p>
            <w:r>
              <w:rPr>
                <w:rFonts w:ascii="Arial" w:cs="Arial" w:eastAsia="Arial" w:hAnsi="Arial"/>
                <w:b w:val="false"/>
                <w:bCs w:val="false"/>
                <w:color w:val="000000"/>
                <w:sz w:val="20"/>
                <w:szCs w:val="20"/>
              </w:rPr>
              <w:t xml:space="preserve">Migrated subset of production data</w:t>
            </w:r>
          </w:p>
        </w:tc>
        <w:tc>
          <w:tcPr>
            <w:tcW w:type="dxa" w:w="2250"/>
          </w:tcPr>
          <w:p>
            <w:r>
              <w:rPr>
                <w:rFonts w:ascii="Arial" w:cs="Arial" w:eastAsia="Arial" w:hAnsi="Arial"/>
                <w:b w:val="false"/>
                <w:bCs w:val="false"/>
                <w:color w:val="000000"/>
                <w:sz w:val="20"/>
                <w:szCs w:val="20"/>
              </w:rPr>
              <w:t xml:space="preserve">Test users and validation team</w:t>
            </w:r>
          </w:p>
        </w:tc>
      </w:tr>
      <w:tr>
        <w:tc>
          <w:tcPr>
            <w:tcW w:type="dxa" w:w="2250"/>
          </w:tcPr>
          <w:p>
            <w:r>
              <w:rPr>
                <w:rFonts w:ascii="Arial" w:cs="Arial" w:eastAsia="Arial" w:hAnsi="Arial"/>
                <w:b w:val="false"/>
                <w:bCs w:val="false"/>
                <w:color w:val="000000"/>
                <w:sz w:val="20"/>
                <w:szCs w:val="20"/>
              </w:rPr>
              <w:t xml:space="preserve">Production</w:t>
            </w:r>
          </w:p>
        </w:tc>
        <w:tc>
          <w:tcPr>
            <w:tcW w:type="dxa" w:w="2250"/>
          </w:tcPr>
          <w:p>
            <w:r>
              <w:rPr>
                <w:rFonts w:ascii="Arial" w:cs="Arial" w:eastAsia="Arial" w:hAnsi="Arial"/>
                <w:b w:val="false"/>
                <w:bCs w:val="false"/>
                <w:color w:val="000000"/>
                <w:sz w:val="20"/>
                <w:szCs w:val="20"/>
              </w:rPr>
              <w:t xml:space="preserve">Live system</w:t>
            </w:r>
          </w:p>
        </w:tc>
        <w:tc>
          <w:tcPr>
            <w:tcW w:type="dxa" w:w="2250"/>
          </w:tcPr>
          <w:p>
            <w:r>
              <w:rPr>
                <w:rFonts w:ascii="Arial" w:cs="Arial" w:eastAsia="Arial" w:hAnsi="Arial"/>
                <w:b w:val="false"/>
                <w:bCs w:val="false"/>
                <w:color w:val="000000"/>
                <w:sz w:val="20"/>
                <w:szCs w:val="20"/>
              </w:rPr>
              <w:t xml:space="preserve">Full production data with migrated documents</w:t>
            </w:r>
          </w:p>
        </w:tc>
        <w:tc>
          <w:tcPr>
            <w:tcW w:type="dxa" w:w="2250"/>
          </w:tcPr>
          <w:p>
            <w:r>
              <w:rPr>
                <w:rFonts w:ascii="Arial" w:cs="Arial" w:eastAsia="Arial" w:hAnsi="Arial"/>
                <w:b w:val="false"/>
                <w:bCs w:val="false"/>
                <w:color w:val="000000"/>
                <w:sz w:val="20"/>
                <w:szCs w:val="20"/>
              </w:rPr>
              <w:t xml:space="preserve">All licensed users</w:t>
            </w:r>
          </w:p>
        </w:tc>
      </w:tr>
    </w:tbl>
    <w:p>
      <w:pPr>
        <w:pStyle w:val="Heading2"/>
        <w:spacing w:after="100" w:before="200"/>
      </w:pPr>
      <w:r>
        <w:rPr>
          <w:rFonts w:ascii="Arial" w:cs="Arial" w:eastAsia="Arial" w:hAnsi="Arial"/>
          <w:b/>
          <w:bCs/>
          <w:color w:val="2E75B6"/>
        </w:rPr>
        <w:t xml:space="preserve">2.3 Integration Points</w:t>
      </w:r>
    </w:p>
    <w:p>
      <w:pPr>
        <w:spacing w:after="200"/>
      </w:pPr>
      <w:r>
        <w:rPr>
          <w:rFonts w:ascii="Arial" w:cs="Arial" w:eastAsia="Arial" w:hAnsi="Arial"/>
          <w:sz w:val="22"/>
          <w:szCs w:val="22"/>
        </w:rPr>
        <w:t xml:space="preserve">Phase 1 integrations are limited to:</w:t>
      </w:r>
    </w:p>
    <w:p>
      <w:pPr>
        <w:pStyle w:val="ListParagraph"/>
        <w:numPr>
          <w:ilvl w:val="0"/>
          <w:numId w:val="2"/>
        </w:numPr>
        <w:spacing w:after="80"/>
      </w:pPr>
      <w:r>
        <w:rPr>
          <w:rFonts w:ascii="Arial" w:cs="Arial" w:eastAsia="Arial" w:hAnsi="Arial"/>
          <w:sz w:val="22"/>
          <w:szCs w:val="22"/>
        </w:rPr>
        <w:t xml:space="preserve">Single Sign-On (SSO) via SAML 2.0 integration with NovaPharma's Active Directory / Azure AD</w:t>
      </w:r>
    </w:p>
    <w:p>
      <w:pPr>
        <w:pStyle w:val="ListParagraph"/>
        <w:numPr>
          <w:ilvl w:val="0"/>
          <w:numId w:val="2"/>
        </w:numPr>
        <w:spacing w:after="80"/>
      </w:pPr>
      <w:r>
        <w:rPr>
          <w:rFonts w:ascii="Arial" w:cs="Arial" w:eastAsia="Arial" w:hAnsi="Arial"/>
          <w:sz w:val="22"/>
          <w:szCs w:val="22"/>
        </w:rPr>
        <w:t xml:space="preserve">Vault Loader for bulk data migration from SharePoint to Vault</w:t>
      </w:r>
    </w:p>
    <w:p>
      <w:pPr>
        <w:pStyle w:val="ListParagraph"/>
        <w:numPr>
          <w:ilvl w:val="0"/>
          <w:numId w:val="2"/>
        </w:numPr>
        <w:spacing w:after="80"/>
      </w:pPr>
      <w:r>
        <w:rPr>
          <w:rFonts w:ascii="Arial" w:cs="Arial" w:eastAsia="Arial" w:hAnsi="Arial"/>
          <w:sz w:val="22"/>
          <w:szCs w:val="22"/>
        </w:rPr>
        <w:t xml:space="preserve">Vault REST API for automated document import during migration cutover</w:t>
      </w:r>
    </w:p>
    <w:p>
      <w:pPr>
        <w:pStyle w:val="ListParagraph"/>
        <w:numPr>
          <w:ilvl w:val="0"/>
          <w:numId w:val="2"/>
        </w:numPr>
        <w:spacing w:after="80"/>
      </w:pPr>
      <w:r>
        <w:rPr>
          <w:rFonts w:ascii="Arial" w:cs="Arial" w:eastAsia="Arial" w:hAnsi="Arial"/>
          <w:sz w:val="22"/>
          <w:szCs w:val="22"/>
        </w:rPr>
        <w:t xml:space="preserve">Email notifications via Vault's built-in notification engine (SMTP relay)</w:t>
      </w:r>
    </w:p>
    <w:p>
      <w:r>
        <w:br w:type="page"/>
      </w:r>
    </w:p>
    <w:p>
      <w:pPr>
        <w:pStyle w:val="Heading1"/>
        <w:spacing w:after="200"/>
      </w:pPr>
      <w:r>
        <w:rPr>
          <w:rFonts w:ascii="Arial" w:cs="Arial" w:eastAsia="Arial" w:hAnsi="Arial"/>
          <w:b/>
          <w:bCs/>
          <w:color w:val="1F4E79"/>
        </w:rPr>
        <w:t xml:space="preserve">3. Functional Requirements</w:t>
      </w:r>
    </w:p>
    <w:p>
      <w:pPr>
        <w:pStyle w:val="Heading2"/>
        <w:spacing w:after="100" w:before="200"/>
      </w:pPr>
      <w:r>
        <w:rPr>
          <w:rFonts w:ascii="Arial" w:cs="Arial" w:eastAsia="Arial" w:hAnsi="Arial"/>
          <w:b/>
          <w:bCs/>
          <w:color w:val="2E75B6"/>
        </w:rPr>
        <w:t xml:space="preserve">3.1 Document Management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000"/>
      </w:tblGrid>
      <w:tr>
        <w:tc>
          <w:tcPr>
            <w:tcW w:type="dxa" w:w="1200"/>
            <w:shd w:fill="1F4E79" w:color="auto" w:val="clear"/>
          </w:tcPr>
          <w:p>
            <w:r>
              <w:rPr>
                <w:rFonts w:ascii="Arial" w:cs="Arial" w:eastAsia="Arial" w:hAnsi="Arial"/>
                <w:b/>
                <w:bCs/>
                <w:color w:val="FFFFFF"/>
                <w:sz w:val="20"/>
                <w:szCs w:val="20"/>
              </w:rPr>
              <w:t xml:space="preserve">Req ID</w:t>
            </w:r>
          </w:p>
        </w:tc>
        <w:tc>
          <w:tcPr>
            <w:tcW w:type="dxa" w:w="800"/>
            <w:shd w:fill="1F4E79" w:color="auto" w:val="clear"/>
          </w:tcPr>
          <w:p>
            <w:r>
              <w:rPr>
                <w:rFonts w:ascii="Arial" w:cs="Arial" w:eastAsia="Arial" w:hAnsi="Arial"/>
                <w:b/>
                <w:bCs/>
                <w:color w:val="FFFFFF"/>
                <w:sz w:val="20"/>
                <w:szCs w:val="20"/>
              </w:rPr>
              <w:t xml:space="preserve">Priority</w:t>
            </w:r>
          </w:p>
        </w:tc>
        <w:tc>
          <w:tcPr>
            <w:tcW w:type="dxa" w:w="7000"/>
            <w:shd w:fill="1F4E79" w:color="auto" w:val="clear"/>
          </w:tcPr>
          <w:p>
            <w:r>
              <w:rPr>
                <w:rFonts w:ascii="Arial" w:cs="Arial" w:eastAsia="Arial" w:hAnsi="Arial"/>
                <w:b/>
                <w:bCs/>
                <w:color w:val="FFFFFF"/>
                <w:sz w:val="20"/>
                <w:szCs w:val="20"/>
              </w:rPr>
              <w:t xml:space="preserve">Requirement Description</w:t>
            </w:r>
          </w:p>
        </w:tc>
      </w:tr>
      <w:tr>
        <w:tc>
          <w:tcPr>
            <w:tcW w:type="dxa" w:w="1200"/>
          </w:tcPr>
          <w:p>
            <w:r>
              <w:rPr>
                <w:rFonts w:ascii="Arial" w:cs="Arial" w:eastAsia="Arial" w:hAnsi="Arial"/>
                <w:b/>
                <w:bCs/>
                <w:sz w:val="20"/>
                <w:szCs w:val="20"/>
              </w:rPr>
              <w:t xml:space="preserve">FR-DM-001</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support creation of controlled documents from predefined document types and subtypes as defined in the Configuration Workbook (NP-VAULT-CW-001).</w:t>
            </w:r>
          </w:p>
        </w:tc>
      </w:tr>
      <w:tr>
        <w:tc>
          <w:tcPr>
            <w:tcW w:type="dxa" w:w="1200"/>
          </w:tcPr>
          <w:p>
            <w:r>
              <w:rPr>
                <w:rFonts w:ascii="Arial" w:cs="Arial" w:eastAsia="Arial" w:hAnsi="Arial"/>
                <w:b/>
                <w:bCs/>
                <w:sz w:val="20"/>
                <w:szCs w:val="20"/>
              </w:rPr>
              <w:t xml:space="preserve">FR-DM-002</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enforce a standardized naming convention for each document type, auto-generating document numbers in the format [TYPE]-[DEPT]-[SEQUENCE]-v[VERSION].</w:t>
            </w:r>
          </w:p>
        </w:tc>
      </w:tr>
      <w:tr>
        <w:tc>
          <w:tcPr>
            <w:tcW w:type="dxa" w:w="1200"/>
          </w:tcPr>
          <w:p>
            <w:r>
              <w:rPr>
                <w:rFonts w:ascii="Arial" w:cs="Arial" w:eastAsia="Arial" w:hAnsi="Arial"/>
                <w:b/>
                <w:bCs/>
                <w:sz w:val="20"/>
                <w:szCs w:val="20"/>
              </w:rPr>
              <w:t xml:space="preserve">FR-DM-003</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maintain full version history for every document, with the ability to view, compare, and download any previous version.</w:t>
            </w:r>
          </w:p>
        </w:tc>
      </w:tr>
      <w:tr>
        <w:tc>
          <w:tcPr>
            <w:tcW w:type="dxa" w:w="1200"/>
          </w:tcPr>
          <w:p>
            <w:r>
              <w:rPr>
                <w:rFonts w:ascii="Arial" w:cs="Arial" w:eastAsia="Arial" w:hAnsi="Arial"/>
                <w:b/>
                <w:bCs/>
                <w:sz w:val="20"/>
                <w:szCs w:val="20"/>
              </w:rPr>
              <w:t xml:space="preserve">FR-DM-004</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support document renditions (PDF) generated automatically upon check-in, ensuring users always access a read-only rendered copy at points of use.</w:t>
            </w:r>
          </w:p>
        </w:tc>
      </w:tr>
      <w:tr>
        <w:tc>
          <w:tcPr>
            <w:tcW w:type="dxa" w:w="1200"/>
          </w:tcPr>
          <w:p>
            <w:r>
              <w:rPr>
                <w:rFonts w:ascii="Arial" w:cs="Arial" w:eastAsia="Arial" w:hAnsi="Arial"/>
                <w:b/>
                <w:bCs/>
                <w:sz w:val="20"/>
                <w:szCs w:val="20"/>
              </w:rPr>
              <w:t xml:space="preserve">FR-DM-005</w:t>
            </w:r>
          </w:p>
        </w:tc>
        <w:tc>
          <w:tcPr>
            <w:tcW w:type="dxa" w:w="800"/>
            <w:shd w:fill="FFF2CC" w:val="clear"/>
          </w:tcPr>
          <w:p>
            <w:r>
              <w:rPr>
                <w:rFonts w:ascii="Arial" w:cs="Arial" w:eastAsia="Arial" w:hAnsi="Arial"/>
                <w:sz w:val="20"/>
                <w:szCs w:val="20"/>
              </w:rPr>
              <w:t xml:space="preserve">Medium</w:t>
            </w:r>
          </w:p>
        </w:tc>
        <w:tc>
          <w:tcPr>
            <w:tcW w:type="dxa" w:w="7000"/>
          </w:tcPr>
          <w:p>
            <w:r>
              <w:rPr>
                <w:rFonts w:ascii="Arial" w:cs="Arial" w:eastAsia="Arial" w:hAnsi="Arial"/>
                <w:sz w:val="20"/>
                <w:szCs w:val="20"/>
              </w:rPr>
              <w:t xml:space="preserve">The system shall support document templates (controlled) from which new documents can be created, inheriting the template's content and formatting.</w:t>
            </w:r>
          </w:p>
        </w:tc>
      </w:tr>
      <w:tr>
        <w:tc>
          <w:tcPr>
            <w:tcW w:type="dxa" w:w="1200"/>
          </w:tcPr>
          <w:p>
            <w:r>
              <w:rPr>
                <w:rFonts w:ascii="Arial" w:cs="Arial" w:eastAsia="Arial" w:hAnsi="Arial"/>
                <w:b/>
                <w:bCs/>
                <w:sz w:val="20"/>
                <w:szCs w:val="20"/>
              </w:rPr>
              <w:t xml:space="preserve">FR-DM-006</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enforce mandatory metadata fields at document creation, preventing save until all required fields are populated.</w:t>
            </w:r>
          </w:p>
        </w:tc>
      </w:tr>
      <w:tr>
        <w:tc>
          <w:tcPr>
            <w:tcW w:type="dxa" w:w="1200"/>
          </w:tcPr>
          <w:p>
            <w:r>
              <w:rPr>
                <w:rFonts w:ascii="Arial" w:cs="Arial" w:eastAsia="Arial" w:hAnsi="Arial"/>
                <w:b/>
                <w:bCs/>
                <w:sz w:val="20"/>
                <w:szCs w:val="20"/>
              </w:rPr>
              <w:t xml:space="preserve">FR-DM-007</w:t>
            </w:r>
          </w:p>
        </w:tc>
        <w:tc>
          <w:tcPr>
            <w:tcW w:type="dxa" w:w="800"/>
            <w:shd w:fill="FFF2CC" w:val="clear"/>
          </w:tcPr>
          <w:p>
            <w:r>
              <w:rPr>
                <w:rFonts w:ascii="Arial" w:cs="Arial" w:eastAsia="Arial" w:hAnsi="Arial"/>
                <w:sz w:val="20"/>
                <w:szCs w:val="20"/>
              </w:rPr>
              <w:t xml:space="preserve">Medium</w:t>
            </w:r>
          </w:p>
        </w:tc>
        <w:tc>
          <w:tcPr>
            <w:tcW w:type="dxa" w:w="7000"/>
          </w:tcPr>
          <w:p>
            <w:r>
              <w:rPr>
                <w:rFonts w:ascii="Arial" w:cs="Arial" w:eastAsia="Arial" w:hAnsi="Arial"/>
                <w:sz w:val="20"/>
                <w:szCs w:val="20"/>
              </w:rPr>
              <w:t xml:space="preserve">The system shall support cross-referencing between related documents, maintaining referential integrity when linked documents are superseded or made obsolete.</w:t>
            </w:r>
          </w:p>
        </w:tc>
      </w:tr>
      <w:tr>
        <w:tc>
          <w:tcPr>
            <w:tcW w:type="dxa" w:w="1200"/>
          </w:tcPr>
          <w:p>
            <w:r>
              <w:rPr>
                <w:rFonts w:ascii="Arial" w:cs="Arial" w:eastAsia="Arial" w:hAnsi="Arial"/>
                <w:b/>
                <w:bCs/>
                <w:sz w:val="20"/>
                <w:szCs w:val="20"/>
              </w:rPr>
              <w:t xml:space="preserve">FR-DM-008</w:t>
            </w:r>
          </w:p>
        </w:tc>
        <w:tc>
          <w:tcPr>
            <w:tcW w:type="dxa" w:w="800"/>
            <w:shd w:fill="C6EFCE" w:val="clear"/>
          </w:tcPr>
          <w:p>
            <w:r>
              <w:rPr>
                <w:rFonts w:ascii="Arial" w:cs="Arial" w:eastAsia="Arial" w:hAnsi="Arial"/>
                <w:sz w:val="20"/>
                <w:szCs w:val="20"/>
              </w:rPr>
              <w:t xml:space="preserve">Low</w:t>
            </w:r>
          </w:p>
        </w:tc>
        <w:tc>
          <w:tcPr>
            <w:tcW w:type="dxa" w:w="7000"/>
          </w:tcPr>
          <w:p>
            <w:r>
              <w:rPr>
                <w:rFonts w:ascii="Arial" w:cs="Arial" w:eastAsia="Arial" w:hAnsi="Arial"/>
                <w:sz w:val="20"/>
                <w:szCs w:val="20"/>
              </w:rPr>
              <w:t xml:space="preserve">The system shall support annotations and in-document comments during review workflows, visible to reviewers without modifying the source document.</w:t>
            </w:r>
          </w:p>
        </w:tc>
      </w:tr>
    </w:tbl>
    <w:p>
      <w:pPr>
        <w:pStyle w:val="Heading2"/>
        <w:spacing w:after="100" w:before="200"/>
      </w:pPr>
      <w:r>
        <w:rPr>
          <w:rFonts w:ascii="Arial" w:cs="Arial" w:eastAsia="Arial" w:hAnsi="Arial"/>
          <w:b/>
          <w:bCs/>
          <w:color w:val="2E75B6"/>
        </w:rPr>
        <w:t xml:space="preserve">3.2 Lifecycle Management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000"/>
      </w:tblGrid>
      <w:tr>
        <w:tc>
          <w:tcPr>
            <w:tcW w:type="dxa" w:w="1200"/>
            <w:shd w:fill="1F4E79" w:color="auto" w:val="clear"/>
          </w:tcPr>
          <w:p>
            <w:r>
              <w:rPr>
                <w:rFonts w:ascii="Arial" w:cs="Arial" w:eastAsia="Arial" w:hAnsi="Arial"/>
                <w:b/>
                <w:bCs/>
                <w:color w:val="FFFFFF"/>
                <w:sz w:val="20"/>
                <w:szCs w:val="20"/>
              </w:rPr>
              <w:t xml:space="preserve">Req ID</w:t>
            </w:r>
          </w:p>
        </w:tc>
        <w:tc>
          <w:tcPr>
            <w:tcW w:type="dxa" w:w="800"/>
            <w:shd w:fill="1F4E79" w:color="auto" w:val="clear"/>
          </w:tcPr>
          <w:p>
            <w:r>
              <w:rPr>
                <w:rFonts w:ascii="Arial" w:cs="Arial" w:eastAsia="Arial" w:hAnsi="Arial"/>
                <w:b/>
                <w:bCs/>
                <w:color w:val="FFFFFF"/>
                <w:sz w:val="20"/>
                <w:szCs w:val="20"/>
              </w:rPr>
              <w:t xml:space="preserve">Priority</w:t>
            </w:r>
          </w:p>
        </w:tc>
        <w:tc>
          <w:tcPr>
            <w:tcW w:type="dxa" w:w="7000"/>
            <w:shd w:fill="1F4E79" w:color="auto" w:val="clear"/>
          </w:tcPr>
          <w:p>
            <w:r>
              <w:rPr>
                <w:rFonts w:ascii="Arial" w:cs="Arial" w:eastAsia="Arial" w:hAnsi="Arial"/>
                <w:b/>
                <w:bCs/>
                <w:color w:val="FFFFFF"/>
                <w:sz w:val="20"/>
                <w:szCs w:val="20"/>
              </w:rPr>
              <w:t xml:space="preserve">Requirement Description</w:t>
            </w:r>
          </w:p>
        </w:tc>
      </w:tr>
      <w:tr>
        <w:tc>
          <w:tcPr>
            <w:tcW w:type="dxa" w:w="1200"/>
          </w:tcPr>
          <w:p>
            <w:r>
              <w:rPr>
                <w:rFonts w:ascii="Arial" w:cs="Arial" w:eastAsia="Arial" w:hAnsi="Arial"/>
                <w:b/>
                <w:bCs/>
                <w:sz w:val="20"/>
                <w:szCs w:val="20"/>
              </w:rPr>
              <w:t xml:space="preserve">FR-LC-001</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implement three document lifecycles (GxP Document, Form, Report) as defined in the Configuration Workbook, with states, transitions, and entry/exit criteria enforced by the system.</w:t>
            </w:r>
          </w:p>
        </w:tc>
      </w:tr>
      <w:tr>
        <w:tc>
          <w:tcPr>
            <w:tcW w:type="dxa" w:w="1200"/>
          </w:tcPr>
          <w:p>
            <w:r>
              <w:rPr>
                <w:rFonts w:ascii="Arial" w:cs="Arial" w:eastAsia="Arial" w:hAnsi="Arial"/>
                <w:b/>
                <w:bCs/>
                <w:sz w:val="20"/>
                <w:szCs w:val="20"/>
              </w:rPr>
              <w:t xml:space="preserve">FR-LC-002</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prevent unauthorized lifecycle state transitions. Only users with the appropriate role and permission may initiate a state change.</w:t>
            </w:r>
          </w:p>
        </w:tc>
      </w:tr>
      <w:tr>
        <w:tc>
          <w:tcPr>
            <w:tcW w:type="dxa" w:w="1200"/>
          </w:tcPr>
          <w:p>
            <w:r>
              <w:rPr>
                <w:rFonts w:ascii="Arial" w:cs="Arial" w:eastAsia="Arial" w:hAnsi="Arial"/>
                <w:b/>
                <w:bCs/>
                <w:sz w:val="20"/>
                <w:szCs w:val="20"/>
              </w:rPr>
              <w:t xml:space="preserve">FR-LC-003</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When a new version of a document becomes Effective, the system shall automatically transition the previous version to Superseded state.</w:t>
            </w:r>
          </w:p>
        </w:tc>
      </w:tr>
      <w:tr>
        <w:tc>
          <w:tcPr>
            <w:tcW w:type="dxa" w:w="1200"/>
          </w:tcPr>
          <w:p>
            <w:r>
              <w:rPr>
                <w:rFonts w:ascii="Arial" w:cs="Arial" w:eastAsia="Arial" w:hAnsi="Arial"/>
                <w:b/>
                <w:bCs/>
                <w:sz w:val="20"/>
                <w:szCs w:val="20"/>
              </w:rPr>
              <w:t xml:space="preserve">FR-LC-004</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support a periodic review process, automatically generating review tasks for Document Owners based on the configured review cycle (default: 24 months).</w:t>
            </w:r>
          </w:p>
        </w:tc>
      </w:tr>
      <w:tr>
        <w:tc>
          <w:tcPr>
            <w:tcW w:type="dxa" w:w="1200"/>
          </w:tcPr>
          <w:p>
            <w:r>
              <w:rPr>
                <w:rFonts w:ascii="Arial" w:cs="Arial" w:eastAsia="Arial" w:hAnsi="Arial"/>
                <w:b/>
                <w:bCs/>
                <w:sz w:val="20"/>
                <w:szCs w:val="20"/>
              </w:rPr>
              <w:t xml:space="preserve">FR-LC-005</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prevent deletion of documents in Effective, Superseded, or Obsolete states. Only Draft documents may be deleted, and only by QA Administrators.</w:t>
            </w:r>
          </w:p>
        </w:tc>
      </w:tr>
      <w:tr>
        <w:tc>
          <w:tcPr>
            <w:tcW w:type="dxa" w:w="1200"/>
          </w:tcPr>
          <w:p>
            <w:r>
              <w:rPr>
                <w:rFonts w:ascii="Arial" w:cs="Arial" w:eastAsia="Arial" w:hAnsi="Arial"/>
                <w:b/>
                <w:bCs/>
                <w:sz w:val="20"/>
                <w:szCs w:val="20"/>
              </w:rPr>
              <w:t xml:space="preserve">FR-LC-006</w:t>
            </w:r>
          </w:p>
        </w:tc>
        <w:tc>
          <w:tcPr>
            <w:tcW w:type="dxa" w:w="800"/>
            <w:shd w:fill="FFF2CC" w:val="clear"/>
          </w:tcPr>
          <w:p>
            <w:r>
              <w:rPr>
                <w:rFonts w:ascii="Arial" w:cs="Arial" w:eastAsia="Arial" w:hAnsi="Arial"/>
                <w:sz w:val="20"/>
                <w:szCs w:val="20"/>
              </w:rPr>
              <w:t xml:space="preserve">Medium</w:t>
            </w:r>
          </w:p>
        </w:tc>
        <w:tc>
          <w:tcPr>
            <w:tcW w:type="dxa" w:w="7000"/>
          </w:tcPr>
          <w:p>
            <w:r>
              <w:rPr>
                <w:rFonts w:ascii="Arial" w:cs="Arial" w:eastAsia="Arial" w:hAnsi="Arial"/>
                <w:sz w:val="20"/>
                <w:szCs w:val="20"/>
              </w:rPr>
              <w:t xml:space="preserve">The system shall display a visual lifecycle state indicator on every document, clearly showing the current state and available actions.</w:t>
            </w:r>
          </w:p>
        </w:tc>
      </w:tr>
    </w:tbl>
    <w:p>
      <w:pPr>
        <w:pStyle w:val="Heading2"/>
        <w:spacing w:after="100" w:before="200"/>
      </w:pPr>
      <w:r>
        <w:rPr>
          <w:rFonts w:ascii="Arial" w:cs="Arial" w:eastAsia="Arial" w:hAnsi="Arial"/>
          <w:b/>
          <w:bCs/>
          <w:color w:val="2E75B6"/>
        </w:rPr>
        <w:t xml:space="preserve">3.3 Workflow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000"/>
      </w:tblGrid>
      <w:tr>
        <w:tc>
          <w:tcPr>
            <w:tcW w:type="dxa" w:w="1200"/>
            <w:shd w:fill="1F4E79" w:color="auto" w:val="clear"/>
          </w:tcPr>
          <w:p>
            <w:r>
              <w:rPr>
                <w:rFonts w:ascii="Arial" w:cs="Arial" w:eastAsia="Arial" w:hAnsi="Arial"/>
                <w:b/>
                <w:bCs/>
                <w:color w:val="FFFFFF"/>
                <w:sz w:val="20"/>
                <w:szCs w:val="20"/>
              </w:rPr>
              <w:t xml:space="preserve">Req ID</w:t>
            </w:r>
          </w:p>
        </w:tc>
        <w:tc>
          <w:tcPr>
            <w:tcW w:type="dxa" w:w="800"/>
            <w:shd w:fill="1F4E79" w:color="auto" w:val="clear"/>
          </w:tcPr>
          <w:p>
            <w:r>
              <w:rPr>
                <w:rFonts w:ascii="Arial" w:cs="Arial" w:eastAsia="Arial" w:hAnsi="Arial"/>
                <w:b/>
                <w:bCs/>
                <w:color w:val="FFFFFF"/>
                <w:sz w:val="20"/>
                <w:szCs w:val="20"/>
              </w:rPr>
              <w:t xml:space="preserve">Priority</w:t>
            </w:r>
          </w:p>
        </w:tc>
        <w:tc>
          <w:tcPr>
            <w:tcW w:type="dxa" w:w="7000"/>
            <w:shd w:fill="1F4E79" w:color="auto" w:val="clear"/>
          </w:tcPr>
          <w:p>
            <w:r>
              <w:rPr>
                <w:rFonts w:ascii="Arial" w:cs="Arial" w:eastAsia="Arial" w:hAnsi="Arial"/>
                <w:b/>
                <w:bCs/>
                <w:color w:val="FFFFFF"/>
                <w:sz w:val="20"/>
                <w:szCs w:val="20"/>
              </w:rPr>
              <w:t xml:space="preserve">Requirement Description</w:t>
            </w:r>
          </w:p>
        </w:tc>
      </w:tr>
      <w:tr>
        <w:tc>
          <w:tcPr>
            <w:tcW w:type="dxa" w:w="1200"/>
          </w:tcPr>
          <w:p>
            <w:r>
              <w:rPr>
                <w:rFonts w:ascii="Arial" w:cs="Arial" w:eastAsia="Arial" w:hAnsi="Arial"/>
                <w:b/>
                <w:bCs/>
                <w:sz w:val="20"/>
                <w:szCs w:val="20"/>
              </w:rPr>
              <w:t xml:space="preserve">FR-WF-001</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support configurable review and approval workflows with both parallel (multiple reviewers simultaneously) and sequential (one after another) task routing.</w:t>
            </w:r>
          </w:p>
        </w:tc>
      </w:tr>
      <w:tr>
        <w:tc>
          <w:tcPr>
            <w:tcW w:type="dxa" w:w="1200"/>
          </w:tcPr>
          <w:p>
            <w:r>
              <w:rPr>
                <w:rFonts w:ascii="Arial" w:cs="Arial" w:eastAsia="Arial" w:hAnsi="Arial"/>
                <w:b/>
                <w:bCs/>
                <w:sz w:val="20"/>
                <w:szCs w:val="20"/>
              </w:rPr>
              <w:t xml:space="preserve">FR-WF-002</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enforce due dates on workflow tasks with configurable escalation rules (email reminders and manager escalation).</w:t>
            </w:r>
          </w:p>
        </w:tc>
      </w:tr>
      <w:tr>
        <w:tc>
          <w:tcPr>
            <w:tcW w:type="dxa" w:w="1200"/>
          </w:tcPr>
          <w:p>
            <w:r>
              <w:rPr>
                <w:rFonts w:ascii="Arial" w:cs="Arial" w:eastAsia="Arial" w:hAnsi="Arial"/>
                <w:b/>
                <w:bCs/>
                <w:sz w:val="20"/>
                <w:szCs w:val="20"/>
              </w:rPr>
              <w:t xml:space="preserve">FR-WF-003</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Reviewers shall have the ability to Approve or Request Changes. Request Changes shall return the document to Draft state and cancel all pending tasks.</w:t>
            </w:r>
          </w:p>
        </w:tc>
      </w:tr>
      <w:tr>
        <w:tc>
          <w:tcPr>
            <w:tcW w:type="dxa" w:w="1200"/>
          </w:tcPr>
          <w:p>
            <w:r>
              <w:rPr>
                <w:rFonts w:ascii="Arial" w:cs="Arial" w:eastAsia="Arial" w:hAnsi="Arial"/>
                <w:b/>
                <w:bCs/>
                <w:sz w:val="20"/>
                <w:szCs w:val="20"/>
              </w:rPr>
              <w:t xml:space="preserve">FR-WF-004</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support delegation of workflow tasks, allowing users to reassign tasks to qualified alternates during absences.</w:t>
            </w:r>
          </w:p>
        </w:tc>
      </w:tr>
      <w:tr>
        <w:tc>
          <w:tcPr>
            <w:tcW w:type="dxa" w:w="1200"/>
          </w:tcPr>
          <w:p>
            <w:r>
              <w:rPr>
                <w:rFonts w:ascii="Arial" w:cs="Arial" w:eastAsia="Arial" w:hAnsi="Arial"/>
                <w:b/>
                <w:bCs/>
                <w:sz w:val="20"/>
                <w:szCs w:val="20"/>
              </w:rPr>
              <w:t xml:space="preserve">FR-WF-005</w:t>
            </w:r>
          </w:p>
        </w:tc>
        <w:tc>
          <w:tcPr>
            <w:tcW w:type="dxa" w:w="800"/>
            <w:shd w:fill="FFF2CC" w:val="clear"/>
          </w:tcPr>
          <w:p>
            <w:r>
              <w:rPr>
                <w:rFonts w:ascii="Arial" w:cs="Arial" w:eastAsia="Arial" w:hAnsi="Arial"/>
                <w:sz w:val="20"/>
                <w:szCs w:val="20"/>
              </w:rPr>
              <w:t xml:space="preserve">Medium</w:t>
            </w:r>
          </w:p>
        </w:tc>
        <w:tc>
          <w:tcPr>
            <w:tcW w:type="dxa" w:w="7000"/>
          </w:tcPr>
          <w:p>
            <w:r>
              <w:rPr>
                <w:rFonts w:ascii="Arial" w:cs="Arial" w:eastAsia="Arial" w:hAnsi="Arial"/>
                <w:sz w:val="20"/>
                <w:szCs w:val="20"/>
              </w:rPr>
              <w:t xml:space="preserve">The system shall maintain a complete workflow audit trail showing task assignment, completion, delegation, and verdict for each workflow instance.</w:t>
            </w:r>
          </w:p>
        </w:tc>
      </w:tr>
    </w:tbl>
    <w:p>
      <w:pPr>
        <w:pStyle w:val="Heading2"/>
        <w:spacing w:after="100" w:before="200"/>
      </w:pPr>
      <w:r>
        <w:rPr>
          <w:rFonts w:ascii="Arial" w:cs="Arial" w:eastAsia="Arial" w:hAnsi="Arial"/>
          <w:b/>
          <w:bCs/>
          <w:color w:val="2E75B6"/>
        </w:rPr>
        <w:t xml:space="preserve">3.4 Electronic Signature Requirements (21 CFR Part 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000"/>
      </w:tblGrid>
      <w:tr>
        <w:tc>
          <w:tcPr>
            <w:tcW w:type="dxa" w:w="1200"/>
            <w:shd w:fill="1F4E79" w:color="auto" w:val="clear"/>
          </w:tcPr>
          <w:p>
            <w:r>
              <w:rPr>
                <w:rFonts w:ascii="Arial" w:cs="Arial" w:eastAsia="Arial" w:hAnsi="Arial"/>
                <w:b/>
                <w:bCs/>
                <w:color w:val="FFFFFF"/>
                <w:sz w:val="20"/>
                <w:szCs w:val="20"/>
              </w:rPr>
              <w:t xml:space="preserve">Req ID</w:t>
            </w:r>
          </w:p>
        </w:tc>
        <w:tc>
          <w:tcPr>
            <w:tcW w:type="dxa" w:w="800"/>
            <w:shd w:fill="1F4E79" w:color="auto" w:val="clear"/>
          </w:tcPr>
          <w:p>
            <w:r>
              <w:rPr>
                <w:rFonts w:ascii="Arial" w:cs="Arial" w:eastAsia="Arial" w:hAnsi="Arial"/>
                <w:b/>
                <w:bCs/>
                <w:color w:val="FFFFFF"/>
                <w:sz w:val="20"/>
                <w:szCs w:val="20"/>
              </w:rPr>
              <w:t xml:space="preserve">Priority</w:t>
            </w:r>
          </w:p>
        </w:tc>
        <w:tc>
          <w:tcPr>
            <w:tcW w:type="dxa" w:w="7000"/>
            <w:shd w:fill="1F4E79" w:color="auto" w:val="clear"/>
          </w:tcPr>
          <w:p>
            <w:r>
              <w:rPr>
                <w:rFonts w:ascii="Arial" w:cs="Arial" w:eastAsia="Arial" w:hAnsi="Arial"/>
                <w:b/>
                <w:bCs/>
                <w:color w:val="FFFFFF"/>
                <w:sz w:val="20"/>
                <w:szCs w:val="20"/>
              </w:rPr>
              <w:t xml:space="preserve">Requirement Description</w:t>
            </w:r>
          </w:p>
        </w:tc>
      </w:tr>
      <w:tr>
        <w:tc>
          <w:tcPr>
            <w:tcW w:type="dxa" w:w="1200"/>
          </w:tcPr>
          <w:p>
            <w:r>
              <w:rPr>
                <w:rFonts w:ascii="Arial" w:cs="Arial" w:eastAsia="Arial" w:hAnsi="Arial"/>
                <w:b/>
                <w:bCs/>
                <w:sz w:val="20"/>
                <w:szCs w:val="20"/>
              </w:rPr>
              <w:t xml:space="preserve">FR-ES-001</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require electronic signatures for final document approval, consisting of username, password, and meaning of signature.</w:t>
            </w:r>
          </w:p>
        </w:tc>
      </w:tr>
      <w:tr>
        <w:tc>
          <w:tcPr>
            <w:tcW w:type="dxa" w:w="1200"/>
          </w:tcPr>
          <w:p>
            <w:r>
              <w:rPr>
                <w:rFonts w:ascii="Arial" w:cs="Arial" w:eastAsia="Arial" w:hAnsi="Arial"/>
                <w:b/>
                <w:bCs/>
                <w:sz w:val="20"/>
                <w:szCs w:val="20"/>
              </w:rPr>
              <w:t xml:space="preserve">FR-ES-002</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Electronic signatures shall be linked to their respective electronic records such that signatures cannot be copied, transferred, or otherwise falsified.</w:t>
            </w:r>
          </w:p>
        </w:tc>
      </w:tr>
      <w:tr>
        <w:tc>
          <w:tcPr>
            <w:tcW w:type="dxa" w:w="1200"/>
          </w:tcPr>
          <w:p>
            <w:r>
              <w:rPr>
                <w:rFonts w:ascii="Arial" w:cs="Arial" w:eastAsia="Arial" w:hAnsi="Arial"/>
                <w:b/>
                <w:bCs/>
                <w:sz w:val="20"/>
                <w:szCs w:val="20"/>
              </w:rPr>
              <w:t xml:space="preserve">FR-ES-003</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record the date, time, signer identity, and meaning for every electronic signature in the audit trail.</w:t>
            </w:r>
          </w:p>
        </w:tc>
      </w:tr>
      <w:tr>
        <w:tc>
          <w:tcPr>
            <w:tcW w:type="dxa" w:w="1200"/>
          </w:tcPr>
          <w:p>
            <w:r>
              <w:rPr>
                <w:rFonts w:ascii="Arial" w:cs="Arial" w:eastAsia="Arial" w:hAnsi="Arial"/>
                <w:b/>
                <w:bCs/>
                <w:sz w:val="20"/>
                <w:szCs w:val="20"/>
              </w:rPr>
              <w:t xml:space="preserve">FR-ES-004</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Failed signature attempts (incorrect password) shall be logged in the audit trail and the account locked after 5 consecutive failures.</w:t>
            </w:r>
          </w:p>
        </w:tc>
      </w:tr>
      <w:tr>
        <w:tc>
          <w:tcPr>
            <w:tcW w:type="dxa" w:w="1200"/>
          </w:tcPr>
          <w:p>
            <w:r>
              <w:rPr>
                <w:rFonts w:ascii="Arial" w:cs="Arial" w:eastAsia="Arial" w:hAnsi="Arial"/>
                <w:b/>
                <w:bCs/>
                <w:sz w:val="20"/>
                <w:szCs w:val="20"/>
              </w:rPr>
              <w:t xml:space="preserve">FR-ES-005</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display a signature manifest page for each signed document, showing all signatories, their roles, timestamps, and meanings.</w:t>
            </w:r>
          </w:p>
        </w:tc>
      </w:tr>
    </w:tbl>
    <w:p>
      <w:pPr>
        <w:pStyle w:val="Heading2"/>
        <w:spacing w:after="100" w:before="200"/>
      </w:pPr>
      <w:r>
        <w:rPr>
          <w:rFonts w:ascii="Arial" w:cs="Arial" w:eastAsia="Arial" w:hAnsi="Arial"/>
          <w:b/>
          <w:bCs/>
          <w:color w:val="2E75B6"/>
        </w:rPr>
        <w:t xml:space="preserve">3.5 Security and Access Control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000"/>
      </w:tblGrid>
      <w:tr>
        <w:tc>
          <w:tcPr>
            <w:tcW w:type="dxa" w:w="1200"/>
            <w:shd w:fill="1F4E79" w:color="auto" w:val="clear"/>
          </w:tcPr>
          <w:p>
            <w:r>
              <w:rPr>
                <w:rFonts w:ascii="Arial" w:cs="Arial" w:eastAsia="Arial" w:hAnsi="Arial"/>
                <w:b/>
                <w:bCs/>
                <w:color w:val="FFFFFF"/>
                <w:sz w:val="20"/>
                <w:szCs w:val="20"/>
              </w:rPr>
              <w:t xml:space="preserve">Req ID</w:t>
            </w:r>
          </w:p>
        </w:tc>
        <w:tc>
          <w:tcPr>
            <w:tcW w:type="dxa" w:w="800"/>
            <w:shd w:fill="1F4E79" w:color="auto" w:val="clear"/>
          </w:tcPr>
          <w:p>
            <w:r>
              <w:rPr>
                <w:rFonts w:ascii="Arial" w:cs="Arial" w:eastAsia="Arial" w:hAnsi="Arial"/>
                <w:b/>
                <w:bCs/>
                <w:color w:val="FFFFFF"/>
                <w:sz w:val="20"/>
                <w:szCs w:val="20"/>
              </w:rPr>
              <w:t xml:space="preserve">Priority</w:t>
            </w:r>
          </w:p>
        </w:tc>
        <w:tc>
          <w:tcPr>
            <w:tcW w:type="dxa" w:w="7000"/>
            <w:shd w:fill="1F4E79" w:color="auto" w:val="clear"/>
          </w:tcPr>
          <w:p>
            <w:r>
              <w:rPr>
                <w:rFonts w:ascii="Arial" w:cs="Arial" w:eastAsia="Arial" w:hAnsi="Arial"/>
                <w:b/>
                <w:bCs/>
                <w:color w:val="FFFFFF"/>
                <w:sz w:val="20"/>
                <w:szCs w:val="20"/>
              </w:rPr>
              <w:t xml:space="preserve">Requirement Description</w:t>
            </w:r>
          </w:p>
        </w:tc>
      </w:tr>
      <w:tr>
        <w:tc>
          <w:tcPr>
            <w:tcW w:type="dxa" w:w="1200"/>
          </w:tcPr>
          <w:p>
            <w:r>
              <w:rPr>
                <w:rFonts w:ascii="Arial" w:cs="Arial" w:eastAsia="Arial" w:hAnsi="Arial"/>
                <w:b/>
                <w:bCs/>
                <w:sz w:val="20"/>
                <w:szCs w:val="20"/>
              </w:rPr>
              <w:t xml:space="preserve">FR-SC-001</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implement role-based access control with the roles defined in the Configuration Workbook (10 roles from Document Author to VP Quality).</w:t>
            </w:r>
          </w:p>
        </w:tc>
      </w:tr>
      <w:tr>
        <w:tc>
          <w:tcPr>
            <w:tcW w:type="dxa" w:w="1200"/>
          </w:tcPr>
          <w:p>
            <w:r>
              <w:rPr>
                <w:rFonts w:ascii="Arial" w:cs="Arial" w:eastAsia="Arial" w:hAnsi="Arial"/>
                <w:b/>
                <w:bCs/>
                <w:sz w:val="20"/>
                <w:szCs w:val="20"/>
              </w:rPr>
              <w:t xml:space="preserve">FR-SC-002</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enforce Dynamic Access Control (DAC) rules such that document access is determined by the intersection of user role, document lifecycle state, and department ownership.</w:t>
            </w:r>
          </w:p>
        </w:tc>
      </w:tr>
      <w:tr>
        <w:tc>
          <w:tcPr>
            <w:tcW w:type="dxa" w:w="1200"/>
          </w:tcPr>
          <w:p>
            <w:r>
              <w:rPr>
                <w:rFonts w:ascii="Arial" w:cs="Arial" w:eastAsia="Arial" w:hAnsi="Arial"/>
                <w:b/>
                <w:bCs/>
                <w:sz w:val="20"/>
                <w:szCs w:val="20"/>
              </w:rPr>
              <w:t xml:space="preserve">FR-SC-003</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support Single Sign-On (SSO) via SAML 2.0 integration with the corporate Active Directory.</w:t>
            </w:r>
          </w:p>
        </w:tc>
      </w:tr>
      <w:tr>
        <w:tc>
          <w:tcPr>
            <w:tcW w:type="dxa" w:w="1200"/>
          </w:tcPr>
          <w:p>
            <w:r>
              <w:rPr>
                <w:rFonts w:ascii="Arial" w:cs="Arial" w:eastAsia="Arial" w:hAnsi="Arial"/>
                <w:b/>
                <w:bCs/>
                <w:sz w:val="20"/>
                <w:szCs w:val="20"/>
              </w:rPr>
              <w:t xml:space="preserve">FR-SC-004</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maintain a complete, tamper-proof audit trail for all document and system actions, including user identity, action, timestamp, old value, and new value.</w:t>
            </w:r>
          </w:p>
        </w:tc>
      </w:tr>
      <w:tr>
        <w:tc>
          <w:tcPr>
            <w:tcW w:type="dxa" w:w="1200"/>
          </w:tcPr>
          <w:p>
            <w:r>
              <w:rPr>
                <w:rFonts w:ascii="Arial" w:cs="Arial" w:eastAsia="Arial" w:hAnsi="Arial"/>
                <w:b/>
                <w:bCs/>
                <w:sz w:val="20"/>
                <w:szCs w:val="20"/>
              </w:rPr>
              <w:t xml:space="preserve">FR-SC-005</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Audit trail entries shall not be editable or deletable by any user, including system administrators.</w:t>
            </w:r>
          </w:p>
        </w:tc>
      </w:tr>
      <w:tr>
        <w:tc>
          <w:tcPr>
            <w:tcW w:type="dxa" w:w="1200"/>
          </w:tcPr>
          <w:p>
            <w:r>
              <w:rPr>
                <w:rFonts w:ascii="Arial" w:cs="Arial" w:eastAsia="Arial" w:hAnsi="Arial"/>
                <w:b/>
                <w:bCs/>
                <w:sz w:val="20"/>
                <w:szCs w:val="20"/>
              </w:rPr>
              <w:t xml:space="preserve">FR-SC-006</w:t>
            </w:r>
          </w:p>
        </w:tc>
        <w:tc>
          <w:tcPr>
            <w:tcW w:type="dxa" w:w="800"/>
            <w:shd w:fill="FFF2CC" w:val="clear"/>
          </w:tcPr>
          <w:p>
            <w:r>
              <w:rPr>
                <w:rFonts w:ascii="Arial" w:cs="Arial" w:eastAsia="Arial" w:hAnsi="Arial"/>
                <w:sz w:val="20"/>
                <w:szCs w:val="20"/>
              </w:rPr>
              <w:t xml:space="preserve">Medium</w:t>
            </w:r>
          </w:p>
        </w:tc>
        <w:tc>
          <w:tcPr>
            <w:tcW w:type="dxa" w:w="7000"/>
          </w:tcPr>
          <w:p>
            <w:r>
              <w:rPr>
                <w:rFonts w:ascii="Arial" w:cs="Arial" w:eastAsia="Arial" w:hAnsi="Arial"/>
                <w:sz w:val="20"/>
                <w:szCs w:val="20"/>
              </w:rPr>
              <w:t xml:space="preserve">The system shall enforce password complexity rules: minimum 12 characters, requiring uppercase, lowercase, numeric, and special characters, with 90-day expiration.</w:t>
            </w:r>
          </w:p>
        </w:tc>
      </w:tr>
    </w:tbl>
    <w:p>
      <w:pPr>
        <w:pStyle w:val="Heading2"/>
        <w:spacing w:after="100" w:before="200"/>
      </w:pPr>
      <w:r>
        <w:rPr>
          <w:rFonts w:ascii="Arial" w:cs="Arial" w:eastAsia="Arial" w:hAnsi="Arial"/>
          <w:b/>
          <w:bCs/>
          <w:color w:val="2E75B6"/>
        </w:rPr>
        <w:t xml:space="preserve">3.6 Reporting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000"/>
      </w:tblGrid>
      <w:tr>
        <w:tc>
          <w:tcPr>
            <w:tcW w:type="dxa" w:w="1200"/>
            <w:shd w:fill="1F4E79" w:color="auto" w:val="clear"/>
          </w:tcPr>
          <w:p>
            <w:r>
              <w:rPr>
                <w:rFonts w:ascii="Arial" w:cs="Arial" w:eastAsia="Arial" w:hAnsi="Arial"/>
                <w:b/>
                <w:bCs/>
                <w:color w:val="FFFFFF"/>
                <w:sz w:val="20"/>
                <w:szCs w:val="20"/>
              </w:rPr>
              <w:t xml:space="preserve">Req ID</w:t>
            </w:r>
          </w:p>
        </w:tc>
        <w:tc>
          <w:tcPr>
            <w:tcW w:type="dxa" w:w="800"/>
            <w:shd w:fill="1F4E79" w:color="auto" w:val="clear"/>
          </w:tcPr>
          <w:p>
            <w:r>
              <w:rPr>
                <w:rFonts w:ascii="Arial" w:cs="Arial" w:eastAsia="Arial" w:hAnsi="Arial"/>
                <w:b/>
                <w:bCs/>
                <w:color w:val="FFFFFF"/>
                <w:sz w:val="20"/>
                <w:szCs w:val="20"/>
              </w:rPr>
              <w:t xml:space="preserve">Priority</w:t>
            </w:r>
          </w:p>
        </w:tc>
        <w:tc>
          <w:tcPr>
            <w:tcW w:type="dxa" w:w="7000"/>
            <w:shd w:fill="1F4E79" w:color="auto" w:val="clear"/>
          </w:tcPr>
          <w:p>
            <w:r>
              <w:rPr>
                <w:rFonts w:ascii="Arial" w:cs="Arial" w:eastAsia="Arial" w:hAnsi="Arial"/>
                <w:b/>
                <w:bCs/>
                <w:color w:val="FFFFFF"/>
                <w:sz w:val="20"/>
                <w:szCs w:val="20"/>
              </w:rPr>
              <w:t xml:space="preserve">Requirement Description</w:t>
            </w:r>
          </w:p>
        </w:tc>
      </w:tr>
      <w:tr>
        <w:tc>
          <w:tcPr>
            <w:tcW w:type="dxa" w:w="1200"/>
          </w:tcPr>
          <w:p>
            <w:r>
              <w:rPr>
                <w:rFonts w:ascii="Arial" w:cs="Arial" w:eastAsia="Arial" w:hAnsi="Arial"/>
                <w:b/>
                <w:bCs/>
                <w:sz w:val="20"/>
                <w:szCs w:val="20"/>
              </w:rPr>
              <w:t xml:space="preserve">FR-RP-001</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provide a report showing all documents by lifecycle state, filterable by document type, department, and site.</w:t>
            </w:r>
          </w:p>
        </w:tc>
      </w:tr>
      <w:tr>
        <w:tc>
          <w:tcPr>
            <w:tcW w:type="dxa" w:w="1200"/>
          </w:tcPr>
          <w:p>
            <w:r>
              <w:rPr>
                <w:rFonts w:ascii="Arial" w:cs="Arial" w:eastAsia="Arial" w:hAnsi="Arial"/>
                <w:b/>
                <w:bCs/>
                <w:sz w:val="20"/>
                <w:szCs w:val="20"/>
              </w:rPr>
              <w:t xml:space="preserve">FR-RP-002</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The system shall provide a periodic review compliance report showing documents due for review, overdue reviews, and completed reviews.</w:t>
            </w:r>
          </w:p>
        </w:tc>
      </w:tr>
      <w:tr>
        <w:tc>
          <w:tcPr>
            <w:tcW w:type="dxa" w:w="1200"/>
          </w:tcPr>
          <w:p>
            <w:r>
              <w:rPr>
                <w:rFonts w:ascii="Arial" w:cs="Arial" w:eastAsia="Arial" w:hAnsi="Arial"/>
                <w:b/>
                <w:bCs/>
                <w:sz w:val="20"/>
                <w:szCs w:val="20"/>
              </w:rPr>
              <w:t xml:space="preserve">FR-RP-003</w:t>
            </w:r>
          </w:p>
        </w:tc>
        <w:tc>
          <w:tcPr>
            <w:tcW w:type="dxa" w:w="800"/>
            <w:shd w:fill="FFF2CC" w:val="clear"/>
          </w:tcPr>
          <w:p>
            <w:r>
              <w:rPr>
                <w:rFonts w:ascii="Arial" w:cs="Arial" w:eastAsia="Arial" w:hAnsi="Arial"/>
                <w:sz w:val="20"/>
                <w:szCs w:val="20"/>
              </w:rPr>
              <w:t xml:space="preserve">Medium</w:t>
            </w:r>
          </w:p>
        </w:tc>
        <w:tc>
          <w:tcPr>
            <w:tcW w:type="dxa" w:w="7000"/>
          </w:tcPr>
          <w:p>
            <w:r>
              <w:rPr>
                <w:rFonts w:ascii="Arial" w:cs="Arial" w:eastAsia="Arial" w:hAnsi="Arial"/>
                <w:sz w:val="20"/>
                <w:szCs w:val="20"/>
              </w:rPr>
              <w:t xml:space="preserve">The system shall provide a workflow performance report showing average cycle times by workflow type, department, and document type.</w:t>
            </w:r>
          </w:p>
        </w:tc>
      </w:tr>
      <w:tr>
        <w:tc>
          <w:tcPr>
            <w:tcW w:type="dxa" w:w="1200"/>
          </w:tcPr>
          <w:p>
            <w:r>
              <w:rPr>
                <w:rFonts w:ascii="Arial" w:cs="Arial" w:eastAsia="Arial" w:hAnsi="Arial"/>
                <w:b/>
                <w:bCs/>
                <w:sz w:val="20"/>
                <w:szCs w:val="20"/>
              </w:rPr>
              <w:t xml:space="preserve">FR-RP-004</w:t>
            </w:r>
          </w:p>
        </w:tc>
        <w:tc>
          <w:tcPr>
            <w:tcW w:type="dxa" w:w="800"/>
            <w:shd w:fill="FFF2CC" w:val="clear"/>
          </w:tcPr>
          <w:p>
            <w:r>
              <w:rPr>
                <w:rFonts w:ascii="Arial" w:cs="Arial" w:eastAsia="Arial" w:hAnsi="Arial"/>
                <w:sz w:val="20"/>
                <w:szCs w:val="20"/>
              </w:rPr>
              <w:t xml:space="preserve">Medium</w:t>
            </w:r>
          </w:p>
        </w:tc>
        <w:tc>
          <w:tcPr>
            <w:tcW w:type="dxa" w:w="7000"/>
          </w:tcPr>
          <w:p>
            <w:r>
              <w:rPr>
                <w:rFonts w:ascii="Arial" w:cs="Arial" w:eastAsia="Arial" w:hAnsi="Arial"/>
                <w:sz w:val="20"/>
                <w:szCs w:val="20"/>
              </w:rPr>
              <w:t xml:space="preserve">The system shall provide a user activity report showing login history, document actions, and signature events for audit support.</w:t>
            </w:r>
          </w:p>
        </w:tc>
      </w:tr>
      <w:tr>
        <w:tc>
          <w:tcPr>
            <w:tcW w:type="dxa" w:w="1200"/>
          </w:tcPr>
          <w:p>
            <w:r>
              <w:rPr>
                <w:rFonts w:ascii="Arial" w:cs="Arial" w:eastAsia="Arial" w:hAnsi="Arial"/>
                <w:b/>
                <w:bCs/>
                <w:sz w:val="20"/>
                <w:szCs w:val="20"/>
              </w:rPr>
              <w:t xml:space="preserve">FR-RP-005</w:t>
            </w:r>
          </w:p>
        </w:tc>
        <w:tc>
          <w:tcPr>
            <w:tcW w:type="dxa" w:w="800"/>
            <w:shd w:fill="C6EFCE" w:val="clear"/>
          </w:tcPr>
          <w:p>
            <w:r>
              <w:rPr>
                <w:rFonts w:ascii="Arial" w:cs="Arial" w:eastAsia="Arial" w:hAnsi="Arial"/>
                <w:sz w:val="20"/>
                <w:szCs w:val="20"/>
              </w:rPr>
              <w:t xml:space="preserve">Low</w:t>
            </w:r>
          </w:p>
        </w:tc>
        <w:tc>
          <w:tcPr>
            <w:tcW w:type="dxa" w:w="7000"/>
          </w:tcPr>
          <w:p>
            <w:r>
              <w:rPr>
                <w:rFonts w:ascii="Arial" w:cs="Arial" w:eastAsia="Arial" w:hAnsi="Arial"/>
                <w:sz w:val="20"/>
                <w:szCs w:val="20"/>
              </w:rPr>
              <w:t xml:space="preserve">The system shall support export of any report to CSV and PDF formats.</w:t>
            </w:r>
          </w:p>
        </w:tc>
      </w:tr>
    </w:tbl>
    <w:p>
      <w:r>
        <w:br w:type="page"/>
      </w:r>
    </w:p>
    <w:p>
      <w:pPr>
        <w:pStyle w:val="Heading1"/>
        <w:spacing w:after="200"/>
      </w:pPr>
      <w:r>
        <w:rPr>
          <w:rFonts w:ascii="Arial" w:cs="Arial" w:eastAsia="Arial" w:hAnsi="Arial"/>
          <w:b/>
          <w:bCs/>
          <w:color w:val="1F4E79"/>
        </w:rPr>
        <w:t xml:space="preserve">4. Data Migration Requirements</w:t>
      </w:r>
    </w:p>
    <w:p>
      <w:pPr>
        <w:spacing w:after="200"/>
      </w:pPr>
      <w:r>
        <w:rPr>
          <w:rFonts w:ascii="Arial" w:cs="Arial" w:eastAsia="Arial" w:hAnsi="Arial"/>
          <w:sz w:val="22"/>
          <w:szCs w:val="22"/>
        </w:rPr>
        <w:t xml:space="preserve">Approximately 8,000 controlled documents will be migrated from the existing SharePoint-based document management system to Veeva Vault QualityDocs. The migration must preserve document content, metadata, version history (last 3 versions minimum), and approval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000"/>
      </w:tblGrid>
      <w:tr>
        <w:tc>
          <w:tcPr>
            <w:tcW w:type="dxa" w:w="1200"/>
            <w:shd w:fill="1F4E79" w:color="auto" w:val="clear"/>
          </w:tcPr>
          <w:p>
            <w:r>
              <w:rPr>
                <w:rFonts w:ascii="Arial" w:cs="Arial" w:eastAsia="Arial" w:hAnsi="Arial"/>
                <w:b/>
                <w:bCs/>
                <w:color w:val="FFFFFF"/>
                <w:sz w:val="20"/>
                <w:szCs w:val="20"/>
              </w:rPr>
              <w:t xml:space="preserve">Req ID</w:t>
            </w:r>
          </w:p>
        </w:tc>
        <w:tc>
          <w:tcPr>
            <w:tcW w:type="dxa" w:w="800"/>
            <w:shd w:fill="1F4E79" w:color="auto" w:val="clear"/>
          </w:tcPr>
          <w:p>
            <w:r>
              <w:rPr>
                <w:rFonts w:ascii="Arial" w:cs="Arial" w:eastAsia="Arial" w:hAnsi="Arial"/>
                <w:b/>
                <w:bCs/>
                <w:color w:val="FFFFFF"/>
                <w:sz w:val="20"/>
                <w:szCs w:val="20"/>
              </w:rPr>
              <w:t xml:space="preserve">Priority</w:t>
            </w:r>
          </w:p>
        </w:tc>
        <w:tc>
          <w:tcPr>
            <w:tcW w:type="dxa" w:w="7000"/>
            <w:shd w:fill="1F4E79" w:color="auto" w:val="clear"/>
          </w:tcPr>
          <w:p>
            <w:r>
              <w:rPr>
                <w:rFonts w:ascii="Arial" w:cs="Arial" w:eastAsia="Arial" w:hAnsi="Arial"/>
                <w:b/>
                <w:bCs/>
                <w:color w:val="FFFFFF"/>
                <w:sz w:val="20"/>
                <w:szCs w:val="20"/>
              </w:rPr>
              <w:t xml:space="preserve">Requirement Description</w:t>
            </w:r>
          </w:p>
        </w:tc>
      </w:tr>
      <w:tr>
        <w:tc>
          <w:tcPr>
            <w:tcW w:type="dxa" w:w="1200"/>
          </w:tcPr>
          <w:p>
            <w:r>
              <w:rPr>
                <w:rFonts w:ascii="Arial" w:cs="Arial" w:eastAsia="Arial" w:hAnsi="Arial"/>
                <w:b/>
                <w:bCs/>
                <w:sz w:val="20"/>
                <w:szCs w:val="20"/>
              </w:rPr>
              <w:t xml:space="preserve">FR-MG-001</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All documents currently in Effective state in SharePoint shall be migrated to Vault in the Effective state with their existing metadata preserved.</w:t>
            </w:r>
          </w:p>
        </w:tc>
      </w:tr>
      <w:tr>
        <w:tc>
          <w:tcPr>
            <w:tcW w:type="dxa" w:w="1200"/>
          </w:tcPr>
          <w:p>
            <w:r>
              <w:rPr>
                <w:rFonts w:ascii="Arial" w:cs="Arial" w:eastAsia="Arial" w:hAnsi="Arial"/>
                <w:b/>
                <w:bCs/>
                <w:sz w:val="20"/>
                <w:szCs w:val="20"/>
              </w:rPr>
              <w:t xml:space="preserve">FR-MG-002</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Document version history (minimum: current version plus 2 prior versions) shall be migrated to maintain traceability.</w:t>
            </w:r>
          </w:p>
        </w:tc>
      </w:tr>
      <w:tr>
        <w:tc>
          <w:tcPr>
            <w:tcW w:type="dxa" w:w="1200"/>
          </w:tcPr>
          <w:p>
            <w:r>
              <w:rPr>
                <w:rFonts w:ascii="Arial" w:cs="Arial" w:eastAsia="Arial" w:hAnsi="Arial"/>
                <w:b/>
                <w:bCs/>
                <w:sz w:val="20"/>
                <w:szCs w:val="20"/>
              </w:rPr>
              <w:t xml:space="preserve">FR-MG-003</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Migrated documents shall retain their original document numbers as a legacy reference field while receiving new Vault document numbers.</w:t>
            </w:r>
          </w:p>
        </w:tc>
      </w:tr>
      <w:tr>
        <w:tc>
          <w:tcPr>
            <w:tcW w:type="dxa" w:w="1200"/>
          </w:tcPr>
          <w:p>
            <w:r>
              <w:rPr>
                <w:rFonts w:ascii="Arial" w:cs="Arial" w:eastAsia="Arial" w:hAnsi="Arial"/>
                <w:b/>
                <w:bCs/>
                <w:sz w:val="20"/>
                <w:szCs w:val="20"/>
              </w:rPr>
              <w:t xml:space="preserve">FR-MG-004</w:t>
            </w:r>
          </w:p>
        </w:tc>
        <w:tc>
          <w:tcPr>
            <w:tcW w:type="dxa" w:w="800"/>
            <w:shd w:fill="FFF2CC" w:val="clear"/>
          </w:tcPr>
          <w:p>
            <w:r>
              <w:rPr>
                <w:rFonts w:ascii="Arial" w:cs="Arial" w:eastAsia="Arial" w:hAnsi="Arial"/>
                <w:sz w:val="20"/>
                <w:szCs w:val="20"/>
              </w:rPr>
              <w:t xml:space="preserve">Medium</w:t>
            </w:r>
          </w:p>
        </w:tc>
        <w:tc>
          <w:tcPr>
            <w:tcW w:type="dxa" w:w="7000"/>
          </w:tcPr>
          <w:p>
            <w:r>
              <w:rPr>
                <w:rFonts w:ascii="Arial" w:cs="Arial" w:eastAsia="Arial" w:hAnsi="Arial"/>
                <w:sz w:val="20"/>
                <w:szCs w:val="20"/>
              </w:rPr>
              <w:t xml:space="preserve">A reconciliation report shall be generated post-migration comparing source and target document counts, metadata accuracy, and content integrity (checksum validation).</w:t>
            </w:r>
          </w:p>
        </w:tc>
      </w:tr>
      <w:tr>
        <w:tc>
          <w:tcPr>
            <w:tcW w:type="dxa" w:w="1200"/>
          </w:tcPr>
          <w:p>
            <w:r>
              <w:rPr>
                <w:rFonts w:ascii="Arial" w:cs="Arial" w:eastAsia="Arial" w:hAnsi="Arial"/>
                <w:b/>
                <w:bCs/>
                <w:sz w:val="20"/>
                <w:szCs w:val="20"/>
              </w:rPr>
              <w:t xml:space="preserve">FR-MG-005</w:t>
            </w:r>
          </w:p>
        </w:tc>
        <w:tc>
          <w:tcPr>
            <w:tcW w:type="dxa" w:w="800"/>
            <w:shd w:fill="FFC7CE" w:val="clear"/>
          </w:tcPr>
          <w:p>
            <w:r>
              <w:rPr>
                <w:rFonts w:ascii="Arial" w:cs="Arial" w:eastAsia="Arial" w:hAnsi="Arial"/>
                <w:sz w:val="20"/>
                <w:szCs w:val="20"/>
              </w:rPr>
              <w:t xml:space="preserve">High</w:t>
            </w:r>
          </w:p>
        </w:tc>
        <w:tc>
          <w:tcPr>
            <w:tcW w:type="dxa" w:w="7000"/>
          </w:tcPr>
          <w:p>
            <w:r>
              <w:rPr>
                <w:rFonts w:ascii="Arial" w:cs="Arial" w:eastAsia="Arial" w:hAnsi="Arial"/>
                <w:sz w:val="20"/>
                <w:szCs w:val="20"/>
              </w:rPr>
              <w:t xml:space="preserve">Documents in Obsolete state in SharePoint shall be migrated to Vault in Obsolete state for retention compliance.</w:t>
            </w:r>
          </w:p>
        </w:tc>
      </w:tr>
    </w:tbl>
    <w:p>
      <w:r>
        <w:br w:type="page"/>
      </w:r>
    </w:p>
    <w:p>
      <w:pPr>
        <w:pStyle w:val="Heading1"/>
        <w:spacing w:after="200"/>
      </w:pPr>
      <w:r>
        <w:rPr>
          <w:rFonts w:ascii="Arial" w:cs="Arial" w:eastAsia="Arial" w:hAnsi="Arial"/>
          <w:b/>
          <w:bCs/>
          <w:color w:val="1F4E79"/>
        </w:rPr>
        <w:t xml:space="preserve">5. Validation Approach</w:t>
      </w:r>
    </w:p>
    <w:p>
      <w:pPr>
        <w:spacing w:after="200"/>
      </w:pPr>
      <w:r>
        <w:rPr>
          <w:rFonts w:ascii="Arial" w:cs="Arial" w:eastAsia="Arial" w:hAnsi="Arial"/>
          <w:sz w:val="22"/>
          <w:szCs w:val="22"/>
        </w:rPr>
        <w:t xml:space="preserve">The Vault QualityDocs system will be validated as a GAMP 5 Category 4 (Configured Product) system. The validation approach follows a risk-based methodology with the following key deliverables:</w:t>
      </w:r>
    </w:p>
    <w:p>
      <w:pPr>
        <w:pStyle w:val="ListParagraph"/>
        <w:numPr>
          <w:ilvl w:val="0"/>
          <w:numId w:val="2"/>
        </w:numPr>
        <w:spacing w:after="80"/>
      </w:pPr>
      <w:r>
        <w:rPr>
          <w:rFonts w:ascii="Arial" w:cs="Arial" w:eastAsia="Arial" w:hAnsi="Arial"/>
          <w:sz w:val="22"/>
          <w:szCs w:val="22"/>
        </w:rPr>
        <w:t xml:space="preserve">Validation Plan (VP) — Overall validation strategy, roles, and responsibilities</w:t>
      </w:r>
    </w:p>
    <w:p>
      <w:pPr>
        <w:pStyle w:val="ListParagraph"/>
        <w:numPr>
          <w:ilvl w:val="0"/>
          <w:numId w:val="2"/>
        </w:numPr>
        <w:spacing w:after="80"/>
      </w:pPr>
      <w:r>
        <w:rPr>
          <w:rFonts w:ascii="Arial" w:cs="Arial" w:eastAsia="Arial" w:hAnsi="Arial"/>
          <w:sz w:val="22"/>
          <w:szCs w:val="22"/>
        </w:rPr>
        <w:t xml:space="preserve">User Requirements Specification (URS) — Derived from this FRD</w:t>
      </w:r>
    </w:p>
    <w:p>
      <w:pPr>
        <w:pStyle w:val="ListParagraph"/>
        <w:numPr>
          <w:ilvl w:val="0"/>
          <w:numId w:val="2"/>
        </w:numPr>
        <w:spacing w:after="80"/>
      </w:pPr>
      <w:r>
        <w:rPr>
          <w:rFonts w:ascii="Arial" w:cs="Arial" w:eastAsia="Arial" w:hAnsi="Arial"/>
          <w:sz w:val="22"/>
          <w:szCs w:val="22"/>
        </w:rPr>
        <w:t xml:space="preserve">Configuration Specification (CS) — Detailed technical configuration based on Configuration Workbook</w:t>
      </w:r>
    </w:p>
    <w:p>
      <w:pPr>
        <w:pStyle w:val="ListParagraph"/>
        <w:numPr>
          <w:ilvl w:val="0"/>
          <w:numId w:val="2"/>
        </w:numPr>
        <w:spacing w:after="80"/>
      </w:pPr>
      <w:r>
        <w:rPr>
          <w:rFonts w:ascii="Arial" w:cs="Arial" w:eastAsia="Arial" w:hAnsi="Arial"/>
          <w:sz w:val="22"/>
          <w:szCs w:val="22"/>
        </w:rPr>
        <w:t xml:space="preserve">Risk Assessment — FMEA-based risk assessment of system functions</w:t>
      </w:r>
    </w:p>
    <w:p>
      <w:pPr>
        <w:pStyle w:val="ListParagraph"/>
        <w:numPr>
          <w:ilvl w:val="0"/>
          <w:numId w:val="2"/>
        </w:numPr>
        <w:spacing w:after="80"/>
      </w:pPr>
      <w:r>
        <w:rPr>
          <w:rFonts w:ascii="Arial" w:cs="Arial" w:eastAsia="Arial" w:hAnsi="Arial"/>
          <w:sz w:val="22"/>
          <w:szCs w:val="22"/>
        </w:rPr>
        <w:t xml:space="preserve">Installation Qualification (IQ) — Verification of system installation and environment setup</w:t>
      </w:r>
    </w:p>
    <w:p>
      <w:pPr>
        <w:pStyle w:val="ListParagraph"/>
        <w:numPr>
          <w:ilvl w:val="0"/>
          <w:numId w:val="2"/>
        </w:numPr>
        <w:spacing w:after="80"/>
      </w:pPr>
      <w:r>
        <w:rPr>
          <w:rFonts w:ascii="Arial" w:cs="Arial" w:eastAsia="Arial" w:hAnsi="Arial"/>
          <w:sz w:val="22"/>
          <w:szCs w:val="22"/>
        </w:rPr>
        <w:t xml:space="preserve">Operational Qualification (OQ) — Testing of configured functionality against requirements</w:t>
      </w:r>
    </w:p>
    <w:p>
      <w:pPr>
        <w:pStyle w:val="ListParagraph"/>
        <w:numPr>
          <w:ilvl w:val="0"/>
          <w:numId w:val="2"/>
        </w:numPr>
        <w:spacing w:after="80"/>
      </w:pPr>
      <w:r>
        <w:rPr>
          <w:rFonts w:ascii="Arial" w:cs="Arial" w:eastAsia="Arial" w:hAnsi="Arial"/>
          <w:sz w:val="22"/>
          <w:szCs w:val="22"/>
        </w:rPr>
        <w:t xml:space="preserve">Performance Qualification (PQ) / User Acceptance Testing (UAT) — End-user testing of business processes</w:t>
      </w:r>
    </w:p>
    <w:p>
      <w:pPr>
        <w:pStyle w:val="ListParagraph"/>
        <w:numPr>
          <w:ilvl w:val="0"/>
          <w:numId w:val="2"/>
        </w:numPr>
        <w:spacing w:after="80"/>
      </w:pPr>
      <w:r>
        <w:rPr>
          <w:rFonts w:ascii="Arial" w:cs="Arial" w:eastAsia="Arial" w:hAnsi="Arial"/>
          <w:sz w:val="22"/>
          <w:szCs w:val="22"/>
        </w:rPr>
        <w:t xml:space="preserve">Traceability Matrix — Linking requirements to test cases to ensure complete coverage</w:t>
      </w:r>
    </w:p>
    <w:p>
      <w:pPr>
        <w:pStyle w:val="ListParagraph"/>
        <w:numPr>
          <w:ilvl w:val="0"/>
          <w:numId w:val="2"/>
        </w:numPr>
        <w:spacing w:after="80"/>
      </w:pPr>
      <w:r>
        <w:rPr>
          <w:rFonts w:ascii="Arial" w:cs="Arial" w:eastAsia="Arial" w:hAnsi="Arial"/>
          <w:sz w:val="22"/>
          <w:szCs w:val="22"/>
        </w:rPr>
        <w:t xml:space="preserve">Validation Summary Report (VSR) — Summary of validation activities and results</w:t>
      </w:r>
    </w:p>
    <w:p>
      <w:r>
        <w:br w:type="page"/>
      </w:r>
    </w:p>
    <w:p>
      <w:pPr>
        <w:pStyle w:val="Heading1"/>
        <w:spacing w:after="200"/>
      </w:pPr>
      <w:r>
        <w:rPr>
          <w:rFonts w:ascii="Arial" w:cs="Arial" w:eastAsia="Arial" w:hAnsi="Arial"/>
          <w:b/>
          <w:bCs/>
          <w:color w:val="1F4E79"/>
        </w:rPr>
        <w:t xml:space="preserve">6. Appendices</w:t>
      </w:r>
    </w:p>
    <w:p>
      <w:pPr>
        <w:pStyle w:val="Heading2"/>
        <w:spacing w:after="100" w:before="200"/>
      </w:pPr>
      <w:r>
        <w:rPr>
          <w:rFonts w:ascii="Arial" w:cs="Arial" w:eastAsia="Arial" w:hAnsi="Arial"/>
          <w:b/>
          <w:bCs/>
          <w:color w:val="2E75B6"/>
        </w:rPr>
        <w:t xml:space="preserve">6.1 Referenced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79" w:color="auto" w:val="clear"/>
          </w:tcPr>
          <w:p>
            <w:r>
              <w:rPr>
                <w:rFonts w:ascii="Arial" w:cs="Arial" w:eastAsia="Arial" w:hAnsi="Arial"/>
                <w:b/>
                <w:bCs/>
                <w:color w:val="FFFFFF"/>
                <w:sz w:val="20"/>
                <w:szCs w:val="20"/>
              </w:rPr>
              <w:t xml:space="preserve">Document ID</w:t>
            </w:r>
          </w:p>
        </w:tc>
        <w:tc>
          <w:tcPr>
            <w:tcW w:type="dxa" w:w="3000"/>
            <w:shd w:fill="1F4E79" w:color="auto" w:val="clear"/>
          </w:tcPr>
          <w:p>
            <w:r>
              <w:rPr>
                <w:rFonts w:ascii="Arial" w:cs="Arial" w:eastAsia="Arial" w:hAnsi="Arial"/>
                <w:b/>
                <w:bCs/>
                <w:color w:val="FFFFFF"/>
                <w:sz w:val="20"/>
                <w:szCs w:val="20"/>
              </w:rPr>
              <w:t xml:space="preserve">Document Title</w:t>
            </w:r>
          </w:p>
        </w:tc>
        <w:tc>
          <w:tcPr>
            <w:tcW w:type="dxa" w:w="3000"/>
            <w:shd w:fill="1F4E79" w:color="auto" w:val="clear"/>
          </w:tcPr>
          <w:p>
            <w:r>
              <w:rPr>
                <w:rFonts w:ascii="Arial" w:cs="Arial" w:eastAsia="Arial" w:hAnsi="Arial"/>
                <w:b/>
                <w:bCs/>
                <w:color w:val="FFFFFF"/>
                <w:sz w:val="20"/>
                <w:szCs w:val="20"/>
              </w:rPr>
              <w:t xml:space="preserve">Version</w:t>
            </w:r>
          </w:p>
        </w:tc>
      </w:tr>
      <w:tr>
        <w:tc>
          <w:tcPr>
            <w:tcW w:type="dxa" w:w="3000"/>
          </w:tcPr>
          <w:p>
            <w:r>
              <w:rPr>
                <w:rFonts w:ascii="Arial" w:cs="Arial" w:eastAsia="Arial" w:hAnsi="Arial"/>
                <w:b w:val="false"/>
                <w:bCs w:val="false"/>
                <w:color w:val="000000"/>
                <w:sz w:val="20"/>
                <w:szCs w:val="20"/>
              </w:rPr>
              <w:t xml:space="preserve">NP-VAULT-CW-001</w:t>
            </w:r>
          </w:p>
        </w:tc>
        <w:tc>
          <w:tcPr>
            <w:tcW w:type="dxa" w:w="3000"/>
          </w:tcPr>
          <w:p>
            <w:r>
              <w:rPr>
                <w:rFonts w:ascii="Arial" w:cs="Arial" w:eastAsia="Arial" w:hAnsi="Arial"/>
                <w:b w:val="false"/>
                <w:bCs w:val="false"/>
                <w:color w:val="000000"/>
                <w:sz w:val="20"/>
                <w:szCs w:val="20"/>
              </w:rPr>
              <w:t xml:space="preserve">Vault QualityDocs Configuration Workbook</w:t>
            </w:r>
          </w:p>
        </w:tc>
        <w:tc>
          <w:tcPr>
            <w:tcW w:type="dxa" w:w="3000"/>
          </w:tcPr>
          <w:p>
            <w:r>
              <w:rPr>
                <w:rFonts w:ascii="Arial" w:cs="Arial" w:eastAsia="Arial" w:hAnsi="Arial"/>
                <w:b w:val="false"/>
                <w:bCs w:val="false"/>
                <w:color w:val="000000"/>
                <w:sz w:val="20"/>
                <w:szCs w:val="20"/>
              </w:rPr>
              <w:t xml:space="preserve">1.0</w:t>
            </w:r>
          </w:p>
        </w:tc>
      </w:tr>
      <w:tr>
        <w:tc>
          <w:tcPr>
            <w:tcW w:type="dxa" w:w="3000"/>
          </w:tcPr>
          <w:p>
            <w:r>
              <w:rPr>
                <w:rFonts w:ascii="Arial" w:cs="Arial" w:eastAsia="Arial" w:hAnsi="Arial"/>
                <w:b w:val="false"/>
                <w:bCs w:val="false"/>
                <w:color w:val="000000"/>
                <w:sz w:val="20"/>
                <w:szCs w:val="20"/>
              </w:rPr>
              <w:t xml:space="preserve">NP-VAULT-MP-001</w:t>
            </w:r>
          </w:p>
        </w:tc>
        <w:tc>
          <w:tcPr>
            <w:tcW w:type="dxa" w:w="3000"/>
          </w:tcPr>
          <w:p>
            <w:r>
              <w:rPr>
                <w:rFonts w:ascii="Arial" w:cs="Arial" w:eastAsia="Arial" w:hAnsi="Arial"/>
                <w:b w:val="false"/>
                <w:bCs w:val="false"/>
                <w:color w:val="000000"/>
                <w:sz w:val="20"/>
                <w:szCs w:val="20"/>
              </w:rPr>
              <w:t xml:space="preserve">Data Migration Plan</w:t>
            </w:r>
          </w:p>
        </w:tc>
        <w:tc>
          <w:tcPr>
            <w:tcW w:type="dxa" w:w="3000"/>
          </w:tcPr>
          <w:p>
            <w:r>
              <w:rPr>
                <w:rFonts w:ascii="Arial" w:cs="Arial" w:eastAsia="Arial" w:hAnsi="Arial"/>
                <w:b w:val="false"/>
                <w:bCs w:val="false"/>
                <w:color w:val="000000"/>
                <w:sz w:val="20"/>
                <w:szCs w:val="20"/>
              </w:rPr>
              <w:t xml:space="preserve">1.0</w:t>
            </w:r>
          </w:p>
        </w:tc>
      </w:tr>
      <w:tr>
        <w:tc>
          <w:tcPr>
            <w:tcW w:type="dxa" w:w="3000"/>
          </w:tcPr>
          <w:p>
            <w:r>
              <w:rPr>
                <w:rFonts w:ascii="Arial" w:cs="Arial" w:eastAsia="Arial" w:hAnsi="Arial"/>
                <w:b w:val="false"/>
                <w:bCs w:val="false"/>
                <w:color w:val="000000"/>
                <w:sz w:val="20"/>
                <w:szCs w:val="20"/>
              </w:rPr>
              <w:t xml:space="preserve">NP-VAULT-UAT-001</w:t>
            </w:r>
          </w:p>
        </w:tc>
        <w:tc>
          <w:tcPr>
            <w:tcW w:type="dxa" w:w="3000"/>
          </w:tcPr>
          <w:p>
            <w:r>
              <w:rPr>
                <w:rFonts w:ascii="Arial" w:cs="Arial" w:eastAsia="Arial" w:hAnsi="Arial"/>
                <w:b w:val="false"/>
                <w:bCs w:val="false"/>
                <w:color w:val="000000"/>
                <w:sz w:val="20"/>
                <w:szCs w:val="20"/>
              </w:rPr>
              <w:t xml:space="preserve">UAT Test Scripts</w:t>
            </w:r>
          </w:p>
        </w:tc>
        <w:tc>
          <w:tcPr>
            <w:tcW w:type="dxa" w:w="3000"/>
          </w:tcPr>
          <w:p>
            <w:r>
              <w:rPr>
                <w:rFonts w:ascii="Arial" w:cs="Arial" w:eastAsia="Arial" w:hAnsi="Arial"/>
                <w:b w:val="false"/>
                <w:bCs w:val="false"/>
                <w:color w:val="000000"/>
                <w:sz w:val="20"/>
                <w:szCs w:val="20"/>
              </w:rPr>
              <w:t xml:space="preserve">1.0</w:t>
            </w:r>
          </w:p>
        </w:tc>
      </w:tr>
      <w:tr>
        <w:tc>
          <w:tcPr>
            <w:tcW w:type="dxa" w:w="3000"/>
          </w:tcPr>
          <w:p>
            <w:r>
              <w:rPr>
                <w:rFonts w:ascii="Arial" w:cs="Arial" w:eastAsia="Arial" w:hAnsi="Arial"/>
                <w:b w:val="false"/>
                <w:bCs w:val="false"/>
                <w:color w:val="000000"/>
                <w:sz w:val="20"/>
                <w:szCs w:val="20"/>
              </w:rPr>
              <w:t xml:space="preserve">NP-QA-SOP-0001</w:t>
            </w:r>
          </w:p>
        </w:tc>
        <w:tc>
          <w:tcPr>
            <w:tcW w:type="dxa" w:w="3000"/>
          </w:tcPr>
          <w:p>
            <w:r>
              <w:rPr>
                <w:rFonts w:ascii="Arial" w:cs="Arial" w:eastAsia="Arial" w:hAnsi="Arial"/>
                <w:b w:val="false"/>
                <w:bCs w:val="false"/>
                <w:color w:val="000000"/>
                <w:sz w:val="20"/>
                <w:szCs w:val="20"/>
              </w:rPr>
              <w:t xml:space="preserve">Document Control SOP (current)</w:t>
            </w:r>
          </w:p>
        </w:tc>
        <w:tc>
          <w:tcPr>
            <w:tcW w:type="dxa" w:w="3000"/>
          </w:tcPr>
          <w:p>
            <w:r>
              <w:rPr>
                <w:rFonts w:ascii="Arial" w:cs="Arial" w:eastAsia="Arial" w:hAnsi="Arial"/>
                <w:b w:val="false"/>
                <w:bCs w:val="false"/>
                <w:color w:val="000000"/>
                <w:sz w:val="20"/>
                <w:szCs w:val="20"/>
              </w:rPr>
              <w:t xml:space="preserve">4.2</w:t>
            </w:r>
          </w:p>
        </w:tc>
      </w:tr>
      <w:tr>
        <w:tc>
          <w:tcPr>
            <w:tcW w:type="dxa" w:w="3000"/>
          </w:tcPr>
          <w:p>
            <w:r>
              <w:rPr>
                <w:rFonts w:ascii="Arial" w:cs="Arial" w:eastAsia="Arial" w:hAnsi="Arial"/>
                <w:b w:val="false"/>
                <w:bCs w:val="false"/>
                <w:color w:val="000000"/>
                <w:sz w:val="20"/>
                <w:szCs w:val="20"/>
              </w:rPr>
              <w:t xml:space="preserve">NP-IT-POL-0010</w:t>
            </w:r>
          </w:p>
        </w:tc>
        <w:tc>
          <w:tcPr>
            <w:tcW w:type="dxa" w:w="3000"/>
          </w:tcPr>
          <w:p>
            <w:r>
              <w:rPr>
                <w:rFonts w:ascii="Arial" w:cs="Arial" w:eastAsia="Arial" w:hAnsi="Arial"/>
                <w:b w:val="false"/>
                <w:bCs w:val="false"/>
                <w:color w:val="000000"/>
                <w:sz w:val="20"/>
                <w:szCs w:val="20"/>
              </w:rPr>
              <w:t xml:space="preserve">Computer System Validation Policy</w:t>
            </w:r>
          </w:p>
        </w:tc>
        <w:tc>
          <w:tcPr>
            <w:tcW w:type="dxa" w:w="3000"/>
          </w:tcPr>
          <w:p>
            <w:r>
              <w:rPr>
                <w:rFonts w:ascii="Arial" w:cs="Arial" w:eastAsia="Arial" w:hAnsi="Arial"/>
                <w:b w:val="false"/>
                <w:bCs w:val="false"/>
                <w:color w:val="000000"/>
                <w:sz w:val="20"/>
                <w:szCs w:val="20"/>
              </w:rPr>
              <w:t xml:space="preserve">2.0</w:t>
            </w:r>
          </w:p>
        </w:tc>
      </w:tr>
    </w:tbl>
    <w:p>
      <w:pPr>
        <w:pStyle w:val="Heading2"/>
        <w:spacing w:after="100" w:before="200"/>
      </w:pPr>
      <w:r>
        <w:rPr>
          <w:rFonts w:ascii="Arial" w:cs="Arial" w:eastAsia="Arial" w:hAnsi="Arial"/>
          <w:b/>
          <w:bCs/>
          <w:color w:val="2E75B6"/>
        </w:rPr>
        <w:t xml:space="preserve">6.2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color="auto" w:val="clear"/>
          </w:tcPr>
          <w:p>
            <w:r>
              <w:rPr>
                <w:rFonts w:ascii="Arial" w:cs="Arial" w:eastAsia="Arial" w:hAnsi="Arial"/>
                <w:b/>
                <w:bCs/>
                <w:color w:val="FFFFFF"/>
                <w:sz w:val="20"/>
                <w:szCs w:val="20"/>
              </w:rPr>
              <w:t xml:space="preserve">Term</w:t>
            </w:r>
          </w:p>
        </w:tc>
        <w:tc>
          <w:tcPr>
            <w:tcW w:type="dxa" w:w="4500"/>
            <w:shd w:fill="1F4E79" w:color="auto" w:val="clear"/>
          </w:tcPr>
          <w:p>
            <w:r>
              <w:rPr>
                <w:rFonts w:ascii="Arial" w:cs="Arial" w:eastAsia="Arial" w:hAnsi="Arial"/>
                <w:b/>
                <w:bCs/>
                <w:color w:val="FFFFFF"/>
                <w:sz w:val="20"/>
                <w:szCs w:val="20"/>
              </w:rPr>
              <w:t xml:space="preserve">Definition</w:t>
            </w:r>
          </w:p>
        </w:tc>
      </w:tr>
      <w:tr>
        <w:tc>
          <w:tcPr>
            <w:tcW w:type="dxa" w:w="4500"/>
          </w:tcPr>
          <w:p>
            <w:r>
              <w:rPr>
                <w:rFonts w:ascii="Arial" w:cs="Arial" w:eastAsia="Arial" w:hAnsi="Arial"/>
                <w:b w:val="false"/>
                <w:bCs w:val="false"/>
                <w:color w:val="000000"/>
                <w:sz w:val="20"/>
                <w:szCs w:val="20"/>
              </w:rPr>
              <w:t xml:space="preserve">GxP</w:t>
            </w:r>
          </w:p>
        </w:tc>
        <w:tc>
          <w:tcPr>
            <w:tcW w:type="dxa" w:w="4500"/>
          </w:tcPr>
          <w:p>
            <w:r>
              <w:rPr>
                <w:rFonts w:ascii="Arial" w:cs="Arial" w:eastAsia="Arial" w:hAnsi="Arial"/>
                <w:b w:val="false"/>
                <w:bCs w:val="false"/>
                <w:color w:val="000000"/>
                <w:sz w:val="20"/>
                <w:szCs w:val="20"/>
              </w:rPr>
              <w:t xml:space="preserve">Good Practice regulations (GMP, GLP, GCP, GDP collectively)</w:t>
            </w:r>
          </w:p>
        </w:tc>
      </w:tr>
      <w:tr>
        <w:tc>
          <w:tcPr>
            <w:tcW w:type="dxa" w:w="4500"/>
          </w:tcPr>
          <w:p>
            <w:r>
              <w:rPr>
                <w:rFonts w:ascii="Arial" w:cs="Arial" w:eastAsia="Arial" w:hAnsi="Arial"/>
                <w:b w:val="false"/>
                <w:bCs w:val="false"/>
                <w:color w:val="000000"/>
                <w:sz w:val="20"/>
                <w:szCs w:val="20"/>
              </w:rPr>
              <w:t xml:space="preserve">QualityDocs</w:t>
            </w:r>
          </w:p>
        </w:tc>
        <w:tc>
          <w:tcPr>
            <w:tcW w:type="dxa" w:w="4500"/>
          </w:tcPr>
          <w:p>
            <w:r>
              <w:rPr>
                <w:rFonts w:ascii="Arial" w:cs="Arial" w:eastAsia="Arial" w:hAnsi="Arial"/>
                <w:b w:val="false"/>
                <w:bCs w:val="false"/>
                <w:color w:val="000000"/>
                <w:sz w:val="20"/>
                <w:szCs w:val="20"/>
              </w:rPr>
              <w:t xml:space="preserve">Veeva Vault application for controlled document management</w:t>
            </w:r>
          </w:p>
        </w:tc>
      </w:tr>
      <w:tr>
        <w:tc>
          <w:tcPr>
            <w:tcW w:type="dxa" w:w="4500"/>
          </w:tcPr>
          <w:p>
            <w:r>
              <w:rPr>
                <w:rFonts w:ascii="Arial" w:cs="Arial" w:eastAsia="Arial" w:hAnsi="Arial"/>
                <w:b w:val="false"/>
                <w:bCs w:val="false"/>
                <w:color w:val="000000"/>
                <w:sz w:val="20"/>
                <w:szCs w:val="20"/>
              </w:rPr>
              <w:t xml:space="preserve">DAC</w:t>
            </w:r>
          </w:p>
        </w:tc>
        <w:tc>
          <w:tcPr>
            <w:tcW w:type="dxa" w:w="4500"/>
          </w:tcPr>
          <w:p>
            <w:r>
              <w:rPr>
                <w:rFonts w:ascii="Arial" w:cs="Arial" w:eastAsia="Arial" w:hAnsi="Arial"/>
                <w:b w:val="false"/>
                <w:bCs w:val="false"/>
                <w:color w:val="000000"/>
                <w:sz w:val="20"/>
                <w:szCs w:val="20"/>
              </w:rPr>
              <w:t xml:space="preserve">Dynamic Access Control — Vault's mechanism for state-based permissions</w:t>
            </w:r>
          </w:p>
        </w:tc>
      </w:tr>
      <w:tr>
        <w:tc>
          <w:tcPr>
            <w:tcW w:type="dxa" w:w="4500"/>
          </w:tcPr>
          <w:p>
            <w:r>
              <w:rPr>
                <w:rFonts w:ascii="Arial" w:cs="Arial" w:eastAsia="Arial" w:hAnsi="Arial"/>
                <w:b w:val="false"/>
                <w:bCs w:val="false"/>
                <w:color w:val="000000"/>
                <w:sz w:val="20"/>
                <w:szCs w:val="20"/>
              </w:rPr>
              <w:t xml:space="preserve">VQL</w:t>
            </w:r>
          </w:p>
        </w:tc>
        <w:tc>
          <w:tcPr>
            <w:tcW w:type="dxa" w:w="4500"/>
          </w:tcPr>
          <w:p>
            <w:r>
              <w:rPr>
                <w:rFonts w:ascii="Arial" w:cs="Arial" w:eastAsia="Arial" w:hAnsi="Arial"/>
                <w:b w:val="false"/>
                <w:bCs w:val="false"/>
                <w:color w:val="000000"/>
                <w:sz w:val="20"/>
                <w:szCs w:val="20"/>
              </w:rPr>
              <w:t xml:space="preserve">Vault Query Language — SQL-like query language for Vault data retrieval</w:t>
            </w:r>
          </w:p>
        </w:tc>
      </w:tr>
      <w:tr>
        <w:tc>
          <w:tcPr>
            <w:tcW w:type="dxa" w:w="4500"/>
          </w:tcPr>
          <w:p>
            <w:r>
              <w:rPr>
                <w:rFonts w:ascii="Arial" w:cs="Arial" w:eastAsia="Arial" w:hAnsi="Arial"/>
                <w:b w:val="false"/>
                <w:bCs w:val="false"/>
                <w:color w:val="000000"/>
                <w:sz w:val="20"/>
                <w:szCs w:val="20"/>
              </w:rPr>
              <w:t xml:space="preserve">CSV</w:t>
            </w:r>
          </w:p>
        </w:tc>
        <w:tc>
          <w:tcPr>
            <w:tcW w:type="dxa" w:w="4500"/>
          </w:tcPr>
          <w:p>
            <w:r>
              <w:rPr>
                <w:rFonts w:ascii="Arial" w:cs="Arial" w:eastAsia="Arial" w:hAnsi="Arial"/>
                <w:b w:val="false"/>
                <w:bCs w:val="false"/>
                <w:color w:val="000000"/>
                <w:sz w:val="20"/>
                <w:szCs w:val="20"/>
              </w:rPr>
              <w:t xml:space="preserve">Computer System Validation — process ensuring computerized systems meet requirements</w:t>
            </w:r>
          </w:p>
        </w:tc>
      </w:tr>
      <w:tr>
        <w:tc>
          <w:tcPr>
            <w:tcW w:type="dxa" w:w="4500"/>
          </w:tcPr>
          <w:p>
            <w:r>
              <w:rPr>
                <w:rFonts w:ascii="Arial" w:cs="Arial" w:eastAsia="Arial" w:hAnsi="Arial"/>
                <w:b w:val="false"/>
                <w:bCs w:val="false"/>
                <w:color w:val="000000"/>
                <w:sz w:val="20"/>
                <w:szCs w:val="20"/>
              </w:rPr>
              <w:t xml:space="preserve">GAMP 5</w:t>
            </w:r>
          </w:p>
        </w:tc>
        <w:tc>
          <w:tcPr>
            <w:tcW w:type="dxa" w:w="4500"/>
          </w:tcPr>
          <w:p>
            <w:r>
              <w:rPr>
                <w:rFonts w:ascii="Arial" w:cs="Arial" w:eastAsia="Arial" w:hAnsi="Arial"/>
                <w:b w:val="false"/>
                <w:bCs w:val="false"/>
                <w:color w:val="000000"/>
                <w:sz w:val="20"/>
                <w:szCs w:val="20"/>
              </w:rPr>
              <w:t xml:space="preserve">Good Automated Manufacturing Practice — validation framework for computerized systems</w:t>
            </w:r>
          </w:p>
        </w:tc>
      </w:tr>
      <w:tr>
        <w:tc>
          <w:tcPr>
            <w:tcW w:type="dxa" w:w="4500"/>
          </w:tcPr>
          <w:p>
            <w:r>
              <w:rPr>
                <w:rFonts w:ascii="Arial" w:cs="Arial" w:eastAsia="Arial" w:hAnsi="Arial"/>
                <w:b w:val="false"/>
                <w:bCs w:val="false"/>
                <w:color w:val="000000"/>
                <w:sz w:val="20"/>
                <w:szCs w:val="20"/>
              </w:rPr>
              <w:t xml:space="preserve">21 CFR Part 11</w:t>
            </w:r>
          </w:p>
        </w:tc>
        <w:tc>
          <w:tcPr>
            <w:tcW w:type="dxa" w:w="4500"/>
          </w:tcPr>
          <w:p>
            <w:r>
              <w:rPr>
                <w:rFonts w:ascii="Arial" w:cs="Arial" w:eastAsia="Arial" w:hAnsi="Arial"/>
                <w:b w:val="false"/>
                <w:bCs w:val="false"/>
                <w:color w:val="000000"/>
                <w:sz w:val="20"/>
                <w:szCs w:val="20"/>
              </w:rPr>
              <w:t xml:space="preserve">FDA regulation on electronic records and electronic signatures</w:t>
            </w:r>
          </w:p>
        </w:tc>
      </w:tr>
      <w:tr>
        <w:tc>
          <w:tcPr>
            <w:tcW w:type="dxa" w:w="4500"/>
          </w:tcPr>
          <w:p>
            <w:r>
              <w:rPr>
                <w:rFonts w:ascii="Arial" w:cs="Arial" w:eastAsia="Arial" w:hAnsi="Arial"/>
                <w:b w:val="false"/>
                <w:bCs w:val="false"/>
                <w:color w:val="000000"/>
                <w:sz w:val="20"/>
                <w:szCs w:val="20"/>
              </w:rPr>
              <w:t xml:space="preserve">UAT</w:t>
            </w:r>
          </w:p>
        </w:tc>
        <w:tc>
          <w:tcPr>
            <w:tcW w:type="dxa" w:w="4500"/>
          </w:tcPr>
          <w:p>
            <w:r>
              <w:rPr>
                <w:rFonts w:ascii="Arial" w:cs="Arial" w:eastAsia="Arial" w:hAnsi="Arial"/>
                <w:b w:val="false"/>
                <w:bCs w:val="false"/>
                <w:color w:val="000000"/>
                <w:sz w:val="20"/>
                <w:szCs w:val="20"/>
              </w:rPr>
              <w:t xml:space="preserve">User Acceptance Testing</w:t>
            </w:r>
          </w:p>
        </w:tc>
      </w:tr>
      <w:tr>
        <w:tc>
          <w:tcPr>
            <w:tcW w:type="dxa" w:w="4500"/>
          </w:tcPr>
          <w:p>
            <w:r>
              <w:rPr>
                <w:rFonts w:ascii="Arial" w:cs="Arial" w:eastAsia="Arial" w:hAnsi="Arial"/>
                <w:b w:val="false"/>
                <w:bCs w:val="false"/>
                <w:color w:val="000000"/>
                <w:sz w:val="20"/>
                <w:szCs w:val="20"/>
              </w:rPr>
              <w:t xml:space="preserve">SOP</w:t>
            </w:r>
          </w:p>
        </w:tc>
        <w:tc>
          <w:tcPr>
            <w:tcW w:type="dxa" w:w="4500"/>
          </w:tcPr>
          <w:p>
            <w:r>
              <w:rPr>
                <w:rFonts w:ascii="Arial" w:cs="Arial" w:eastAsia="Arial" w:hAnsi="Arial"/>
                <w:b w:val="false"/>
                <w:bCs w:val="false"/>
                <w:color w:val="000000"/>
                <w:sz w:val="20"/>
                <w:szCs w:val="20"/>
              </w:rPr>
              <w:t xml:space="preserve">Standard Operating Procedure</w:t>
            </w:r>
          </w:p>
        </w:tc>
      </w:tr>
      <w:tr>
        <w:tc>
          <w:tcPr>
            <w:tcW w:type="dxa" w:w="4500"/>
          </w:tcPr>
          <w:p>
            <w:r>
              <w:rPr>
                <w:rFonts w:ascii="Arial" w:cs="Arial" w:eastAsia="Arial" w:hAnsi="Arial"/>
                <w:b w:val="false"/>
                <w:bCs w:val="false"/>
                <w:color w:val="000000"/>
                <w:sz w:val="20"/>
                <w:szCs w:val="20"/>
              </w:rPr>
              <w:t xml:space="preserve">CAPA</w:t>
            </w:r>
          </w:p>
        </w:tc>
        <w:tc>
          <w:tcPr>
            <w:tcW w:type="dxa" w:w="4500"/>
          </w:tcPr>
          <w:p>
            <w:r>
              <w:rPr>
                <w:rFonts w:ascii="Arial" w:cs="Arial" w:eastAsia="Arial" w:hAnsi="Arial"/>
                <w:b w:val="false"/>
                <w:bCs w:val="false"/>
                <w:color w:val="000000"/>
                <w:sz w:val="20"/>
                <w:szCs w:val="20"/>
              </w:rPr>
              <w:t xml:space="preserve">Corrective Action / Preventive Action</w:t>
            </w:r>
          </w:p>
        </w:tc>
      </w:tr>
    </w:tbl>
    <w:p>
      <w:pPr>
        <w:pStyle w:val="Heading2"/>
        <w:spacing w:after="200" w:before="400"/>
      </w:pPr>
      <w:r>
        <w:rPr>
          <w:rFonts w:ascii="Arial" w:cs="Arial" w:eastAsia="Arial" w:hAnsi="Arial"/>
          <w:b/>
          <w:bCs/>
          <w:color w:val="2E75B6"/>
        </w:rPr>
        <w:t xml:space="preserve">6.3 Approval Signatures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4E79" w:color="auto" w:val="clear"/>
          </w:tcPr>
          <w:p>
            <w:r>
              <w:rPr>
                <w:rFonts w:ascii="Arial" w:cs="Arial" w:eastAsia="Arial" w:hAnsi="Arial"/>
                <w:b/>
                <w:bCs/>
                <w:color w:val="FFFFFF"/>
                <w:sz w:val="20"/>
                <w:szCs w:val="20"/>
              </w:rPr>
              <w:t xml:space="preserve">Role</w:t>
            </w:r>
          </w:p>
        </w:tc>
        <w:tc>
          <w:tcPr>
            <w:tcW w:type="dxa" w:w="2250"/>
            <w:shd w:fill="1F4E79" w:color="auto" w:val="clear"/>
          </w:tcPr>
          <w:p>
            <w:r>
              <w:rPr>
                <w:rFonts w:ascii="Arial" w:cs="Arial" w:eastAsia="Arial" w:hAnsi="Arial"/>
                <w:b/>
                <w:bCs/>
                <w:color w:val="FFFFFF"/>
                <w:sz w:val="20"/>
                <w:szCs w:val="20"/>
              </w:rPr>
              <w:t xml:space="preserve">Name</w:t>
            </w:r>
          </w:p>
        </w:tc>
        <w:tc>
          <w:tcPr>
            <w:tcW w:type="dxa" w:w="2250"/>
            <w:shd w:fill="1F4E79" w:color="auto" w:val="clear"/>
          </w:tcPr>
          <w:p>
            <w:r>
              <w:rPr>
                <w:rFonts w:ascii="Arial" w:cs="Arial" w:eastAsia="Arial" w:hAnsi="Arial"/>
                <w:b/>
                <w:bCs/>
                <w:color w:val="FFFFFF"/>
                <w:sz w:val="20"/>
                <w:szCs w:val="20"/>
              </w:rPr>
              <w:t xml:space="preserve">Signature</w:t>
            </w:r>
          </w:p>
        </w:tc>
        <w:tc>
          <w:tcPr>
            <w:tcW w:type="dxa" w:w="2250"/>
            <w:shd w:fill="1F4E79" w:color="auto" w:val="clear"/>
          </w:tcPr>
          <w:p>
            <w:r>
              <w:rPr>
                <w:rFonts w:ascii="Arial" w:cs="Arial" w:eastAsia="Arial" w:hAnsi="Arial"/>
                <w:b/>
                <w:bCs/>
                <w:color w:val="FFFFFF"/>
                <w:sz w:val="20"/>
                <w:szCs w:val="20"/>
              </w:rPr>
              <w:t xml:space="preserve">Date</w:t>
            </w:r>
          </w:p>
        </w:tc>
      </w:tr>
      <w:tr>
        <w:tc>
          <w:tcPr>
            <w:tcW w:type="dxa" w:w="2250"/>
          </w:tcPr>
          <w:p>
            <w:r>
              <w:rPr>
                <w:rFonts w:ascii="Arial" w:cs="Arial" w:eastAsia="Arial" w:hAnsi="Arial"/>
                <w:b w:val="false"/>
                <w:bCs w:val="false"/>
                <w:color w:val="000000"/>
                <w:sz w:val="20"/>
                <w:szCs w:val="20"/>
              </w:rPr>
              <w:t xml:space="preserve">Project Sponsor (VP Quality)</w:t>
            </w:r>
          </w:p>
        </w:tc>
        <w:tc>
          <w:tcPr>
            <w:tcW w:type="dxa" w:w="2250"/>
          </w:tcPr>
          <w:p>
            <w:r>
              <w:rPr>
                <w:rFonts w:ascii="Arial" w:cs="Arial" w:eastAsia="Arial" w:hAnsi="Arial"/>
                <w:b w:val="false"/>
                <w:bCs w:val="false"/>
                <w:color w:val="000000"/>
                <w:sz w:val="20"/>
                <w:szCs w:val="20"/>
              </w:rPr>
              <w:t xml:space="preserve"/>
            </w:r>
          </w:p>
        </w:tc>
        <w:tc>
          <w:tcPr>
            <w:tcW w:type="dxa" w:w="2250"/>
          </w:tcPr>
          <w:p>
            <w:r>
              <w:rPr>
                <w:rFonts w:ascii="Arial" w:cs="Arial" w:eastAsia="Arial" w:hAnsi="Arial"/>
                <w:b w:val="false"/>
                <w:bCs w:val="false"/>
                <w:color w:val="000000"/>
                <w:sz w:val="20"/>
                <w:szCs w:val="20"/>
              </w:rPr>
              <w:t xml:space="preserve"/>
            </w:r>
          </w:p>
        </w:tc>
        <w:tc>
          <w:tcPr>
            <w:tcW w:type="dxa" w:w="2250"/>
          </w:tcPr>
          <w:p>
            <w:r>
              <w:rPr>
                <w:rFonts w:ascii="Arial" w:cs="Arial" w:eastAsia="Arial" w:hAnsi="Arial"/>
                <w:b w:val="false"/>
                <w:bCs w:val="false"/>
                <w:color w:val="000000"/>
                <w:sz w:val="20"/>
                <w:szCs w:val="20"/>
              </w:rPr>
              <w:t xml:space="preserve"/>
            </w:r>
          </w:p>
        </w:tc>
      </w:tr>
      <w:tr>
        <w:tc>
          <w:tcPr>
            <w:tcW w:type="dxa" w:w="2250"/>
          </w:tcPr>
          <w:p>
            <w:r>
              <w:rPr>
                <w:rFonts w:ascii="Arial" w:cs="Arial" w:eastAsia="Arial" w:hAnsi="Arial"/>
                <w:b w:val="false"/>
                <w:bCs w:val="false"/>
                <w:color w:val="000000"/>
                <w:sz w:val="20"/>
                <w:szCs w:val="20"/>
              </w:rPr>
              <w:t xml:space="preserve">Quality Systems Manager</w:t>
            </w:r>
          </w:p>
        </w:tc>
        <w:tc>
          <w:tcPr>
            <w:tcW w:type="dxa" w:w="2250"/>
          </w:tcPr>
          <w:p>
            <w:r>
              <w:rPr>
                <w:rFonts w:ascii="Arial" w:cs="Arial" w:eastAsia="Arial" w:hAnsi="Arial"/>
                <w:b w:val="false"/>
                <w:bCs w:val="false"/>
                <w:color w:val="000000"/>
                <w:sz w:val="20"/>
                <w:szCs w:val="20"/>
              </w:rPr>
              <w:t xml:space="preserve"/>
            </w:r>
          </w:p>
        </w:tc>
        <w:tc>
          <w:tcPr>
            <w:tcW w:type="dxa" w:w="2250"/>
          </w:tcPr>
          <w:p>
            <w:r>
              <w:rPr>
                <w:rFonts w:ascii="Arial" w:cs="Arial" w:eastAsia="Arial" w:hAnsi="Arial"/>
                <w:b w:val="false"/>
                <w:bCs w:val="false"/>
                <w:color w:val="000000"/>
                <w:sz w:val="20"/>
                <w:szCs w:val="20"/>
              </w:rPr>
              <w:t xml:space="preserve"/>
            </w:r>
          </w:p>
        </w:tc>
        <w:tc>
          <w:tcPr>
            <w:tcW w:type="dxa" w:w="2250"/>
          </w:tcPr>
          <w:p>
            <w:r>
              <w:rPr>
                <w:rFonts w:ascii="Arial" w:cs="Arial" w:eastAsia="Arial" w:hAnsi="Arial"/>
                <w:b w:val="false"/>
                <w:bCs w:val="false"/>
                <w:color w:val="000000"/>
                <w:sz w:val="20"/>
                <w:szCs w:val="20"/>
              </w:rPr>
              <w:t xml:space="preserve"/>
            </w:r>
          </w:p>
        </w:tc>
      </w:tr>
      <w:tr>
        <w:tc>
          <w:tcPr>
            <w:tcW w:type="dxa" w:w="2250"/>
          </w:tcPr>
          <w:p>
            <w:r>
              <w:rPr>
                <w:rFonts w:ascii="Arial" w:cs="Arial" w:eastAsia="Arial" w:hAnsi="Arial"/>
                <w:b w:val="false"/>
                <w:bCs w:val="false"/>
                <w:color w:val="000000"/>
                <w:sz w:val="20"/>
                <w:szCs w:val="20"/>
              </w:rPr>
              <w:t xml:space="preserve">IT Project Manager</w:t>
            </w:r>
          </w:p>
        </w:tc>
        <w:tc>
          <w:tcPr>
            <w:tcW w:type="dxa" w:w="2250"/>
          </w:tcPr>
          <w:p>
            <w:r>
              <w:rPr>
                <w:rFonts w:ascii="Arial" w:cs="Arial" w:eastAsia="Arial" w:hAnsi="Arial"/>
                <w:b w:val="false"/>
                <w:bCs w:val="false"/>
                <w:color w:val="000000"/>
                <w:sz w:val="20"/>
                <w:szCs w:val="20"/>
              </w:rPr>
              <w:t xml:space="preserve"/>
            </w:r>
          </w:p>
        </w:tc>
        <w:tc>
          <w:tcPr>
            <w:tcW w:type="dxa" w:w="2250"/>
          </w:tcPr>
          <w:p>
            <w:r>
              <w:rPr>
                <w:rFonts w:ascii="Arial" w:cs="Arial" w:eastAsia="Arial" w:hAnsi="Arial"/>
                <w:b w:val="false"/>
                <w:bCs w:val="false"/>
                <w:color w:val="000000"/>
                <w:sz w:val="20"/>
                <w:szCs w:val="20"/>
              </w:rPr>
              <w:t xml:space="preserve"/>
            </w:r>
          </w:p>
        </w:tc>
        <w:tc>
          <w:tcPr>
            <w:tcW w:type="dxa" w:w="2250"/>
          </w:tcPr>
          <w:p>
            <w:r>
              <w:rPr>
                <w:rFonts w:ascii="Arial" w:cs="Arial" w:eastAsia="Arial" w:hAnsi="Arial"/>
                <w:b w:val="false"/>
                <w:bCs w:val="false"/>
                <w:color w:val="000000"/>
                <w:sz w:val="20"/>
                <w:szCs w:val="20"/>
              </w:rPr>
              <w:t xml:space="preserve"/>
            </w:r>
          </w:p>
        </w:tc>
      </w:tr>
      <w:tr>
        <w:tc>
          <w:tcPr>
            <w:tcW w:type="dxa" w:w="2250"/>
          </w:tcPr>
          <w:p>
            <w:r>
              <w:rPr>
                <w:rFonts w:ascii="Arial" w:cs="Arial" w:eastAsia="Arial" w:hAnsi="Arial"/>
                <w:b w:val="false"/>
                <w:bCs w:val="false"/>
                <w:color w:val="000000"/>
                <w:sz w:val="20"/>
                <w:szCs w:val="20"/>
              </w:rPr>
              <w:t xml:space="preserve">Veeva Implementation Lead</w:t>
            </w:r>
          </w:p>
        </w:tc>
        <w:tc>
          <w:tcPr>
            <w:tcW w:type="dxa" w:w="2250"/>
          </w:tcPr>
          <w:p>
            <w:r>
              <w:rPr>
                <w:rFonts w:ascii="Arial" w:cs="Arial" w:eastAsia="Arial" w:hAnsi="Arial"/>
                <w:b w:val="false"/>
                <w:bCs w:val="false"/>
                <w:color w:val="000000"/>
                <w:sz w:val="20"/>
                <w:szCs w:val="20"/>
              </w:rPr>
              <w:t xml:space="preserve"/>
            </w:r>
          </w:p>
        </w:tc>
        <w:tc>
          <w:tcPr>
            <w:tcW w:type="dxa" w:w="2250"/>
          </w:tcPr>
          <w:p>
            <w:r>
              <w:rPr>
                <w:rFonts w:ascii="Arial" w:cs="Arial" w:eastAsia="Arial" w:hAnsi="Arial"/>
                <w:b w:val="false"/>
                <w:bCs w:val="false"/>
                <w:color w:val="000000"/>
                <w:sz w:val="20"/>
                <w:szCs w:val="20"/>
              </w:rPr>
              <w:t xml:space="preserve"/>
            </w:r>
          </w:p>
        </w:tc>
        <w:tc>
          <w:tcPr>
            <w:tcW w:type="dxa" w:w="2250"/>
          </w:tcPr>
          <w:p>
            <w:r>
              <w:rPr>
                <w:rFonts w:ascii="Arial" w:cs="Arial" w:eastAsia="Arial" w:hAnsi="Arial"/>
                <w:b w:val="false"/>
                <w:bCs w:val="false"/>
                <w:color w:val="000000"/>
                <w:sz w:val="20"/>
                <w:szCs w:val="20"/>
              </w:rPr>
              <w:t xml:space="preserve"/>
            </w:r>
          </w:p>
        </w:tc>
      </w:tr>
      <w:tr>
        <w:tc>
          <w:tcPr>
            <w:tcW w:type="dxa" w:w="2250"/>
          </w:tcPr>
          <w:p>
            <w:r>
              <w:rPr>
                <w:rFonts w:ascii="Arial" w:cs="Arial" w:eastAsia="Arial" w:hAnsi="Arial"/>
                <w:b w:val="false"/>
                <w:bCs w:val="false"/>
                <w:color w:val="000000"/>
                <w:sz w:val="20"/>
                <w:szCs w:val="20"/>
              </w:rPr>
              <w:t xml:space="preserve">Validation Lead</w:t>
            </w:r>
          </w:p>
        </w:tc>
        <w:tc>
          <w:tcPr>
            <w:tcW w:type="dxa" w:w="2250"/>
          </w:tcPr>
          <w:p>
            <w:r>
              <w:rPr>
                <w:rFonts w:ascii="Arial" w:cs="Arial" w:eastAsia="Arial" w:hAnsi="Arial"/>
                <w:b w:val="false"/>
                <w:bCs w:val="false"/>
                <w:color w:val="000000"/>
                <w:sz w:val="20"/>
                <w:szCs w:val="20"/>
              </w:rPr>
              <w:t xml:space="preserve"/>
            </w:r>
          </w:p>
        </w:tc>
        <w:tc>
          <w:tcPr>
            <w:tcW w:type="dxa" w:w="2250"/>
          </w:tcPr>
          <w:p>
            <w:r>
              <w:rPr>
                <w:rFonts w:ascii="Arial" w:cs="Arial" w:eastAsia="Arial" w:hAnsi="Arial"/>
                <w:b w:val="false"/>
                <w:bCs w:val="false"/>
                <w:color w:val="000000"/>
                <w:sz w:val="20"/>
                <w:szCs w:val="20"/>
              </w:rPr>
              <w:t xml:space="preserve"/>
            </w:r>
          </w:p>
        </w:tc>
        <w:tc>
          <w:tcPr>
            <w:tcW w:type="dxa" w:w="2250"/>
          </w:tcPr>
          <w:p>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NovaPharma Inc. | Vault QualityDocs FRD | NP-VAULT-FRD-001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2026-09-21T08:04:43.903Z</dcterms:created>
  <dcterms:modified xsi:type="dcterms:W3CDTF">2026-09-21T08:04:43.911Z</dcterms:modified>
</cp:coreProperties>
</file>

<file path=docProps/custom.xml><?xml version="1.0" encoding="utf-8"?>
<Properties xmlns="http://schemas.openxmlformats.org/officeDocument/2006/custom-properties" xmlns:vt="http://schemas.openxmlformats.org/officeDocument/2006/docPropsVTypes"/>
</file>