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Purple Team: Dylan Bonis, Robert Duvall, Melinda Guthman, Meg Kellenberger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rtl w:val="0"/>
        </w:rPr>
        <w:t xml:space="preserve">12/4/22, Module 10 Assignment, </w:t>
      </w:r>
      <w:r w:rsidDel="00000000" w:rsidR="00000000" w:rsidRPr="00000000">
        <w:rPr>
          <w:u w:val="single"/>
          <w:rtl w:val="0"/>
        </w:rPr>
        <w:t xml:space="preserve">Willson Financial</w:t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Revised ERD: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95900" cy="4474987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7162" l="1418" r="0" t="121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474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Changelog: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12/1/22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Added Transaction_ID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Added_Transaction Type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Changed Customer to Client to better fit prompt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Added Employee_Address and Employee_Phone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Removed Employee and Job? (Though they are still part of the database for function)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12/2/22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Changed Transaction Type to Function Table w/ Function ID and Function_Name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Changed Client to Customer due to it being a reserved word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Added Date_Added to Customer table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3NF: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819775" cy="11430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Display Screenshots: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914900" cy="3962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14900" cy="48768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33900" cy="26003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52875" cy="69437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94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81675" cy="58388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83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19775" cy="7581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58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14675" cy="75438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54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