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30E" w:rsidRDefault="005C7C99">
      <w:pPr>
        <w:pStyle w:val="Standard"/>
        <w:tabs>
          <w:tab w:val="left" w:pos="720"/>
        </w:tabs>
        <w:spacing w:line="480" w:lineRule="auto"/>
        <w:jc w:val="center"/>
        <w:rPr>
          <w:rFonts w:ascii="Times New Roman" w:hAnsi="Times New Roman" w:cs="Times New Roman"/>
        </w:rPr>
      </w:pPr>
      <w:r>
        <w:rPr>
          <w:rFonts w:ascii="Times New Roman" w:hAnsi="Times New Roman" w:cs="Times New Roman"/>
        </w:rPr>
        <w:t>Metagenomic Characterization of the Microbiome and Resistome of Retail Ground Beef Products</w:t>
      </w:r>
    </w:p>
    <w:p w:rsidR="001C630E" w:rsidRDefault="005C7C99">
      <w:pPr>
        <w:rPr>
          <w:rFonts w:ascii="Times New Roman" w:hAnsi="Times New Roman" w:cs="Times New Roman"/>
          <w:b/>
          <w:bCs/>
          <w:sz w:val="24"/>
          <w:szCs w:val="24"/>
        </w:rPr>
      </w:pPr>
      <w:r>
        <w:rPr>
          <w:rFonts w:ascii="Times New Roman" w:hAnsi="Times New Roman" w:cs="Times New Roman"/>
          <w:b/>
          <w:bCs/>
          <w:sz w:val="24"/>
          <w:szCs w:val="24"/>
        </w:rPr>
        <w:t>Authors</w:t>
      </w:r>
    </w:p>
    <w:p w:rsidR="001C630E" w:rsidRDefault="005C7C99">
      <w:pPr>
        <w:rPr>
          <w:rFonts w:ascii="Times New Roman" w:hAnsi="Times New Roman" w:cs="Times New Roman"/>
          <w:sz w:val="24"/>
          <w:szCs w:val="24"/>
        </w:rPr>
      </w:pPr>
      <w:r>
        <w:rPr>
          <w:rFonts w:ascii="Times New Roman" w:hAnsi="Times New Roman" w:cs="Times New Roman"/>
          <w:sz w:val="24"/>
          <w:szCs w:val="24"/>
        </w:rPr>
        <w:t>E. Doster, K.M. Thomas, M. D. Weinroth, J.K. Parker, K. K. Crone, T. M. Arthur, J.W. Schmidt, T.L. Wheeler, K.E. Belk</w:t>
      </w:r>
      <w:r>
        <w:rPr>
          <w:rFonts w:ascii="Times New Roman" w:hAnsi="Times New Roman" w:cs="Times New Roman"/>
          <w:sz w:val="24"/>
          <w:szCs w:val="24"/>
          <w:vertAlign w:val="superscript"/>
        </w:rPr>
        <w:t>*</w:t>
      </w:r>
      <w:r>
        <w:rPr>
          <w:rFonts w:ascii="Times New Roman" w:hAnsi="Times New Roman" w:cs="Times New Roman"/>
          <w:sz w:val="24"/>
          <w:szCs w:val="24"/>
        </w:rPr>
        <w:t>, P.S. Morley</w:t>
      </w:r>
      <w:r>
        <w:rPr>
          <w:rFonts w:ascii="Times New Roman" w:hAnsi="Times New Roman" w:cs="Times New Roman"/>
          <w:sz w:val="24"/>
          <w:szCs w:val="24"/>
          <w:vertAlign w:val="superscript"/>
        </w:rPr>
        <w:t>*</w:t>
      </w:r>
      <w:r>
        <w:rPr>
          <w:rFonts w:ascii="Times New Roman" w:hAnsi="Times New Roman" w:cs="Times New Roman"/>
          <w:sz w:val="24"/>
          <w:szCs w:val="24"/>
        </w:rPr>
        <w:t xml:space="preserve"> </w:t>
      </w:r>
    </w:p>
    <w:p w:rsidR="001C630E" w:rsidRDefault="001C630E">
      <w:pPr>
        <w:pStyle w:val="Standard"/>
        <w:tabs>
          <w:tab w:val="left" w:pos="720"/>
        </w:tabs>
        <w:spacing w:line="480" w:lineRule="auto"/>
        <w:rPr>
          <w:rFonts w:ascii="Times New Roman" w:hAnsi="Times New Roman" w:cs="Times New Roman"/>
          <w:b/>
          <w:bCs/>
        </w:rPr>
      </w:pPr>
    </w:p>
    <w:p w:rsidR="001C630E" w:rsidRDefault="005C7C99">
      <w:pPr>
        <w:pStyle w:val="Standard"/>
        <w:tabs>
          <w:tab w:val="left" w:pos="720"/>
        </w:tabs>
        <w:spacing w:line="480" w:lineRule="auto"/>
        <w:rPr>
          <w:rFonts w:ascii="Times New Roman" w:hAnsi="Times New Roman" w:cs="Times New Roman"/>
          <w:b/>
          <w:bCs/>
        </w:rPr>
      </w:pPr>
      <w:r>
        <w:rPr>
          <w:rFonts w:ascii="Times New Roman" w:hAnsi="Times New Roman" w:cs="Times New Roman"/>
        </w:rPr>
        <w:t>* These authors have contributed equally to this work and are senior authors</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b/>
          <w:bCs/>
        </w:rPr>
        <w:t>ABSTRACT</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ab/>
        <w:t>Ground beef can be a reservoir for a variety of bacteria, including spoilage organisms and pathogenic foodborne bacteria</w:t>
      </w:r>
      <w:r>
        <w:rPr>
          <w:rFonts w:ascii="Times New Roman" w:hAnsi="Times New Roman" w:cs="Times New Roman"/>
          <w:i/>
        </w:rPr>
        <w:t xml:space="preserve">. </w:t>
      </w:r>
      <w:r>
        <w:rPr>
          <w:rFonts w:ascii="Times New Roman" w:hAnsi="Times New Roman" w:cs="Times New Roman"/>
        </w:rPr>
        <w:t xml:space="preserve">These bacteria can exhibit antimicrobial resistance (AMR) which is a public health concern if resistance in pathogens leads to treatment failure in humans. </w:t>
      </w:r>
      <w:r w:rsidR="00D638BF">
        <w:rPr>
          <w:rFonts w:ascii="Times New Roman" w:hAnsi="Times New Roman" w:cs="Times New Roman"/>
        </w:rPr>
        <w:t>Culture-dependent techniques</w:t>
      </w:r>
      <w:r>
        <w:rPr>
          <w:rFonts w:ascii="Times New Roman" w:hAnsi="Times New Roman" w:cs="Times New Roman"/>
        </w:rPr>
        <w:t xml:space="preserve"> </w:t>
      </w:r>
      <w:r w:rsidR="00D638BF">
        <w:rPr>
          <w:rFonts w:ascii="Times New Roman" w:hAnsi="Times New Roman" w:cs="Times New Roman"/>
        </w:rPr>
        <w:t>are</w:t>
      </w:r>
      <w:r>
        <w:rPr>
          <w:rFonts w:ascii="Times New Roman" w:hAnsi="Times New Roman" w:cs="Times New Roman"/>
        </w:rPr>
        <w:t xml:space="preserve"> commonly used to study individual bacterial species, but </w:t>
      </w:r>
      <w:r w:rsidR="00D638BF">
        <w:rPr>
          <w:rFonts w:ascii="Times New Roman" w:hAnsi="Times New Roman" w:cs="Times New Roman"/>
        </w:rPr>
        <w:t>these techniques are</w:t>
      </w:r>
      <w:r>
        <w:rPr>
          <w:rFonts w:ascii="Times New Roman" w:hAnsi="Times New Roman" w:cs="Times New Roman"/>
        </w:rPr>
        <w:t xml:space="preserve"> unable to describe the</w:t>
      </w:r>
      <w:r w:rsidR="00D638BF">
        <w:rPr>
          <w:rFonts w:ascii="Times New Roman" w:hAnsi="Times New Roman" w:cs="Times New Roman"/>
        </w:rPr>
        <w:t xml:space="preserve"> whole</w:t>
      </w:r>
      <w:r>
        <w:rPr>
          <w:rFonts w:ascii="Times New Roman" w:hAnsi="Times New Roman" w:cs="Times New Roman"/>
        </w:rPr>
        <w:t xml:space="preserve"> community of microbial species (microbiome) and the profile of AMR genes they carry (resistome), which is critical for getting a holistic perspective of AMR. The objective of this study was to characterize the microbiome and resistome of retail ground beef products labeled as coming from conventional or raised without antibiotics (RWA) production systems.</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ab/>
        <w:t>Sixteen ground beef products were purchased from 6 retail grocery outlets in Fort Collins, CO, half of which were labeled as produced from cattle raised conventionally and half of products were from RWA production. Total DNA was extracted and isolated from each sample and subjected to 16S rRNA amplicon sequencing for microbiome characterization and target-enriched shotgun sequencing to characterize the resistome. Differences in the microbiome and resistome of RWA and conventional ground beef were analyzed using the R programming softw</w:t>
      </w:r>
      <w:bookmarkStart w:id="0" w:name="__DdeLink__67_65536250"/>
      <w:bookmarkEnd w:id="0"/>
      <w:r>
        <w:rPr>
          <w:rFonts w:ascii="Times New Roman" w:hAnsi="Times New Roman" w:cs="Times New Roman"/>
        </w:rPr>
        <w:t>are.</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lastRenderedPageBreak/>
        <w:tab/>
        <w:t>Our results suggest that the resistome and microbiome of retail ground beef products with RWA packaging labels do not differ from products that do not carry claims regarding antimicrobial drug exposures during cattle production. The resistome predominantly consisted of tetracycline resistance making up more than 90% of reads mapped to resistance gene accessions in our samples. Firmicutes and Proteobacteria predominated in the microbiome of all samples (</w:t>
      </w:r>
      <w:r w:rsidR="004B33C2">
        <w:rPr>
          <w:rFonts w:ascii="Times New Roman" w:hAnsi="Times New Roman" w:cs="Times New Roman"/>
        </w:rPr>
        <w:t>69.6</w:t>
      </w:r>
      <w:r>
        <w:rPr>
          <w:rFonts w:ascii="Times New Roman" w:hAnsi="Times New Roman" w:cs="Times New Roman"/>
        </w:rPr>
        <w:t xml:space="preserve">% and </w:t>
      </w:r>
      <w:r w:rsidR="004B33C2">
        <w:rPr>
          <w:rFonts w:ascii="Times New Roman" w:hAnsi="Times New Roman" w:cs="Times New Roman"/>
        </w:rPr>
        <w:t>29</w:t>
      </w:r>
      <w:r>
        <w:rPr>
          <w:rFonts w:ascii="Times New Roman" w:hAnsi="Times New Roman" w:cs="Times New Roman"/>
        </w:rPr>
        <w:t>%, respectively), but Proteobacteria composed a higher proportion in ground beef from conventionally raised cattle. In addition, our results suggest that product management, such as packaging type, could exert a stronger influence on the microbiome than the resistome in consumer-ready products. Metagenomic analyses of ground beef is a promising tool to investigate community-wide shifts in retail ground beef. Importantly, however, results from metagenomic sequencing must be carefully considered in parallel with traditional methods to better characterize the risk of AMR in retail products.</w:t>
      </w:r>
    </w:p>
    <w:p w:rsidR="001C630E" w:rsidRDefault="005C7C99">
      <w:pPr>
        <w:pStyle w:val="Standard"/>
        <w:tabs>
          <w:tab w:val="left" w:pos="720"/>
        </w:tabs>
        <w:spacing w:line="480" w:lineRule="auto"/>
        <w:rPr>
          <w:rFonts w:ascii="Times New Roman" w:hAnsi="Times New Roman" w:cs="Times New Roman"/>
        </w:rPr>
      </w:pPr>
      <w:r>
        <w:br w:type="page"/>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b/>
          <w:bCs/>
        </w:rPr>
        <w:lastRenderedPageBreak/>
        <w:t>INTRODUCTION</w:t>
      </w:r>
    </w:p>
    <w:p w:rsidR="001C630E" w:rsidRDefault="005C7C99">
      <w:pPr>
        <w:pStyle w:val="Standard"/>
        <w:spacing w:line="480" w:lineRule="auto"/>
        <w:rPr>
          <w:rFonts w:ascii="Times New Roman" w:hAnsi="Times New Roman" w:cs="Times New Roman"/>
        </w:rPr>
      </w:pPr>
      <w:r>
        <w:rPr>
          <w:rFonts w:ascii="Times New Roman" w:hAnsi="Times New Roman" w:cs="Times New Roman"/>
        </w:rPr>
        <w:tab/>
        <w:t xml:space="preserve">Ground beef can be a reservoir for a variety of bacteria, including spoilage organisms and pathogenic foodborne bacteria. Multiple-hurdle intervention systems used during harvest and post-harvest are used to bolster meat safety and have shown to greatly reduce the bacterial load on carcasses and downstream products </w:t>
      </w:r>
      <w:r>
        <w:fldChar w:fldCharType="begin"/>
      </w:r>
      <w:r>
        <w:rPr>
          <w:rFonts w:ascii="Times New Roman" w:hAnsi="Times New Roman" w:cs="Times New Roman"/>
        </w:rPr>
        <w:instrText>ADDIN ZOTERO_ITEM CSL_CITATION {"citationID":"YIuJuMyy","properties":{"formattedCitation":"(Wheeler et al., 2014)","plainCitation":"(Wheeler et al., 2014)","noteIndex":0},"citationItems":[{"id":344,"uris":["http://zotero.org/users/2162098/items/2C3CL8FM"],"uri":["http://zotero.org/users/2162098/items/2C3CL8FM"],"itemData":{"id":344,"type":"article-journal","abstract":"Significant effort has been targeted at reducing the risk of pathogens in U.S. beef products since the mid-1990s. These efforts were focused on Escherichia coli O157:H7 after it was declared an adulterant in ground beef or its components. Post-harvest interventions applied to hides and carcasses by beef processors resulted in significant progress. Effective pre-harvest approaches proved hard to identify and implement. Six additional pathogenic E. coli serogroups were made adulterants in some beef products in 2012 and discussion regarding Salmonella is ongoing. Success to date has resulted from the combination of regulatory, research, and industry efforts to reduce the presence of pathogens in beef.","collection-title":"Meat Science, Sustainability &amp; Innovation: ‘60th International Congress of Meat Science and Technology 17-22 August 2014, Punta del Este, Uruguay’","container-title":"Meat Science","DOI":"10.1016/j.meatsci.2014.06.026","ISSN":"0309-1740","issue":"3","journalAbbreviation":"Meat Science","page":"372-382","source":"ScienceDirect","title":"Pre- and post-harvest interventions to reduce pathogen contamination in the U.S. beef industry","volume":"98","author":[{"family":"Wheeler","given":"T. L."},{"family":"Kalchayanand","given":"N."},{"family":"Bosilevac","given":"J. M."}],"issued":{"date-parts":[["2014",11,1]]}}}],"schema":"https://github.com/citation-style-language/schema/raw/master/csl-citation.json"}</w:instrText>
      </w:r>
      <w:r>
        <w:rPr>
          <w:rFonts w:ascii="Times New Roman" w:hAnsi="Times New Roman" w:cs="Times New Roman"/>
        </w:rPr>
        <w:fldChar w:fldCharType="separate"/>
      </w:r>
      <w:bookmarkStart w:id="1" w:name="Bookmark1"/>
      <w:r>
        <w:rPr>
          <w:rFonts w:ascii="Times New Roman" w:hAnsi="Times New Roman" w:cs="Times New Roman"/>
        </w:rPr>
        <w:t>(</w:t>
      </w:r>
      <w:bookmarkStart w:id="2" w:name="Bookmark11"/>
      <w:r>
        <w:rPr>
          <w:rFonts w:ascii="Times New Roman" w:hAnsi="Times New Roman" w:cs="Times New Roman"/>
        </w:rPr>
        <w:t>W</w:t>
      </w:r>
      <w:bookmarkStart w:id="3" w:name="Bookmark111"/>
      <w:r>
        <w:rPr>
          <w:rFonts w:ascii="Times New Roman" w:hAnsi="Times New Roman" w:cs="Times New Roman"/>
        </w:rPr>
        <w:t>heeler et al., 2014)</w:t>
      </w:r>
      <w:r>
        <w:rPr>
          <w:rFonts w:ascii="Times New Roman" w:hAnsi="Times New Roman" w:cs="Times New Roman"/>
        </w:rPr>
        <w:fldChar w:fldCharType="end"/>
      </w:r>
      <w:bookmarkStart w:id="4" w:name="__Fieldmark__3126_2727157154"/>
      <w:bookmarkStart w:id="5" w:name="__Fieldmark__12373_2875450830"/>
      <w:bookmarkEnd w:id="1"/>
      <w:bookmarkEnd w:id="2"/>
      <w:bookmarkEnd w:id="3"/>
      <w:bookmarkEnd w:id="4"/>
      <w:bookmarkEnd w:id="5"/>
      <w:r>
        <w:rPr>
          <w:rFonts w:ascii="Times New Roman" w:hAnsi="Times New Roman" w:cs="Times New Roman"/>
        </w:rPr>
        <w:t xml:space="preserve">. However, even with ongoing improvements in food safety, it is estimated that foodborne pathogens caused </w:t>
      </w:r>
      <w:r>
        <w:rPr>
          <w:rFonts w:ascii="Times New Roman" w:eastAsia="DejaVu Sans" w:hAnsi="Times New Roman" w:cs="Times New Roman"/>
          <w:color w:val="auto"/>
          <w:lang w:eastAsia="en-US" w:bidi="en-US"/>
        </w:rPr>
        <w:t xml:space="preserve">9.4 million episodes of foodborne illness, 55,961 hospitalizations and 1,351 deaths annually </w:t>
      </w:r>
      <w:r>
        <w:rPr>
          <w:rFonts w:ascii="Times New Roman" w:hAnsi="Times New Roman" w:cs="Times New Roman"/>
        </w:rPr>
        <w:t xml:space="preserve">in the US </w:t>
      </w:r>
      <w:r>
        <w:fldChar w:fldCharType="begin"/>
      </w:r>
      <w:r>
        <w:rPr>
          <w:rFonts w:ascii="Times New Roman" w:hAnsi="Times New Roman" w:cs="Times New Roman"/>
        </w:rPr>
        <w:instrText>ADDIN ZOTERO_ITEM CSL_CITATION {"citationID":"uDFBT40M","properties":{"formattedCitation":"(Scallan et al., 2011)","plainCitation":"(Scallan et al., 2011)","noteIndex":0},"citationItems":[{"id":2702,"uris":["http://zotero.org/users/2162098/items/E33WEDCY"],"uri":["http://zotero.org/users/2162098/items/E33WEDCY"],"itemData":{"id":2702,"type":"article-journal","abstract":"Each year, 31 pathogens caused 9.4 million episodes of foodborne illness, resulting in 55,961 hospitalizations and 1,351 deaths., Estimates of foodborne illness can be used to direct food safety policy and interventions. We used data from active and passive surveillance and other sources to estimate that each year 31 major pathogens acquired in the United States caused 9.4 million episodes of foodborne illness (90% credible interval [CrI] 6.6–12.7 million), 55,961 hospitalizations (90% CrI 39,534–75,741), and 1,351 deaths (90% CrI 712–2,268). Most (58%) illnesses were caused by norovirus, followed by nontyphoidal Salmonella spp. (11%), Clostridium perfringens (10%), and Campylobacter spp. (9%). Leading causes of hospitalization were nontyphoidal Salmonella spp. (35%), norovirus (26%), Campylobacter spp. (15%), and Toxoplasma\ngondii (8%). Leading causes of death were nontyphoidal Salmonella spp. (28%), T.\ngondii (24%), Listeria\nmonocytogenes (19%), and norovirus (11%). These estimates cannot be compared with prior (1999) estimates to assess trends because different methods were used. Additional data and more refined methods can improve future estimates.","container-title":"Emerging Infectious Diseases","DOI":"10.3201/eid1701.P11101","ISSN":"1080-6040","issue":"1","journalAbbreviation":"Emerg Infect Dis","note":"PMID: 21192848\nPMCID: PMC3375761","page":"7-15","source":"PubMed Central","title":"Foodborne Illness Acquired in the United States—Major Pathogens","volume":"17","author":[{"family":"Scallan","given":"Elaine"},{"family":"Hoekstra","given":"Robert M."},{"family":"Angulo","given":"Frederick J."},{"family":"Tauxe","given":"Robert V."},{"family":"Widdowson","given":"Marc-Alain"},{"family":"Roy","given":"Sharon L."},{"family":"Jones","given":"Jeffery L."},{"family":"Griffin","given":"Patricia M."}],"issued":{"date-parts":[["2011",1]]}}}],"schema":"https://github.com/citation-style-language/schema/raw/master/csl-citation.json"}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rPr>
        <w:t>(Scallan et al., 2011)</w:t>
      </w:r>
      <w:r>
        <w:rPr>
          <w:rFonts w:ascii="Times New Roman" w:hAnsi="Times New Roman" w:cs="Times New Roman"/>
        </w:rPr>
        <w:fldChar w:fldCharType="end"/>
      </w:r>
      <w:r>
        <w:rPr>
          <w:rFonts w:ascii="Times New Roman" w:hAnsi="Times New Roman" w:cs="Times New Roman"/>
        </w:rPr>
        <w:t xml:space="preserve">. Though beef is not the most common source of foodborne outbreaks, retail ground beef products have been linked to multi-state outbreaks of foodborne illness and it is critical that we understand the bacterial community on and within retail beef products </w:t>
      </w:r>
      <w:r>
        <w:fldChar w:fldCharType="begin"/>
      </w:r>
      <w:r>
        <w:rPr>
          <w:rFonts w:ascii="Times New Roman" w:hAnsi="Times New Roman" w:cs="Times New Roman"/>
        </w:rPr>
        <w:instrText>ADDIN ZOTERO_ITEM CSL_CITATION {"citationID":"jALqU1Rz","properties":{"formattedCitation":"(Tauxe, 2006)","plainCitation":"(Tauxe, 2006)","noteIndex":0},"citationItems":[{"id":376,"uris":["http://zotero.org/users/2162098/items/HGCVMNGX"],"uri":["http://zotero.org/users/2162098/items/HGCVMNGX"],"itemData":{"id":376,"type":"article-journal","container-title":"Foodborne Pathogens and Disease","DOI":"10.1089/fpd.2006.3.4","ISSN":"1535-3141","issue":"1","journalAbbreviation":"Foodborne Pathog. Dis.","language":"eng","note":"PMID: 16602974","page":"4-8","source":"PubMed","title":"Molecular subtyping and the transformation of public health","volume":"3","author":[{"family":"Tauxe","given":"Robert V."}],"issued":{"date-parts":[["2006"]]}}}],"schema":"https://github.com/citation-style-language/schema/raw/master/csl-citation.json"}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rPr>
        <w:t>(Tauxe, 2006)</w:t>
      </w:r>
      <w:bookmarkStart w:id="6" w:name="Bookmark1111"/>
      <w:bookmarkStart w:id="7" w:name="Bookmark22"/>
      <w:bookmarkStart w:id="8" w:name="Bookmark21"/>
      <w:r>
        <w:rPr>
          <w:rFonts w:ascii="Times New Roman" w:hAnsi="Times New Roman" w:cs="Times New Roman"/>
        </w:rPr>
        <w:fldChar w:fldCharType="end"/>
      </w:r>
      <w:bookmarkEnd w:id="6"/>
      <w:bookmarkEnd w:id="7"/>
      <w:bookmarkEnd w:id="8"/>
      <w:r>
        <w:rPr>
          <w:rFonts w:ascii="Times New Roman" w:hAnsi="Times New Roman" w:cs="Times New Roman"/>
        </w:rPr>
        <w:t xml:space="preserve">. Further, these bacteria can exhibit antimicrobial resistance (AMR) which is a public health concern as resistance in pathogens can lead to treatment failure in humans. Further, concerns regarding exposure to resistant bacteria or antimicrobial drugs (AMDs) in food has led to an increase in the practice of marketing animal products as being derived from animals that were “raised without antibiotics” (RWA). This is done to differentiate from products originating from conventional rearing systems (CONV) in which animals may have been treated with AMDs for control, prevention, or treatment of disease. This can lead consumers to believe that not using antibiotics is associated with decreased risk of exposure to AMR pathogens, but recent studies suggest minimal to no difference in AMR prevalence between these two types of production systems </w:t>
      </w:r>
      <w:r>
        <w:fldChar w:fldCharType="begin"/>
      </w:r>
      <w:r>
        <w:rPr>
          <w:rFonts w:ascii="Times New Roman" w:hAnsi="Times New Roman" w:cs="Times New Roman"/>
        </w:rPr>
        <w:instrText>ADDIN ZOTERO_ITEM CSL_CITATION {"citationID":"MyVrzAjf","properties":{"formattedCitation":"(Vikram et al., 2017, 2018, 2019)","plainCitation":"(Vikram et al., 2017, 2018, 2019)","noteIndex":0},"citationItems":[{"id":386,"uris":["http://zotero.org/users/2162098/items/WDYCS82J"],"uri":["http://zotero.org/users/2162098/items/WDYCS82J"],"itemData":{"id":386,"type":"article-journal","abstract":"The specific antimicrobial resistance (AMR) decreases that can be expected from reducing antimicrobial (AM) use in U.S. beef production have not been defined. To address this data gap, feces were recovered from 36 lots of “raised without antibiotics” (RWA) and 36 lots of “conventional” (CONV) beef cattle. Samples (n = 719) were collected during harvest and distributed over a year. AMR was assessed by (i) the culture of six AM-resistant bacteria (ARB), (ii) quantitative PCR (qPCR) for 10 AMR genes (ARGs), (iii) a qPCR array of 84 ARGs, and (iv) metagenomic sequencing. Generally, AMR levels were similar, but some were higher in CONV beef cattle. The prevalence of third-generation cephalosporin-resistant (3GCr) Escherichia coli was marginally different between production systems (CONV, 47.5%; RWA, 34.8%; P = 0.04), but the seasonal effect (summer, 92.8%; winter, 48.3%; P &lt; 0.01) was greater. Erythromycin-resistant (ERYr) Enterococcus sp. concentrations significantly differed between production systems (CONV, 1.91 log10 CFU/g; RWA, 0.73 log10 CFU/g; P &lt; 0.01). Levels of aadA1, ant(6)-I, blaACI, erm(A), erm(B), erm(C), erm(F), erm(Q), tet(A), tet(B), tet(M), and tet(X) ARGs were higher (P &lt; 0.05) in the CONV system. Aggregate abundances of all 43 ARGs detected by metagenomic sequencing and the aggregate abundances of ARGs in the aminoglycoside, β-lactam, macrolide-lincosamide-streptogramin B (MLS), and tetracycline AM classes did not differ (log2 fold change &lt; 1.0) between CONV and RWA systems. These results suggest that further reductions of AM use in U.S. beef cattle production may not yield significant AMR reductions beyond MLS and tetracycline resistance.\nIMPORTANCE The majority of antimicrobial (AM) use in the United States is for food-animal production, leading to concerns that typical AM use patterns during “conventional” (CONV) beef cattle production in the United States contribute broadly to antimicrobial resistance (AMR) occurrence. In the present study, levels of AMR were generally similar between CONV and “raised without antibiotics” (RWA) cattle. Only a limited number of modest AMR increases was observed in CONV cattle, primarily involving macrolide-lincosamide-streptogramin B (MLS) and tetracycline resistance. Macrolides (tylosin) and tetracyclines (chlortetracycline) are administered in-feed for relatively long durations to reduce liver abscesses. To ensure judicious AM use, the animal health, economic, and AMR impacts of shorter duration in-feed administration of these AMs should be examined. However, given the modest AMR reductions observed, further reductions of AM use in U.S. beef cattle production may not yield significant AMR reductions beyond MLS and tetracycline resistance.","container-title":"Appl. Environ. Microbiol.","DOI":"10.1128/AEM.01682-17","ISSN":"0099-2240, 1098-5336","issue":"22","journalAbbreviation":"Appl. Environ. Microbiol.","language":"en","note":"PMID: 28887421","page":"e01682-17","source":"aem.asm.org","title":"Impact of “Raised without Antibiotics” Beef Cattle Production Practices on Occurrences of Antimicrobial Resistance","volume":"83","author":[{"family":"Vikram","given":"Amit"},{"family":"Rovira","given":"Pablo"},{"family":"Agga","given":"Getahun E."},{"family":"Arthur","given":"Terrance M."},{"family":"Bosilevac","given":"Joseph M."},{"family":"Wheeler","given":"Tommy L."},{"family":"Morley","given":"Paul S."},{"family":"Belk","given":"Keith E."},{"family":"Schmidt","given":"John W."}],"issued":{"date-parts":[["2017",11,15]]}}},{"id":527,"uris":["http://zotero.org/users/2162098/items/SQD4IWDQ"],"uri":["http://zotero.org/users/2162098/items/SQD4IWDQ"],"itemData":{"id":527,"type":"article-journal","abstract":"U.S. ground beef with \"raised without antibiotics\" (RWA) label claims are perceived as harboring fewer bacteria with antimicrobial resistance (AMR) than are found in conventional (CONV) ground beef with no such label claim. A total of 370 ground beef samples from CONV ( n = 191) and RWA ( n = 179) production systems were collected over 13 months from three food service suppliers. The following bacteria were cultured: Escherichia coli, tetracycline-resistant (TETr) E. coli, third-generation cephalosporin-resistant (3GCr) E. coli, Salmonella enterica, TETr S. enterica, 3GCr S. enterica, nalidixic acid-resistant S. enterica, Enterococcus spp., erythromycin-resistant Enterococcus spp., TETr Enterococcus spp., Staphylococcus aureus, and methicillin-resistant S. aureus. TETr E. coli was more frequently detected in CONV ground beef (CONV, 54.2%; RWA, 35.2%; P &lt; 0.01), but supplier ( P &lt; 0.01) and production system × suppler interaction ( P &lt; 0.01) effects were also significant. Metagenomic DNA was isolated from each sample, and equal amounts of metagenomic DNA were pooled by supplier, month, and production system for 75 pooled samples (38 CONV, 37 RWA). The abundance of aac(6')-Ie-aph(2″)-Ia, aadA1, blaCMY-2, blaCTX-M, blaKPC-2, erm(B), mecA, tet(A), tet(B), and tet(M) genes was assessed by quantitative PCR. The tet(A) (2.9-log2-fold change, P = 0.04) and tet(B) (5.6-log2-fold change) ( P = 0.03) genes were significantly more abundant in RWA ground beef. Phylogenetic analyses revealed that ground beef microbiomes differed more by supplier than by production system. These results were consistent with prior research suggesting antimicrobial use in U.S. beef cattle has minimal impact on the AMR of bacteria found in these products. These results should spur a reevaluation of assumptions regarding the impact of antimicrobial use during U.S. beef production on the AMR of bacteria in ground beef.","container-title":"Journal of Food Protection","DOI":"10.4315/0362-028X.JFP-18-299","ISSN":"1944-9097","issue":"12","journalAbbreviation":"J. Food Prot.","language":"eng","note":"PMID: 30476443","page":"2007-2018","source":"PubMed","title":"Similar Levels of Antimicrobial Resistance in U.S. Food Service Ground Beef Products with and without a \"Raised without Antibiotics\" Claim","volume":"81","author":[{"family":"Vikram","given":"Amit"},{"family":"Miller","given":"Eric"},{"family":"Arthur","given":"Terrance M."},{"family":"Bosilevac","given":"Joseph M."},{"family":"Wheeler","given":"Tommy L."},{"family":"Schmidt","given":"John W."}],"issued":{"date-parts":[["2018",12]]}}},{"id":2642,"uris":["http://zotero.org/users/2162098/items/C427ARL4"],"uri":["http://zotero.org/users/2162098/items/C427ARL4"],"itemData":{"id":2642,"type":"article-journal","abstract":"Pork products from animals “raised without antibiotics” (RWA) are assumed to harbor lower levels of antimicrobial resistance (AMR) than conventional (CONV) pork products with no claims regarding use of antimicrobial agents during production. A total of 372 pork chop samples from CONV (n = 190) and RWA (n = 182) production systems were collected over 13 months from three food service suppliers. The following bacteria were cultured: Escherichia coli, tetracycline-resistant (TETr) E. coli, third-generation cephalosporin-resistant (3GCr) E. coli, Salmonella enterica, TETr Salmonella, 3GCr Salmonella, nalidixic acid–resistant Salmonella, Enterococcus spp., TETr Enterococcus, erythromycin-resistant Enterococcus, Staphylococcus aureus, and methicillin-resistant S. aureus. Production system did not significantly impact the detection of cultured bacteria (P &gt; 0.05). Metagenomic DNA was isolated from each sample, and equal amounts of metagenomic DNA were pooled by supplier, month, and production system for 75 pooled samples (38 CONV, 37 RWA). Quantitative PCR was used to assess the abundances of the following 10 AMR genes: aac(6′)-Ie-aph(2″)-Ia, aadA1, blaCMY-2, blaCTX-M, blaKPC-2, erm(B), mecA, tet(A), tet(B), and tet(M). For all 10 AMR genes, abundances did not differ significantly (P &gt; 0.05) between production systems. These results suggest that use of antimicrobial agents during swine production minimally impacts the AMR of bacteria in pork chops.","container-title":"Journal of Food Protection","DOI":"10.4315/0362-028X.JFP-19-139","ISSN":"0362-028X","issue":"10","journalAbbreviation":"Journal of Food Protection","page":"1667-1676","source":"jfoodprotection.org (Atypon)","title":"Food Service Pork Chops from Three U.S. Regions Harbor Similar Levels of Antimicrobial Resistance Regardless of Antibiotic Use Claims","volume":"82","author":[{"family":"Vikram","given":"Amit"},{"family":"Miller","given":"Eric"},{"family":"Arthur","given":"Terrance M."},{"family":"Bosilevac","given":"Joseph M."},{"family":"Wheeler","given":"Tommy L."},{"family":"Schmidt","given":"John W."}],"issued":{"date-parts":[["2019",9,18]]}}}],"schema":"https://github.com/citation-style-language/schema/raw/master/csl-citation.json"}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rPr>
        <w:t>(Vikram et al., 2017, 2018, 2019)</w:t>
      </w:r>
      <w:bookmarkStart w:id="9" w:name="Bookmark211"/>
      <w:bookmarkStart w:id="10" w:name="Bookmark31"/>
      <w:bookmarkStart w:id="11" w:name="Bookmark32"/>
      <w:r>
        <w:rPr>
          <w:rFonts w:ascii="Times New Roman" w:hAnsi="Times New Roman" w:cs="Times New Roman"/>
        </w:rPr>
        <w:fldChar w:fldCharType="end"/>
      </w:r>
      <w:bookmarkEnd w:id="9"/>
      <w:bookmarkEnd w:id="10"/>
      <w:bookmarkEnd w:id="11"/>
      <w:r>
        <w:rPr>
          <w:rFonts w:ascii="Times New Roman" w:hAnsi="Times New Roman" w:cs="Times New Roman"/>
        </w:rPr>
        <w:t xml:space="preserve">. Due to animal welfare concerns related to infectious diseases, simply removing all AMD use from beef production is not as straightforward as consumers would like to believe </w:t>
      </w:r>
      <w:r>
        <w:fldChar w:fldCharType="begin"/>
      </w:r>
      <w:r>
        <w:rPr>
          <w:rFonts w:ascii="Times New Roman" w:hAnsi="Times New Roman" w:cs="Times New Roman"/>
        </w:rPr>
        <w:instrText>ADDIN ZOTERO_ITEM CSL_CITATION {"citationID":"psdwRrWj","properties":{"formattedCitation":"(Karavolias et al., 2018)","plainCitation":"(Karavolias et al., 2018)","noteIndex":0},"citationItems":[{"id":2644,"uris":["http://zotero.org/users/2162098/items/S4WW69IR"],"uri":["http://zotero.org/users/2162098/items/S4WW69IR"],"itemData":{"id":2644,"type":"article-journal","abstract":"Abstract.  This study assesses the impact of broilers raised without antibiotics and the information gap that exists between consumer perception and production","container-title":"Translational Animal Science","DOI":"10.1093/tas/txy016","issue":"4","journalAbbreviation":"Trans Anim Sci","language":"en","page":"337-348","source":"academic.oup.com","title":"Raised without antibiotics: impact on animal welfare and implications for food policy","title-short":"Raised without antibiotics","volume":"2","author":[{"family":"Karavolias","given":"Joanna"},{"family":"Salois","given":"Matthew Jude"},{"family":"Baker","given":"Kristi T."},{"family":"Watkins","given":"Kevin"}],"issued":{"date-parts":[["2018",10,1]]}}}],"schema":"https://github.com/citation-style-language/schema/raw/master/csl-citation.json"}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rPr>
        <w:t>(Karavolias et al., 2018)</w:t>
      </w:r>
      <w:bookmarkStart w:id="12" w:name="Bookmark42"/>
      <w:bookmarkStart w:id="13" w:name="Bookmark311"/>
      <w:bookmarkStart w:id="14" w:name="Bookmark41"/>
      <w:r>
        <w:rPr>
          <w:rFonts w:ascii="Times New Roman" w:hAnsi="Times New Roman" w:cs="Times New Roman"/>
        </w:rPr>
        <w:fldChar w:fldCharType="end"/>
      </w:r>
      <w:bookmarkEnd w:id="12"/>
      <w:bookmarkEnd w:id="13"/>
      <w:bookmarkEnd w:id="14"/>
      <w:r>
        <w:rPr>
          <w:rFonts w:ascii="Times New Roman" w:hAnsi="Times New Roman" w:cs="Times New Roman"/>
        </w:rPr>
        <w:t xml:space="preserve">. A limited body of research suggests that there is no significant difference in AMR in bacteria cultured from ground beef products </w:t>
      </w:r>
      <w:r>
        <w:rPr>
          <w:rFonts w:ascii="Times New Roman" w:hAnsi="Times New Roman" w:cs="Times New Roman"/>
        </w:rPr>
        <w:lastRenderedPageBreak/>
        <w:t>labeled as CONV or</w:t>
      </w:r>
      <w:bookmarkStart w:id="15" w:name="__Fieldmark__12412_2875450830"/>
      <w:bookmarkStart w:id="16" w:name="__Fieldmark__3148_2727157154"/>
      <w:bookmarkEnd w:id="15"/>
      <w:bookmarkEnd w:id="16"/>
      <w:r>
        <w:rPr>
          <w:rFonts w:ascii="Times New Roman" w:hAnsi="Times New Roman" w:cs="Times New Roman"/>
        </w:rPr>
        <w:t xml:space="preserve"> RWA </w:t>
      </w:r>
      <w:r>
        <w:fldChar w:fldCharType="begin"/>
      </w:r>
      <w:r>
        <w:rPr>
          <w:rFonts w:ascii="Times New Roman" w:hAnsi="Times New Roman" w:cs="Times New Roman"/>
        </w:rPr>
        <w:instrText>ADDIN ZOTERO_ITEM CSL_CITATION {"citationID":"WBLlz9JE","properties":{"formattedCitation":"(LeJeune and Christie, 2004; Vikram et al., 2018)","plainCitation":"(LeJeune and Christie, 2004; Vikram et al., 2018)","noteIndex":0},"citationItems":[{"id":2629,"uris":["http://zotero.org/users/2162098/items/TXH7XVE4"],"uri":["http://zotero.org/users/2162098/items/TXH7XVE4"],"itemData":{"id":2629,"type":"article-journal","abstract":"The contamination of the food supply with pathogens and antimicrobial-resistant bacteria has emerged as an important health concern. We compared the microbiological quality of 77 samples of ground beef from conventionally raised cattle with 73 samples of ground beef from cattle raised without antimicrobial agents. Contamination with coliforms (1.7 log CFU/g) and Escherichia coli (0.51 log CFU/g) and Shiga toxin 2–producing E. coli (6% prevalence) was similar in both sample groups. Neither Salmonella, E. coli O157, nor vancomycin-resistant enterococci were isolated from any sample. Prevalence of E. coli resistant to ampicillin (39%), amoxicillin/clavulanic acid (23%), ceftriaxone (5%), tetracycline (19%), streptomycin (19%), kanamycin (11%), sulfamethoxazole/trimethoprim (2%), and gentamicin (1%) was similar in both groups. E. coli resistant to ciprofloxacin was not identified. Resistance to ceftiofur and chloramphenicol was more prevalent in beef from conventionally raised cattle at 18 and 30%, respectively, compared to 5 and 12% prevalence in beef from cattle raised without antimicrobial agents. These results do not correlate with the frequency of subtherapeutic use of these two antibiotics in beef production. Other factors in addition to, or in lieu of, the subtherapeutic use of specific antimicrobial agents in the preharvest stages of beef production may contribute significantly to the occurrence of antimicrobial-resistant bacteria in ground beef.","container-title":"Journal of Food Protection","DOI":"10.4315/0362-028X-67.7.1433","ISSN":"0362-028X","issue":"7","journalAbbreviation":"Journal of Food Protection","page":"1433-1437","source":"jfoodprotection.org (Atypon)","title":"Microbiological Quality of Ground Beef from Conventionally-Reared Cattle and “Raised without Antibiotics” Label Claims","volume":"67","author":[{"family":"LeJeune","given":"Jeffrey T."},{"family":"Christie","given":"Nicholas P."}],"issued":{"date-parts":[["2004",7,1]]}}},{"id":527,"uris":["http://zotero.org/users/2162098/items/SQD4IWDQ"],"uri":["http://zotero.org/users/2162098/items/SQD4IWDQ"],"itemData":{"id":527,"type":"article-journal","abstract":"U.S. ground beef with \"raised without antibiotics\" (RWA) label claims are perceived as harboring fewer bacteria with antimicrobial resistance (AMR) than are found in conventional (CONV) ground beef with no such label claim. A total of 370 ground beef samples from CONV ( n = 191) and RWA ( n = 179) production systems were collected over 13 months from three food service suppliers. The following bacteria were cultured: Escherichia coli, tetracycline-resistant (TETr) E. coli, third-generation cephalosporin-resistant (3GCr) E. coli, Salmonella enterica, TETr S. enterica, 3GCr S. enterica, nalidixic acid-resistant S. enterica, Enterococcus spp., erythromycin-resistant Enterococcus spp., TETr Enterococcus spp., Staphylococcus aureus, and methicillin-resistant S. aureus. TETr E. coli was more frequently detected in CONV ground beef (CONV, 54.2%; RWA, 35.2%; P &lt; 0.01), but supplier ( P &lt; 0.01) and production system × suppler interaction ( P &lt; 0.01) effects were also significant. Metagenomic DNA was isolated from each sample, and equal amounts of metagenomic DNA were pooled by supplier, month, and production system for 75 pooled samples (38 CONV, 37 RWA). The abundance of aac(6')-Ie-aph(2″)-Ia, aadA1, blaCMY-2, blaCTX-M, blaKPC-2, erm(B), mecA, tet(A), tet(B), and tet(M) genes was assessed by quantitative PCR. The tet(A) (2.9-log2-fold change, P = 0.04) and tet(B) (5.6-log2-fold change) ( P = 0.03) genes were significantly more abundant in RWA ground beef. Phylogenetic analyses revealed that ground beef microbiomes differed more by supplier than by production system. These results were consistent with prior research suggesting antimicrobial use in U.S. beef cattle has minimal impact on the AMR of bacteria found in these products. These results should spur a reevaluation of assumptions regarding the impact of antimicrobial use during U.S. beef production on the AMR of bacteria in ground beef.","container-title":"Journal of Food Protection","DOI":"10.4315/0362-028X.JFP-18-299","ISSN":"1944-9097","issue":"12","journalAbbreviation":"J. Food Prot.","language":"eng","note":"PMID: 30476443","page":"2007-2018","source":"PubMed","title":"Similar Levels of Antimicrobial Resistance in U.S. Food Service Ground Beef Products with and without a \"Raised without Antibiotics\" Claim","volume":"81","author":[{"family":"Vikram","given":"Amit"},{"family":"Miller","given":"Eric"},{"family":"Arthur","given":"Terrance M."},{"family":"Bosilevac","given":"Joseph M."},{"family":"Wheeler","given":"Tommy L."},{"family":"Schmidt","given":"John W."}],"issued":{"date-parts":[["2018",12]]}}}],"schema":"https://github.com/citation-style-language/schema/raw/master/csl-citation.json"}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rPr>
        <w:t>(LeJeune and Christie, 2004; Vikram et al., 2018)</w:t>
      </w:r>
      <w:bookmarkStart w:id="17" w:name="Bookmark511"/>
      <w:bookmarkStart w:id="18" w:name="Bookmark61"/>
      <w:bookmarkStart w:id="19" w:name="Bookmark62"/>
      <w:r>
        <w:rPr>
          <w:rFonts w:ascii="Times New Roman" w:hAnsi="Times New Roman" w:cs="Times New Roman"/>
        </w:rPr>
        <w:fldChar w:fldCharType="end"/>
      </w:r>
      <w:bookmarkEnd w:id="17"/>
      <w:bookmarkEnd w:id="18"/>
      <w:bookmarkEnd w:id="19"/>
      <w:r>
        <w:rPr>
          <w:rFonts w:ascii="Times New Roman" w:hAnsi="Times New Roman" w:cs="Times New Roman"/>
        </w:rPr>
        <w:t>, but little is known about AMR in the entire population of bacteria that can only be studied using culture-independent methods for characterizing resistance patterns.</w:t>
      </w:r>
    </w:p>
    <w:p w:rsidR="001C630E" w:rsidRDefault="005C7C99">
      <w:pPr>
        <w:pStyle w:val="Standard"/>
        <w:spacing w:line="480" w:lineRule="auto"/>
        <w:rPr>
          <w:rFonts w:ascii="Times New Roman" w:hAnsi="Times New Roman" w:cs="Times New Roman"/>
        </w:rPr>
      </w:pPr>
      <w:r>
        <w:rPr>
          <w:rFonts w:ascii="Times New Roman" w:hAnsi="Times New Roman" w:cs="Times New Roman"/>
        </w:rPr>
        <w:tab/>
        <w:t xml:space="preserve">Typically, studies of foodborne bacteria focus on individual pathogens or indicator organisms, such as </w:t>
      </w:r>
      <w:r>
        <w:rPr>
          <w:rFonts w:ascii="Times New Roman" w:hAnsi="Times New Roman" w:cs="Times New Roman"/>
          <w:i/>
          <w:iCs/>
        </w:rPr>
        <w:t>Escherichia coli,</w:t>
      </w:r>
      <w:r>
        <w:rPr>
          <w:rFonts w:ascii="Times New Roman" w:hAnsi="Times New Roman" w:cs="Times New Roman"/>
        </w:rPr>
        <w:t xml:space="preserve"> and AMR is identified by phenotypic testing of isolates to an array of AMDs </w:t>
      </w:r>
      <w:r>
        <w:fldChar w:fldCharType="begin"/>
      </w:r>
      <w:r>
        <w:rPr>
          <w:rFonts w:ascii="Times New Roman" w:hAnsi="Times New Roman" w:cs="Times New Roman"/>
        </w:rPr>
        <w:instrText>ADDIN ZOTERO_ITEM CSL_CITATION {"citationID":"KAf2UU2P","properties":{"formattedCitation":"(National Antimicrobial Resistance Monitoring System \\uc0\\u8211{} Enteric Bacteria (NARMS): 2011 Executive Repor, 2013)","plainCitation":"(National Antimicrobial Resistance Monitoring System – Enteric Bacteria (NARMS): 2011 Executive Repor, 2013)","noteIndex":0},"citationItems":[{"id":1787,"uris":["http://zotero.org/groups/359118/items/5QJJCPXS"],"uri":["http://zotero.org/groups/359118/items/5QJJCPXS"],"itemData":{"id":1787,"type":"article","publisher":"U.S. Department of Health and Human Services, Food and Drug Administration","title":"National Antimicrobial Resistance Monitoring System – Enteric Bacteria (NARMS): 2011 Executive Repor","issued":{"date-parts":[["2013"]]}}}],"schema":"https://github.com/citation-style-language/schema/raw/master/csl-citation.json"}</w:instrText>
      </w:r>
      <w:r>
        <w:rPr>
          <w:rFonts w:ascii="Times New Roman" w:hAnsi="Times New Roman" w:cs="Times New Roman"/>
        </w:rPr>
        <w:fldChar w:fldCharType="separate"/>
      </w:r>
      <w:bookmarkStart w:id="20" w:name="Bookmark71"/>
      <w:r>
        <w:rPr>
          <w:rFonts w:ascii="Times New Roman" w:hAnsi="Times New Roman" w:cs="Times New Roman"/>
        </w:rPr>
        <w:t>(</w:t>
      </w:r>
      <w:bookmarkStart w:id="21" w:name="Bookmark711"/>
      <w:r>
        <w:rPr>
          <w:rFonts w:ascii="Times New Roman" w:hAnsi="Times New Roman" w:cs="Times New Roman"/>
        </w:rPr>
        <w:t>N</w:t>
      </w:r>
      <w:bookmarkStart w:id="22" w:name="Bookmark611"/>
      <w:r>
        <w:rPr>
          <w:rFonts w:ascii="Times New Roman" w:hAnsi="Times New Roman" w:cs="Times New Roman"/>
        </w:rPr>
        <w:t>ational Antimicrobial Resistance Monitoring System – Enteric Bacteria (NARMS): 2011 Executive Repor, 2013)</w:t>
      </w:r>
      <w:r>
        <w:rPr>
          <w:rFonts w:ascii="Times New Roman" w:hAnsi="Times New Roman" w:cs="Times New Roman"/>
        </w:rPr>
        <w:fldChar w:fldCharType="end"/>
      </w:r>
      <w:bookmarkEnd w:id="20"/>
      <w:bookmarkEnd w:id="21"/>
      <w:bookmarkEnd w:id="22"/>
      <w:r>
        <w:rPr>
          <w:rFonts w:ascii="Times New Roman" w:hAnsi="Times New Roman" w:cs="Times New Roman"/>
        </w:rPr>
        <w:t xml:space="preserve">. While these techniques provide insight into the AMR pattern for specific organisms, extrapolating these results other bacterial species has not been validated and AMR found in these non-pathogens has not been shown to predict health risks in people. This is especially problematic given that AMR determinants can be transferred between pathogenic and non-pathogenic species. Alternatively, high throughput metagenomic sequencing can provide a holistic perspective on the community of microbial species (microbiome) and the profile of AMR genes they carry (resistome). Through the use of metagenomics, many environments and biological niches previously considered to have low or relatively simple bacterial biomass are now being re-discovered as having a complex microbiome </w:t>
      </w:r>
      <w:r>
        <w:fldChar w:fldCharType="begin"/>
      </w:r>
      <w:r>
        <w:rPr>
          <w:rFonts w:ascii="Times New Roman" w:hAnsi="Times New Roman" w:cs="Times New Roman"/>
        </w:rPr>
        <w:instrText>ADDIN ZOTERO_ITEM CSL_CITATION {"citationID":"wV439CZO","properties":{"formattedCitation":"(Berthelot et al., 2019; Castillo et al., 2019; Huebner et al., 2019; Stinson et al., 2019)","plainCitation":"(Berthelot et al., 2019; Castillo et al., 2019; Huebner et al., 2019; Stinson et al., 2019)","noteIndex":0},"citationItems":[{"id":2652,"uris":["http://zotero.org/users/2162098/items/L6MTBDXH"],"uri":["http://zotero.org/users/2162098/items/L6MTBDXH"],"itemData":{"id":2652,"type":"article-journal","abstract":"DNA of gut microbiota can be found in synovium of osteoarthritis and rheumatoid arthritis. This finding could result from the translocation of still alive bacteria from gut to joints through blood, since the diversified dormant microbiota of healthy human blood can be transiently resuscitated in vitro. The recent finding of gut microbiome in human cartilage, which differed between osteoarthritis and controls, suggests that a similar trafficking of dead or alive bacteria from gut microbiota physiologically occurs between gut and epiphysial bone marrow. Subchondral microbiota could enhance cartilage healing and transform components of deep cartilage matrix in metabolites with immunosuppressive properties. The differences of microbiome observed between hip and knee cartilage, either in osteoarthritis or controls, might be the counterpart of subtle differences in chondrocyte metabolism, themselves in line with differences in DNA methylation according to joints. Although bacteria theoretically cannot reach chondrocytes from the surface of intact cartilage, some bacteria enter the vascular channels of the epiphysial growth cartilage in young animals, whereas others can infect chondrocytes in vitro. In osteoarthritis, the early osteochondral plate angiogenesis may further enhance the ability of microbiota to locate close to the deeper layers of cartilage, and this might lead to focal dysbiosis, low-grade inflammation, cartilage degradation, epigenetic changes in chondrocytes and worsening of osteoarthritis. More studies on cartilage across different ethnic groups, weights, and according to age, are needed, to confirm the silent presence of gut microbiota close to human cartilage and better understand its physiologic and pathogenic significance.","container-title":"RMD Open","DOI":"10.1136/rmdopen-2019-001037","ISSN":"2056-5933","issue":"2","journalAbbreviation":"RMD Open","note":"PMID: 31673418\nPMCID: PMC6803002","source":"PubMed Central","title":"Cartilage-gut-microbiome axis: a new paradigm for novel therapeutic opportunities in osteoarthritis","title-short":"Cartilage-gut-microbiome axis","URL":"https://www.ncbi.nlm.nih.gov/pmc/articles/PMC6803002/","volume":"5","author":[{"family":"Berthelot","given":"Jean-Marie"},{"family":"Sellam","given":"Jérémie"},{"family":"Maugars","given":"Yves"},{"family":"Berenbaum","given":"Francis"}],"accessed":{"date-parts":[["2020",2,3]]},"issued":{"date-parts":[["2019",9,20]]}},"locator":"-"},{"id":2650,"uris":["http://zotero.org/users/2162098/items/WVSD254B"],"uri":["http://zotero.org/users/2162098/items/WVSD254B"],"itemData":{"id":2650,"type":"article-journal","abstract":"The blood that flows perpetually through our veins and arteries performs numerous functions essential to our survival. Besides distributing oxygen, this vast circulatory system facilitates nutrient transport, deters infection and dispenses heat throughout our bodies. Since human blood has traditionally been considered to be an entirely sterile environment, comprising only blood-cells, platelets and plasma, the detection of microbes in blood was consistently interpreted as an indication of infection. However, although a contentious concept, evidence for the existence of a healthy human blood-microbiome is steadily accumulating. While the origins, identities and functions of these unanticipated micro-organisms remain to be elucidated, information on blood-borne microbial phylogeny is gradually increasing. Given recent advances in microbial-haematology, we review current literature concerning the composition and origin of the human blood-microbiome, focusing on bacteria and their role in the configuration of both the diseased and healthy human blood-microbiomes. Specifically, we explore the ways in which dysbiosis in the supposedly innocuous blood-borne bacterial microbiome may stimulate pathogenesis. In addition to exploring the relationship between blood-borne bacteria and the development of complex disorders, we also address the matter of contamination, citing the influence of contaminants on the interpretation of blood-derived microbial datasets and urging the routine analysis of laboratory controls to ascertain the taxonomic and metabolic characteristics of environmentally-derived contaminant-taxa.","container-title":"Frontiers in Cellular and Infection Microbiology","DOI":"10.3389/fcimb.2019.00148","ISSN":"2235-2988","journalAbbreviation":"Front. Cell. Infect. Microbiol.","language":"English","source":"Frontiers","title":"The Healthy Human Blood Microbiome: Fact or Fiction?","title-short":"The Healthy Human Blood Microbiome","URL":"https://www.frontiersin.org/articles/10.3389/fcimb.2019.00148/full","volume":"9","author":[{"family":"Castillo","given":"Diego J."},{"family":"Rifkin","given":"Riaan F."},{"family":"Cowan","given":"Don A."},{"family":"Potgieter","given":"Marnie"}],"accessed":{"date-parts":[["2020",2,3]]},"issued":{"date-parts":[["2019"]]}}},{"id":467,"uris":["http://zotero.org/users/2162098/items/IH62HAVT"],"uri":["http://zotero.org/users/2162098/items/IH62HAVT"],"itemData":{"id":467,"type":"article-journal","abstract":"Liver abscesses in feedlot cattle form secondary to high concentrate feeds and rumen acidosis. Antimicrobial drugs are commonly included in cattle feed for prevention of liver abscesses, but concerns regarding antimicrobial resistance have increased the need for alternative treatments. A block randomized clinical trial was conducted to evaluate the effects of a Saccharomyces cerevisiae fermentation product (SCFP) on liver abscesses, fecal microbiomes, and resistomes in cattle raised without antibiotics in a Colorado feedlot. At enrollment, steers (n = 4,689) were sorted, by weight and source, into 2 pens comprising a block (n = 14 blocks, 28 pens); pens were randomly allocated to either the control group or the treatment group, where the diet was supplemented with SCFP. Prior to harvest, composited feces were collected for characterization of the microbiome and resistome using 16S rRNA gene and shotgun sequencing. At harvest, liver abscess severity was quantified for individual cattle. There were no statistical differences detected by treatment group in animal health, liver abscess prevalence or severity. Organisms classified to phylum, Elusimicrobia were more abundant in the feces of treated cattle, however, there were no differences in the resistome by treatment group. Both microbiome and resistome varied significantly among enrollment blocks.","container-title":"Scientific Reports","DOI":"10.1038/s41598-019-39181-7","ISSN":"2045-2322","issue":"1","journalAbbreviation":"Sci Rep","language":"en","page":"1-11","source":"www.nature.com","title":"Effects of a Saccharomyces cerevisiae fermentation product on liver abscesses, fecal microbiome, and resistome in feedlot cattle raised without antibiotics","volume":"9","author":[{"family":"Huebner","given":"Katherine L."},{"family":"Martin","given":"Jennifer N."},{"family":"Weissend","given":"Carla J."},{"family":"Holzer","given":"Katlyn L."},{"family":"Parker","given":"Jennifer K."},{"family":"Lakin","given":"Steven M."},{"family":"Doster","given":"Enrique"},{"family":"Weinroth","given":"Margaret D."},{"family":"Abdo","given":"Zaid"},{"family":"Woerner","given":"Dale R."},{"family":"Metcalf","given":"Jessica L."},{"family":"Geornaras","given":"Ifigenia"},{"family":"Bryant","given":"Tony C."},{"family":"Morley","given":"Paul S."},{"family":"Belk","given":"Keith E."}],"issued":{"date-parts":[["2019",2,22]]}}},{"id":2655,"uris":["http://zotero.org/users/2162098/items/9LK3MPPB"],"uri":["http://zotero.org/users/2162098/items/9LK3MPPB"],"itemData":{"id":2655,"type":"article-journal","abstract":"The human microbiome includes trillions of bacteria, many of which play a vital role in host physiology. Numerous studies have now detected bacterial DNA in first-pass meconium and amniotic fluid samples, suggesting that the human microbiome may commence in-utero. However, these data have remained contentious due to underlying contamination issues. Here, we have used a previously described method for reducing contamination in microbiome workflows to determine if there is a fetal bacterial microbiome beyond the level of background contamination. We recruited 50 women undergoing elective caesarean section deliveries with no evidence of intra-uterine infection and collected first-pass meconium and amniotic fluid samples. Full-length 16S rRNA gene sequencing was performed using PacBio SMRT cell technology, to allow high resolution profiling of the fetal gut and amniotic fluid bacterial microbiomes. Levels of inflammatory cytokines were measured in amniotic fluid, and levels of immunomodulatory short chain fatty acids (SCFAs) were quantified in meconium. All meconium samples and most amniotic fluid samples (36/43) contained bacterial DNA. The meconium microbiome was dominated by reads that mapped to Pelomonas puraquae. Aside from this species, the meconium microbiome was remarkably heterogeneous between patients. The amniotic fluid microbiome was more diverse and contained mainly reads that mapped to typical skin commensals, including Propionibacterium acnes and Staphylococcus spp. All meconium samples contained acetate and propionate, at ratios similar to those previously reported in infants. P. puraquae reads were inversely correlated with meconium propionate levels. Amniotic fluid cytokine levels were associated with the amniotic fluid microbiome. Our results demonstrate that bacterial DNA and SCFAs are present in-utero, and have the potential to influence the developing fetal immune system.","container-title":"Frontiers in Microbiology","DOI":"10.3389/fmicb.2019.01124","ISSN":"1664-302X","journalAbbreviation":"Front. Microbiol.","language":"English","source":"Frontiers","title":"The Not-so-Sterile Womb: Evidence That the Human Fetus Is Exposed to Bacteria Prior to Birth","title-short":"The Not-so-Sterile Womb","URL":"https://www.frontiersin.org/articles/10.3389/fmicb.2019.01124/full","volume":"10","author":[{"family":"Stinson","given":"Lisa F."},{"family":"Boyce","given":"Mary C."},{"family":"Payne","given":"Matthew S."},{"family":"Keelan","given":"Jeffrey A."}],"accessed":{"date-parts":[["2020",2,3]]},"issued":{"date-parts":[["2019"]]}}}],"schema":"https://github.com/citation-style-language/schema/raw/master/csl-citation.json"}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rPr>
        <w:t>(Berthelot et al., 2019; Castillo et al., 2019; Huebner et al., 2019; Stinson et al., 2019)</w:t>
      </w:r>
      <w:bookmarkStart w:id="23" w:name="Bookmark82"/>
      <w:bookmarkStart w:id="24" w:name="Bookmark7111"/>
      <w:bookmarkStart w:id="25" w:name="Bookmark81"/>
      <w:r>
        <w:rPr>
          <w:rFonts w:ascii="Times New Roman" w:hAnsi="Times New Roman" w:cs="Times New Roman"/>
        </w:rPr>
        <w:fldChar w:fldCharType="end"/>
      </w:r>
      <w:bookmarkEnd w:id="23"/>
      <w:bookmarkEnd w:id="24"/>
      <w:bookmarkEnd w:id="25"/>
      <w:r>
        <w:rPr>
          <w:rFonts w:ascii="Times New Roman" w:hAnsi="Times New Roman" w:cs="Times New Roman"/>
        </w:rPr>
        <w:t xml:space="preserve">. However, using these techniques is accompanied by challenges in laboratory processing, particularly for food matrices where non-target DNA from the host organism (i.e. bovine DNA) is highly abundant. Thus, our research group has developed an approach to target enrich AMR genes present in DNA samples using biotinylated RNA baits to increase the efficiency of sequencing the resistome. We have demonstrated biotinylated baits’ ability to increase “on-target” sequencing in cattle feces </w:t>
      </w:r>
      <w:r>
        <w:fldChar w:fldCharType="begin"/>
      </w:r>
      <w:r>
        <w:rPr>
          <w:rFonts w:ascii="Times New Roman" w:hAnsi="Times New Roman" w:cs="Times New Roman"/>
        </w:rPr>
        <w:instrText>ADDIN ZOTERO_ITEM CSL_CITATION {"citationID":"p9mC4bvW","properties":{"formattedCitation":"(Noyes et al., 2017)","plainCitation":"(Noyes et al., 2017)","noteIndex":0},"citationItems":[{"id":565,"uris":["http://zotero.org/users/2162098/items/XP5CHCGI"],"uri":["http://zotero.org/users/2162098/items/XP5CHCGI"],"itemData":{"id":565,"type":"article-journal","abstract":"Shotgun metagenomic sequencing is increasingly utilized as a tool to evaluate ecological-level dynamics of antimicrobial resistance and virulence, in conjunction with microbiome analysis. Interest in use of this method for environmental surveillance of antimicrobial resistance and pathogenic microorganisms is also increasing. In published metagenomic datasets, the total of all resistance- and virulence-related sequences accounts for &lt; 1% of all sequenced DNA, leading to limitations in detection of low-abundance resistome-virulome elements. This study describes the extent and composition of the low-abundance portion of the resistome-virulome, using a bait-capture and enrichment system that incorporates unique molecular indices to count DNA molecules and correct for enrichment bias.","container-title":"Microbiome","DOI":"10.1186/s40168-017-0361-8","ISSN":"2049-2618","journalAbbreviation":"Microbiome","page":"142","source":"BioMed Central","title":"Enrichment allows identification of diverse, rare elements in metagenomic resistome-virulome sequencing","volume":"5","author":[{"family":"Noyes","given":"Noelle R."},{"family":"Weinroth","given":"Maggie E."},{"family":"Parker","given":"Jennifer K."},{"family":"Dean","given":"Chris J."},{"family":"Lakin","given":"Steven M."},{"family":"Raymond","given":"Robert A."},{"family":"Rovira","given":"Pablo"},{"family":"Doster","given":"Enrique"},{"family":"Abdo","given":"Zaid"},{"family":"Martin","given":"Jennifer N."},{"family":"Jones","given":"Kenneth L."},{"family":"Ruiz","given":"Jaime"},{"family":"Boucher","given":"Christina A."},{"family":"Belk","given":"Keith E."},{"family":"Morley","given":"Paul S."}],"issued":{"date-parts":[["2017",10,17]]}}}],"schema":"https://github.com/citation-style-language/schema/raw/master/csl-citation.json"}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rPr>
        <w:t>(Noyes et al., 2017)</w:t>
      </w:r>
      <w:bookmarkStart w:id="26" w:name="Bookmark811"/>
      <w:bookmarkStart w:id="27" w:name="Bookmark91"/>
      <w:bookmarkStart w:id="28" w:name="__Fieldmark__12457_2875450830"/>
      <w:bookmarkStart w:id="29" w:name="__Fieldmark__3179_2727157154"/>
      <w:bookmarkStart w:id="30" w:name="Bookmark92"/>
      <w:r>
        <w:rPr>
          <w:rFonts w:ascii="Times New Roman" w:hAnsi="Times New Roman" w:cs="Times New Roman"/>
        </w:rPr>
        <w:fldChar w:fldCharType="end"/>
      </w:r>
      <w:bookmarkEnd w:id="26"/>
      <w:bookmarkEnd w:id="27"/>
      <w:bookmarkEnd w:id="28"/>
      <w:bookmarkEnd w:id="29"/>
      <w:bookmarkEnd w:id="30"/>
      <w:r>
        <w:rPr>
          <w:rFonts w:ascii="Times New Roman" w:hAnsi="Times New Roman" w:cs="Times New Roman"/>
        </w:rPr>
        <w:t xml:space="preserve">. Here, we utilized the same approach to sequence the microbiome and resistome in commercial ground beef samples. The primary goal of this study was to characterize the </w:t>
      </w:r>
      <w:r>
        <w:rPr>
          <w:rFonts w:ascii="Times New Roman" w:hAnsi="Times New Roman" w:cs="Times New Roman"/>
        </w:rPr>
        <w:lastRenderedPageBreak/>
        <w:t>microbiome and resistome of retail ground beef products with raised without antibiotics (RWA) label claims and conventional (CONV) retail ground beef products with no claims regarding antibiotics use. We also examined the within-sample resistome variability and whether the concentration of baits affected efficiency of target-enriched sequencing.</w:t>
      </w:r>
    </w:p>
    <w:p w:rsidR="001C630E" w:rsidRDefault="005C7C99">
      <w:pPr>
        <w:pStyle w:val="Standard"/>
        <w:spacing w:line="480" w:lineRule="auto"/>
        <w:rPr>
          <w:rFonts w:ascii="Times New Roman" w:hAnsi="Times New Roman" w:cs="Times New Roman"/>
        </w:rPr>
      </w:pPr>
      <w:r>
        <w:rPr>
          <w:rFonts w:ascii="Times New Roman" w:eastAsia="Times New Roman" w:hAnsi="Times New Roman" w:cs="Times New Roman"/>
        </w:rPr>
        <w:t xml:space="preserve"> </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b/>
          <w:bCs/>
        </w:rPr>
        <w:t>METHODS</w:t>
      </w:r>
    </w:p>
    <w:p w:rsidR="001C630E" w:rsidRDefault="005C7C99">
      <w:pPr>
        <w:pStyle w:val="Standard"/>
        <w:spacing w:line="480" w:lineRule="auto"/>
        <w:rPr>
          <w:rFonts w:ascii="Times New Roman" w:hAnsi="Times New Roman" w:cs="Times New Roman"/>
        </w:rPr>
      </w:pPr>
      <w:r>
        <w:rPr>
          <w:rFonts w:ascii="Times New Roman" w:hAnsi="Times New Roman" w:cs="Times New Roman"/>
          <w:i/>
          <w:iCs/>
        </w:rPr>
        <w:t>Study design</w:t>
      </w:r>
    </w:p>
    <w:p w:rsidR="001C630E" w:rsidRDefault="005C7C99">
      <w:pPr>
        <w:pStyle w:val="Standard"/>
        <w:spacing w:line="480" w:lineRule="auto"/>
        <w:rPr>
          <w:rFonts w:ascii="Times New Roman" w:hAnsi="Times New Roman" w:cs="Times New Roman"/>
        </w:rPr>
      </w:pPr>
      <w:r>
        <w:rPr>
          <w:rFonts w:ascii="Times New Roman" w:hAnsi="Times New Roman" w:cs="Times New Roman"/>
        </w:rPr>
        <w:tab/>
        <w:t>Sixteen individually- packaged ground beef packages were purposefully selected and purchased at 6 different retail grocery stores in Fort Collins, Colorado. Total DNA was extracted from each sample and subjected to 16S rRNA amplicon sequencing and target-enriched shotgun sequencing to characterize the microbiome and resistome, respectively. Biological replicates from each retail ground beef product were analyzed to assess within-sample variability and to test whether dilution of baits improved resistome sequencing performance.</w:t>
      </w:r>
    </w:p>
    <w:p w:rsidR="001C630E" w:rsidRDefault="001C630E">
      <w:pPr>
        <w:pStyle w:val="Standard"/>
        <w:spacing w:line="480" w:lineRule="auto"/>
        <w:rPr>
          <w:rFonts w:ascii="Times New Roman" w:hAnsi="Times New Roman" w:cs="Times New Roman"/>
          <w:i/>
          <w:iCs/>
        </w:rPr>
      </w:pPr>
    </w:p>
    <w:p w:rsidR="001C630E" w:rsidRDefault="005C7C99">
      <w:pPr>
        <w:pStyle w:val="Standard"/>
        <w:spacing w:line="480" w:lineRule="auto"/>
        <w:rPr>
          <w:rFonts w:ascii="Times New Roman" w:hAnsi="Times New Roman" w:cs="Times New Roman"/>
        </w:rPr>
      </w:pPr>
      <w:r>
        <w:rPr>
          <w:rFonts w:ascii="Times New Roman" w:hAnsi="Times New Roman" w:cs="Times New Roman"/>
          <w:i/>
          <w:iCs/>
        </w:rPr>
        <w:t>Sample Collection</w:t>
      </w:r>
    </w:p>
    <w:p w:rsidR="001C630E" w:rsidRDefault="005C7C99">
      <w:pPr>
        <w:pStyle w:val="Standard"/>
        <w:spacing w:line="480" w:lineRule="auto"/>
        <w:rPr>
          <w:rFonts w:ascii="Times New Roman" w:hAnsi="Times New Roman" w:cs="Times New Roman"/>
        </w:rPr>
      </w:pPr>
      <w:r>
        <w:rPr>
          <w:rFonts w:ascii="Times New Roman" w:hAnsi="Times New Roman" w:cs="Times New Roman"/>
        </w:rPr>
        <w:tab/>
        <w:t xml:space="preserve">Packages of ground beef (≥ 1 lb) were purchased from 6 different retail grocery stores in Fort Collins, Colorado on September 18, 2017 and stored at 4°C for 48 hours until being further processed. Products were purchased with regard to production claims regarding exposure of animals to AMDs. Products with label claims for certified organic production or that otherwise specify the lack of AMD use during production were sampled as “Raised-Without Antibiotics” (RWA, n=8) while products that did not have any label claims impacting antimicrobial drug exposures of cattle were sampled as “conventional” products (CONV, n=8). Products were sold in four different types of packaging: vacuum sealed, chub wrap, store grind and wrapped, or tray </w:t>
      </w:r>
      <w:r>
        <w:rPr>
          <w:rFonts w:ascii="Times New Roman" w:hAnsi="Times New Roman" w:cs="Times New Roman"/>
        </w:rPr>
        <w:lastRenderedPageBreak/>
        <w:t xml:space="preserve">overwrap. Other metadata associated with each sample such as, packaging type and lean percentage, etc. were recorded (Supplemental File 1). </w:t>
      </w:r>
    </w:p>
    <w:p w:rsidR="001C630E" w:rsidRDefault="001C630E">
      <w:pPr>
        <w:pStyle w:val="Standard"/>
        <w:spacing w:line="480" w:lineRule="auto"/>
        <w:rPr>
          <w:rFonts w:ascii="Times New Roman" w:hAnsi="Times New Roman" w:cs="Times New Roman"/>
          <w:b/>
          <w:bCs/>
        </w:rPr>
      </w:pPr>
    </w:p>
    <w:p w:rsidR="001C630E" w:rsidRDefault="005C7C99">
      <w:pPr>
        <w:pStyle w:val="Standard"/>
        <w:spacing w:line="480" w:lineRule="auto"/>
        <w:rPr>
          <w:rFonts w:ascii="Times New Roman" w:hAnsi="Times New Roman" w:cs="Times New Roman"/>
        </w:rPr>
      </w:pPr>
      <w:r>
        <w:rPr>
          <w:rFonts w:ascii="Times New Roman" w:hAnsi="Times New Roman" w:cs="Times New Roman"/>
          <w:i/>
          <w:iCs/>
        </w:rPr>
        <w:t>Sample Processing and DNA Isolation</w:t>
      </w:r>
    </w:p>
    <w:p w:rsidR="001C630E" w:rsidRDefault="005C7C99">
      <w:pPr>
        <w:pStyle w:val="Standard"/>
        <w:spacing w:line="480" w:lineRule="auto"/>
        <w:rPr>
          <w:rFonts w:ascii="Times New Roman" w:hAnsi="Times New Roman" w:cs="Times New Roman"/>
        </w:rPr>
      </w:pPr>
      <w:r>
        <w:rPr>
          <w:rFonts w:ascii="Times New Roman" w:hAnsi="Times New Roman" w:cs="Times New Roman"/>
        </w:rPr>
        <w:tab/>
        <w:t>To replicate handling of retail ground beef products by typical consumers, samples were held at 4°C for 48 hours before being opened. Packages were opened aseptically by first wiping the outside with 70% ethanol, followed by RNase AWAY (Thermo Fisher Scientific), and then cut open using a sterile, disposable scalpel. Ground beef (30g) was removed aseptically from each package (n=16) and placed in a new Filtra-Bag (VWR). An additional section of ground beef (30g) was collected as biological replicates from each sample and was processed for target-enriched resistome sequencing using half diluted baits. All samples were homogenized using 100 ml of PBS and hand-massaged in a Filtra-Bag. Supernatant (15 mL) was then transferred to a sterile conical tube and centrifuged at 10,000 x g for 10 minutes. The resulting supernatant was discarded, and pellets were stored at -80°C until being processed for DNA extraction. A 950 µL aliquot of this pellet was used for total DNA isolation with the DNeasy PowerFecal Microbial Kit (Qiagen) according to manufacturer’s instructions. DNA was eluted in 50 µL of buffer solution and passed through the spin filter twice to optimize yield. DNA concentrations were measured with the Qubit dsDNA HS Assay Kit using the Qubit 2.0 Fluorometer according to manufacturer’s instructions (Thermo Fisher Scientific). If individual sample concentrations were &lt;1ng/µL, multiple extractions were pooled together to obtain this concentration.</w:t>
      </w:r>
    </w:p>
    <w:p w:rsidR="001C630E" w:rsidRDefault="001C630E">
      <w:pPr>
        <w:pStyle w:val="Standard"/>
        <w:spacing w:line="480" w:lineRule="auto"/>
        <w:rPr>
          <w:rFonts w:ascii="Times New Roman" w:hAnsi="Times New Roman" w:cs="Times New Roman"/>
          <w:b/>
          <w:bCs/>
        </w:rPr>
      </w:pPr>
    </w:p>
    <w:p w:rsidR="001C630E" w:rsidRDefault="005C7C99">
      <w:pPr>
        <w:pStyle w:val="Standard"/>
        <w:spacing w:line="480" w:lineRule="auto"/>
        <w:rPr>
          <w:rFonts w:ascii="Times New Roman" w:hAnsi="Times New Roman" w:cs="Times New Roman"/>
        </w:rPr>
      </w:pPr>
      <w:r>
        <w:rPr>
          <w:rFonts w:ascii="Times New Roman" w:hAnsi="Times New Roman" w:cs="Times New Roman"/>
          <w:i/>
          <w:iCs/>
        </w:rPr>
        <w:t>Library Preparation and Metagenomic sequencing</w:t>
      </w:r>
    </w:p>
    <w:p w:rsidR="001C630E" w:rsidRDefault="005C7C99">
      <w:pPr>
        <w:pStyle w:val="Standard"/>
        <w:spacing w:line="480" w:lineRule="auto"/>
        <w:rPr>
          <w:rFonts w:ascii="Times New Roman" w:hAnsi="Times New Roman" w:cs="Times New Roman"/>
        </w:rPr>
      </w:pPr>
      <w:r>
        <w:rPr>
          <w:rFonts w:ascii="Times New Roman" w:hAnsi="Times New Roman" w:cs="Times New Roman"/>
        </w:rPr>
        <w:lastRenderedPageBreak/>
        <w:tab/>
        <w:t xml:space="preserve">DNA extracted from each sample (200-500 ng) was shipped to Novogene Corporation (Sacramento, CA) for 16S rRNA gene amplicon sequencing to characterize the microbiome. The 292 bp V4 region of the 16S subunit was amplified with the 515F/806R primer set [5’-GTGCCAGCMGCCGCGGTAA-3’]/[5’-GGACTACHVGGGTWTCTAAT-3’]. Amplicon sequencing was performed on the Illumina HiSeq 2500 Sequencing System to produce paired end 250 bp reads (PE 250) at a targeted read depth of up to 100,000 PE reads per sample. </w:t>
      </w:r>
    </w:p>
    <w:p w:rsidR="00AC7EC5" w:rsidRDefault="005C7C99" w:rsidP="00CD049D">
      <w:pPr>
        <w:pStyle w:val="Standard"/>
        <w:spacing w:line="480" w:lineRule="auto"/>
        <w:ind w:firstLine="306"/>
        <w:rPr>
          <w:rFonts w:ascii="Times New Roman" w:hAnsi="Times New Roman" w:cs="Times New Roman"/>
        </w:rPr>
      </w:pPr>
      <w:r>
        <w:rPr>
          <w:rFonts w:ascii="Times New Roman" w:hAnsi="Times New Roman" w:cs="Times New Roman"/>
        </w:rPr>
        <w:t>The SureSelectXT HS Reagent Kit for Illumina Paired-End Multiplexed Sequencing Library (Agilent Technologies) was used to prepare samples for target-enriched resistome sequencing. A customized bait design targeting AMR genes, ‘MEGaRICH’</w:t>
      </w:r>
      <w:bookmarkStart w:id="31" w:name="__Fieldmark__3208_2727157154"/>
      <w:bookmarkStart w:id="32" w:name="__Fieldmark__12559_2875450830"/>
      <w:bookmarkEnd w:id="31"/>
      <w:bookmarkEnd w:id="32"/>
      <w:r>
        <w:rPr>
          <w:rFonts w:ascii="Times New Roman" w:hAnsi="Times New Roman" w:cs="Times New Roman"/>
        </w:rPr>
        <w:t xml:space="preserve"> </w:t>
      </w:r>
      <w:r>
        <w:fldChar w:fldCharType="begin"/>
      </w:r>
      <w:r>
        <w:rPr>
          <w:rFonts w:ascii="Times New Roman" w:hAnsi="Times New Roman" w:cs="Times New Roman"/>
        </w:rPr>
        <w:instrText>ADDIN ZOTERO_ITEM CSL_CITATION {"citationID":"7pP0vA1o","properties":{"formattedCitation":"(Noyes et al., 2017)","plainCitation":"(Noyes et al., 2017)","noteIndex":0},"citationItems":[{"id":565,"uris":["http://zotero.org/users/2162098/items/XP5CHCGI"],"uri":["http://zotero.org/users/2162098/items/XP5CHCGI"],"itemData":{"id":565,"type":"article-journal","abstract":"Shotgun metagenomic sequencing is increasingly utilized as a tool to evaluate ecological-level dynamics of antimicrobial resistance and virulence, in conjunction with microbiome analysis. Interest in use of this method for environmental surveillance of antimicrobial resistance and pathogenic microorganisms is also increasing. In published metagenomic datasets, the total of all resistance- and virulence-related sequences accounts for &lt; 1% of all sequenced DNA, leading to limitations in detection of low-abundance resistome-virulome elements. This study describes the extent and composition of the low-abundance portion of the resistome-virulome, using a bait-capture and enrichment system that incorporates unique molecular indices to count DNA molecules and correct for enrichment bias.","container-title":"Microbiome","DOI":"10.1186/s40168-017-0361-8","ISSN":"2049-2618","journalAbbreviation":"Microbiome","page":"142","source":"BioMed Central","title":"Enrichment allows identification of diverse, rare elements in metagenomic resistome-virulome sequencing","volume":"5","author":[{"family":"Noyes","given":"Noelle R."},{"family":"Weinroth","given":"Maggie E."},{"family":"Parker","given":"Jennifer K."},{"family":"Dean","given":"Chris J."},{"family":"Lakin","given":"Steven M."},{"family":"Raymond","given":"Robert A."},{"family":"Rovira","given":"Pablo"},{"family":"Doster","given":"Enrique"},{"family":"Abdo","given":"Zaid"},{"family":"Martin","given":"Jennifer N."},{"family":"Jones","given":"Kenneth L."},{"family":"Ruiz","given":"Jaime"},{"family":"Boucher","given":"Christina A."},{"family":"Belk","given":"Keith E."},{"family":"Morley","given":"Paul S."}],"issued":{"date-parts":[["2017",10,17]]}}}],"schema":"https://github.com/citation-style-language/schema/raw/master/csl-citation.json"}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rPr>
        <w:t>(</w:t>
      </w:r>
      <w:bookmarkStart w:id="33" w:name="Bookmark1211"/>
      <w:r>
        <w:rPr>
          <w:rFonts w:ascii="Times New Roman" w:hAnsi="Times New Roman" w:cs="Times New Roman"/>
        </w:rPr>
        <w:t>N</w:t>
      </w:r>
      <w:bookmarkStart w:id="34" w:name="Bookmark1011"/>
      <w:r>
        <w:rPr>
          <w:rFonts w:ascii="Times New Roman" w:hAnsi="Times New Roman" w:cs="Times New Roman"/>
        </w:rPr>
        <w:t>oyes et al., 2017)</w:t>
      </w:r>
      <w:bookmarkStart w:id="35" w:name="Bookmark121"/>
      <w:r>
        <w:rPr>
          <w:rFonts w:ascii="Times New Roman" w:hAnsi="Times New Roman" w:cs="Times New Roman"/>
        </w:rPr>
        <w:fldChar w:fldCharType="end"/>
      </w:r>
      <w:bookmarkEnd w:id="33"/>
      <w:bookmarkEnd w:id="34"/>
      <w:bookmarkEnd w:id="35"/>
      <w:r>
        <w:rPr>
          <w:rFonts w:ascii="Times New Roman" w:hAnsi="Times New Roman" w:cs="Times New Roman"/>
        </w:rPr>
        <w:t>, was used to improve “on-target” sequencing and reduce the challenge of sequencing microbial DNA from a sample predominantly containing host DNA. To gain further insight into bait performance, we included a biological replicate of each of the 16 packages of ground beef (2 x 30g samples) that was processed with half diluted baits (32 total shotgun libraries) to assess if this improved on-target sequencing performance. Samples were transported to UC-Denver Genomics and Microarray Core Facility (Denver, CO) and sequenced using the HiSEQ 4000 Sequencing System (Illumina) to produce paired end 150bp reads, targeting a read depth of 100 million PE reads per sample.</w:t>
      </w:r>
    </w:p>
    <w:p w:rsidR="00571785" w:rsidRDefault="005C7C99" w:rsidP="00571785">
      <w:pPr>
        <w:pStyle w:val="Standard"/>
        <w:spacing w:line="480" w:lineRule="auto"/>
        <w:ind w:firstLine="306"/>
        <w:rPr>
          <w:rFonts w:ascii="Times New Roman" w:hAnsi="Times New Roman" w:cs="Times New Roman"/>
        </w:rPr>
      </w:pPr>
      <w:r>
        <w:rPr>
          <w:rFonts w:ascii="Times New Roman" w:hAnsi="Times New Roman" w:cs="Times New Roman"/>
        </w:rPr>
        <w:t>Summary statistics regarding the number of raw, trimmed, and non-host reads for each sample were compared using generalized linear models with the “glm” function and the R programming</w:t>
      </w:r>
      <w:r w:rsidR="00E744B3">
        <w:rPr>
          <w:rFonts w:ascii="Times New Roman" w:hAnsi="Times New Roman" w:cs="Times New Roman"/>
        </w:rPr>
        <w:t xml:space="preserve"> version 3.6 </w:t>
      </w:r>
      <w:r w:rsidR="00E744B3">
        <w:fldChar w:fldCharType="begin"/>
      </w:r>
      <w:r w:rsidR="00E744B3">
        <w:rPr>
          <w:rFonts w:ascii="Times New Roman" w:hAnsi="Times New Roman" w:cs="Times New Roman"/>
        </w:rPr>
        <w:instrText>ADDIN ZOTERO_ITEM CSL_CITATION {"citationID":"m0Z4uPWO","properties":{"formattedCitation":"(Development Core Team, 2008)","plainCitation":"(Development Core Team, 2008)","noteIndex":0},"citationItems":[{"id":63,"uris":["http://zotero.org/users/2162098/items/W65V48CF"],"uri":["http://zotero.org/users/2162098/items/W65V48CF"],"itemData":{"id":63,"type":"chapter","container-title":"R Foundation for Statistical Computing","ISBN":"978-3-900051-07-5","source":"ResearchGate","title":"R Core Team. R A Language and Environment for Statistical Computing 2014","author":[{"family":"Development Core Team","given":"R"}],"issued":{"date-parts":[["2008",1,1]]}}}],"schema":"https://github.com/citation-style-language/schema/raw/master/csl-citation.json"}</w:instrText>
      </w:r>
      <w:r w:rsidR="00E744B3">
        <w:rPr>
          <w:rFonts w:ascii="Times New Roman" w:hAnsi="Times New Roman" w:cs="Times New Roman"/>
        </w:rPr>
        <w:fldChar w:fldCharType="separate"/>
      </w:r>
      <w:bookmarkStart w:id="36" w:name="Bookmark161"/>
      <w:r w:rsidR="00E744B3">
        <w:rPr>
          <w:rFonts w:ascii="Times New Roman" w:hAnsi="Times New Roman" w:cs="Times New Roman"/>
        </w:rPr>
        <w:t>(</w:t>
      </w:r>
      <w:bookmarkStart w:id="37" w:name="Bookmark1611"/>
      <w:r w:rsidR="00E744B3">
        <w:rPr>
          <w:rFonts w:ascii="Times New Roman" w:hAnsi="Times New Roman" w:cs="Times New Roman"/>
        </w:rPr>
        <w:t>D</w:t>
      </w:r>
      <w:bookmarkStart w:id="38" w:name="Bookmark14111"/>
      <w:r w:rsidR="00E744B3">
        <w:rPr>
          <w:rFonts w:ascii="Times New Roman" w:hAnsi="Times New Roman" w:cs="Times New Roman"/>
        </w:rPr>
        <w:t>evelopment Core Team, 2008)</w:t>
      </w:r>
      <w:r w:rsidR="00E744B3">
        <w:rPr>
          <w:rFonts w:ascii="Times New Roman" w:hAnsi="Times New Roman" w:cs="Times New Roman"/>
        </w:rPr>
        <w:fldChar w:fldCharType="end"/>
      </w:r>
      <w:bookmarkEnd w:id="36"/>
      <w:bookmarkEnd w:id="37"/>
      <w:bookmarkEnd w:id="38"/>
      <w:r>
        <w:rPr>
          <w:rFonts w:ascii="Times New Roman" w:hAnsi="Times New Roman" w:cs="Times New Roman"/>
        </w:rPr>
        <w:t xml:space="preserve"> to assess systematic bias across the following sequencing metadata: </w:t>
      </w:r>
      <w:r w:rsidR="00AC7EC5">
        <w:rPr>
          <w:rFonts w:ascii="Times New Roman" w:hAnsi="Times New Roman" w:cs="Times New Roman"/>
        </w:rPr>
        <w:t>treatment, store, and dilution</w:t>
      </w:r>
      <w:r>
        <w:rPr>
          <w:rFonts w:ascii="Times New Roman" w:hAnsi="Times New Roman" w:cs="Times New Roman"/>
        </w:rPr>
        <w:t xml:space="preserve">. </w:t>
      </w:r>
      <w:r w:rsidR="00AC7EC5">
        <w:rPr>
          <w:rFonts w:ascii="Times New Roman" w:hAnsi="Times New Roman" w:cs="Times New Roman"/>
        </w:rPr>
        <w:t>P</w:t>
      </w:r>
      <w:r>
        <w:rPr>
          <w:rFonts w:ascii="Times New Roman" w:hAnsi="Times New Roman" w:cs="Times New Roman"/>
        </w:rPr>
        <w:t xml:space="preserve">rimary comparisons of interest were between CONV vs RWA sample labels and comparing </w:t>
      </w:r>
      <w:r w:rsidR="00AC7EC5">
        <w:rPr>
          <w:rFonts w:ascii="Times New Roman" w:hAnsi="Times New Roman" w:cs="Times New Roman"/>
        </w:rPr>
        <w:t>sequencing results</w:t>
      </w:r>
      <w:r>
        <w:rPr>
          <w:rFonts w:ascii="Times New Roman" w:hAnsi="Times New Roman" w:cs="Times New Roman"/>
        </w:rPr>
        <w:t xml:space="preserve"> between typical vs diluted baits. </w:t>
      </w:r>
    </w:p>
    <w:p w:rsidR="001C630E" w:rsidRDefault="005C7C99" w:rsidP="00571785">
      <w:pPr>
        <w:pStyle w:val="Standard"/>
        <w:spacing w:line="480" w:lineRule="auto"/>
        <w:ind w:firstLine="306"/>
        <w:rPr>
          <w:rFonts w:ascii="Times New Roman" w:hAnsi="Times New Roman" w:cs="Times New Roman"/>
        </w:rPr>
      </w:pPr>
      <w:r>
        <w:rPr>
          <w:rFonts w:ascii="Times New Roman" w:hAnsi="Times New Roman" w:cs="Times New Roman"/>
          <w:i/>
          <w:iCs/>
        </w:rPr>
        <w:lastRenderedPageBreak/>
        <w:t>Microbiome and Resistome characterization</w:t>
      </w:r>
    </w:p>
    <w:p w:rsidR="001C630E" w:rsidRDefault="00052E73">
      <w:pPr>
        <w:pStyle w:val="Standard"/>
        <w:spacing w:line="480" w:lineRule="auto"/>
        <w:rPr>
          <w:rFonts w:ascii="Times New Roman" w:hAnsi="Times New Roman" w:cs="Times New Roman"/>
        </w:rPr>
      </w:pPr>
      <w:r>
        <w:rPr>
          <w:rFonts w:ascii="Times New Roman" w:hAnsi="Times New Roman" w:cs="Times New Roman"/>
        </w:rPr>
        <w:tab/>
        <w:t>Details on all the commands used to analyze th</w:t>
      </w:r>
      <w:r w:rsidR="00F0130B">
        <w:rPr>
          <w:rFonts w:ascii="Times New Roman" w:hAnsi="Times New Roman" w:cs="Times New Roman"/>
        </w:rPr>
        <w:t>e</w:t>
      </w:r>
      <w:r>
        <w:rPr>
          <w:rFonts w:ascii="Times New Roman" w:hAnsi="Times New Roman" w:cs="Times New Roman"/>
        </w:rPr>
        <w:t xml:space="preserve"> data in this manuscript</w:t>
      </w:r>
      <w:r w:rsidR="00F0130B">
        <w:rPr>
          <w:rFonts w:ascii="Times New Roman" w:hAnsi="Times New Roman" w:cs="Times New Roman"/>
        </w:rPr>
        <w:t xml:space="preserve"> can be found at the</w:t>
      </w:r>
      <w:r w:rsidR="002D63DF">
        <w:rPr>
          <w:rFonts w:ascii="Times New Roman" w:hAnsi="Times New Roman" w:cs="Times New Roman"/>
        </w:rPr>
        <w:t xml:space="preserve"> project’s corresponding</w:t>
      </w:r>
      <w:r w:rsidR="00F0130B">
        <w:rPr>
          <w:rFonts w:ascii="Times New Roman" w:hAnsi="Times New Roman" w:cs="Times New Roman"/>
        </w:rPr>
        <w:t xml:space="preserve"> </w:t>
      </w:r>
      <w:r w:rsidR="00EA6370">
        <w:rPr>
          <w:rFonts w:ascii="Times New Roman" w:hAnsi="Times New Roman" w:cs="Times New Roman"/>
        </w:rPr>
        <w:t>G</w:t>
      </w:r>
      <w:r w:rsidR="00F0130B">
        <w:rPr>
          <w:rFonts w:ascii="Times New Roman" w:hAnsi="Times New Roman" w:cs="Times New Roman"/>
        </w:rPr>
        <w:t>it</w:t>
      </w:r>
      <w:r w:rsidR="00EA6370">
        <w:rPr>
          <w:rFonts w:ascii="Times New Roman" w:hAnsi="Times New Roman" w:cs="Times New Roman"/>
        </w:rPr>
        <w:t>H</w:t>
      </w:r>
      <w:r w:rsidR="00F0130B">
        <w:rPr>
          <w:rFonts w:ascii="Times New Roman" w:hAnsi="Times New Roman" w:cs="Times New Roman"/>
        </w:rPr>
        <w:t xml:space="preserve">ub repository: </w:t>
      </w:r>
      <w:hyperlink r:id="rId8" w:history="1">
        <w:r w:rsidR="00F0130B">
          <w:rPr>
            <w:rStyle w:val="Hyperlink"/>
          </w:rPr>
          <w:t>https://github.com/meglab-metagenomics/Ground_beef_metagenomics_manuscript</w:t>
        </w:r>
      </w:hyperlink>
      <w:r w:rsidR="00F0130B">
        <w:t xml:space="preserve">. </w:t>
      </w:r>
      <w:r w:rsidR="005C7C99">
        <w:rPr>
          <w:rFonts w:ascii="Times New Roman" w:hAnsi="Times New Roman" w:cs="Times New Roman"/>
        </w:rPr>
        <w:t xml:space="preserve">To describe the profile of microbes present in ground beef products, reads from 16S rRNA amplicon sequencing were analyzed using the collection of tools contained in the Quantitative Insights Into Microbial Ecology version 2 software </w:t>
      </w:r>
      <w:r w:rsidR="005C7C99">
        <w:fldChar w:fldCharType="begin"/>
      </w:r>
      <w:r w:rsidR="005C7C99">
        <w:rPr>
          <w:rFonts w:ascii="Times New Roman" w:hAnsi="Times New Roman" w:cs="Times New Roman"/>
        </w:rPr>
        <w:instrText>ADDIN ZOTERO_ITEM CSL_CITATION {"citationID":"YvNoCkkq","properties":{"formattedCitation":"(Bolyen et al., 2019)","plainCitation":"(Bolyen et al., 2019)","noteIndex":0},"citationItems":[{"id":2634,"uris":["http://zotero.org/users/2162098/items/ADT5ITX6"],"uri":["http://zotero.org/users/2162098/items/ADT5ITX6"],"itemData":{"id":2634,"type":"article-journal","container-title":"Nature Biotechnology","DOI":"10.1038/s41587-019-0209-9","ISSN":"1546-1696","issue":"8","language":"en","page":"852-857","source":"www.nature.com","title":"Reproducible,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w:instrText>
      </w:r>
      <w:r w:rsidR="005C7C99">
        <w:rPr>
          <w:rFonts w:ascii="Times New Roman" w:hAnsi="Times New Roman" w:cs="Times New Roman"/>
        </w:rPr>
        <w:fldChar w:fldCharType="separate"/>
      </w:r>
      <w:bookmarkStart w:id="39" w:name="Bookmark131"/>
      <w:r w:rsidR="005C7C99">
        <w:rPr>
          <w:rFonts w:ascii="Times New Roman" w:hAnsi="Times New Roman" w:cs="Times New Roman"/>
        </w:rPr>
        <w:t>(</w:t>
      </w:r>
      <w:bookmarkStart w:id="40" w:name="Bookmark1311"/>
      <w:r w:rsidR="005C7C99">
        <w:rPr>
          <w:rFonts w:ascii="Times New Roman" w:hAnsi="Times New Roman" w:cs="Times New Roman"/>
        </w:rPr>
        <w:t>B</w:t>
      </w:r>
      <w:bookmarkStart w:id="41" w:name="Bookmark11111"/>
      <w:r w:rsidR="005C7C99">
        <w:rPr>
          <w:rFonts w:ascii="Times New Roman" w:hAnsi="Times New Roman" w:cs="Times New Roman"/>
        </w:rPr>
        <w:t>olyen et al., 2019)</w:t>
      </w:r>
      <w:r w:rsidR="005C7C99">
        <w:rPr>
          <w:rFonts w:ascii="Times New Roman" w:hAnsi="Times New Roman" w:cs="Times New Roman"/>
        </w:rPr>
        <w:fldChar w:fldCharType="end"/>
      </w:r>
      <w:bookmarkEnd w:id="39"/>
      <w:bookmarkEnd w:id="40"/>
      <w:bookmarkEnd w:id="41"/>
      <w:r w:rsidR="005C7C99">
        <w:rPr>
          <w:rFonts w:ascii="Times New Roman" w:hAnsi="Times New Roman" w:cs="Times New Roman"/>
        </w:rPr>
        <w:t xml:space="preserve">. Briefly, all reads are processed for sequence quality and denoising using DADA2 </w:t>
      </w:r>
      <w:r w:rsidR="005C7C99">
        <w:fldChar w:fldCharType="begin"/>
      </w:r>
      <w:r w:rsidR="005C7C99">
        <w:rPr>
          <w:rFonts w:ascii="Times New Roman" w:hAnsi="Times New Roman" w:cs="Times New Roman"/>
        </w:rPr>
        <w:instrText>ADDIN ZOTERO_ITEM CSL_CITATION {"citationID":"gaOx8JwK","properties":{"formattedCitation":"(Callahan et al., 2016)","plainCitation":"(Callahan et al., 2016)","noteIndex":0},"citationItems":[{"id":2696,"uris":["http://zotero.org/users/2162098/items/BRHXPK5P"],"uri":["http://zotero.org/users/2162098/items/BRHXPK5P"],"itemData":{"id":2696,"type":"article-journal","abstract":"DADA2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Methods","DOI":"10.1038/nmeth.3869","ISSN":"1548-7105","issue":"7","language":"en","note":"number: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w:instrText>
      </w:r>
      <w:r w:rsidR="005C7C99">
        <w:rPr>
          <w:rFonts w:ascii="Times New Roman" w:hAnsi="Times New Roman" w:cs="Times New Roman"/>
        </w:rPr>
        <w:fldChar w:fldCharType="separate"/>
      </w:r>
      <w:bookmarkStart w:id="42" w:name="Bookmark141"/>
      <w:r w:rsidR="005C7C99">
        <w:rPr>
          <w:rFonts w:ascii="Times New Roman" w:hAnsi="Times New Roman" w:cs="Times New Roman"/>
        </w:rPr>
        <w:t>(</w:t>
      </w:r>
      <w:bookmarkStart w:id="43" w:name="Bookmark1411"/>
      <w:r w:rsidR="005C7C99">
        <w:rPr>
          <w:rFonts w:ascii="Times New Roman" w:hAnsi="Times New Roman" w:cs="Times New Roman"/>
        </w:rPr>
        <w:t>C</w:t>
      </w:r>
      <w:bookmarkStart w:id="44" w:name="Bookmark12111"/>
      <w:r w:rsidR="005C7C99">
        <w:rPr>
          <w:rFonts w:ascii="Times New Roman" w:hAnsi="Times New Roman" w:cs="Times New Roman"/>
        </w:rPr>
        <w:t>allahan et al., 2016)</w:t>
      </w:r>
      <w:r w:rsidR="005C7C99">
        <w:rPr>
          <w:rFonts w:ascii="Times New Roman" w:hAnsi="Times New Roman" w:cs="Times New Roman"/>
        </w:rPr>
        <w:fldChar w:fldCharType="end"/>
      </w:r>
      <w:bookmarkEnd w:id="42"/>
      <w:bookmarkEnd w:id="43"/>
      <w:bookmarkEnd w:id="44"/>
      <w:r w:rsidR="00E744B3">
        <w:rPr>
          <w:rFonts w:ascii="Times New Roman" w:hAnsi="Times New Roman" w:cs="Times New Roman"/>
        </w:rPr>
        <w:t>. T</w:t>
      </w:r>
      <w:r w:rsidR="005C7C99">
        <w:rPr>
          <w:rFonts w:ascii="Times New Roman" w:hAnsi="Times New Roman" w:cs="Times New Roman"/>
        </w:rPr>
        <w:t xml:space="preserve">axonomic classification </w:t>
      </w:r>
      <w:r w:rsidR="00E744B3">
        <w:rPr>
          <w:rFonts w:ascii="Times New Roman" w:hAnsi="Times New Roman" w:cs="Times New Roman"/>
        </w:rPr>
        <w:t xml:space="preserve">was performed </w:t>
      </w:r>
      <w:r w:rsidR="005C7C99">
        <w:rPr>
          <w:rFonts w:ascii="Times New Roman" w:hAnsi="Times New Roman" w:cs="Times New Roman"/>
        </w:rPr>
        <w:t>using a naive bayes classifier trained on the GreenGenes database</w:t>
      </w:r>
      <w:bookmarkStart w:id="45" w:name="__Fieldmark__3236_2727157154"/>
      <w:bookmarkStart w:id="46" w:name="__Fieldmark__12609_2875450830"/>
      <w:bookmarkEnd w:id="45"/>
      <w:bookmarkEnd w:id="46"/>
      <w:r w:rsidR="005C7C99">
        <w:rPr>
          <w:rFonts w:ascii="Times New Roman" w:hAnsi="Times New Roman" w:cs="Times New Roman"/>
        </w:rPr>
        <w:t xml:space="preserve"> </w:t>
      </w:r>
      <w:r w:rsidR="005C7C99">
        <w:fldChar w:fldCharType="begin"/>
      </w:r>
      <w:r w:rsidR="005C7C99">
        <w:rPr>
          <w:rFonts w:ascii="Times New Roman" w:hAnsi="Times New Roman" w:cs="Times New Roman"/>
        </w:rPr>
        <w:instrText>ADDIN ZOTERO_ITEM CSL_CITATION {"citationID":"RhRFBgS5","properties":{"formattedCitation":"(McDonald et al., 2012)","plainCitation":"(McDonald et al., 2012)","noteIndex":0},"citationItems":[{"id":2699,"uris":["http://zotero.org/users/2162098/items/YHYRW747"],"uri":["http://zotero.org/users/2162098/items/YHYRW747"],"itemData":{"id":2699,"type":"article-journal","abstract":"Reference phylogenies are crucial for providing a taxonomic framework for interpretation of marker gene and metagenomic surveys, which continue to reveal novel species at a remarkable rate. Greengenes is a dedicated full-length 16S rRNA gene database that provides users with a curated taxonomy based on de novo tree inference. We developed a ‘taxonomy to tree' approach for transferring group names from an existing taxonomy to a tree topology, and used it to apply the Greengenes, National Center for Biotechnology Information (NCBI) and cyanoDB (Cyanobacteria only) taxonomies to a de novo tree comprising 408 315 sequences. We also incorporated explicit rank information provided by the NCBI taxonomy to group names (by prefixing rank designations) for better user orientation and classification consistency. The resulting merged taxonomy improved the classification of 75% of the sequences by one or more ranks relative to the original NCBI taxonomy with the most pronounced improvements occurring in under-classified environmental sequences. We also assessed candidate phyla (divisions) currently defined by NCBI and present recommendations for consolidation of 34 redundantly named groups. All intermediate results from the pipeline, which includes tree inference, jackknifing and transfer of a donor taxonomy to a recipient tree (tax2tree) are available for download. The improved Greengenes taxonomy should provide important infrastructure for a wide range of megasequencing projects studying ecosystems on scales ranging from our own bodies (the Human Microbiome Project) to the entire planet (the Earth Microbiome Project). The implementation of the software can be obtained from http://sourceforge.net/projects/tax2tree/.","container-title":"The ISME Journal","DOI":"10.1038/ismej.2011.139","ISSN":"1751-7362","issue":"3","journalAbbreviation":"ISME J","note":"PMID: 22134646\nPMCID: PMC3280142","page":"610-618","source":"PubMed Central","title":"An improved Greengenes taxonomy with explicit ranks for ecological and evolutionary analyses of bacteria and archaea","volume":"6","author":[{"family":"McDonald","given":"Daniel"},{"family":"Price","given":"Morgan N"},{"family":"Goodrich","given":"Julia"},{"family":"Nawrocki","given":"Eric P"},{"family":"DeSantis","given":"Todd Z"},{"family":"Probst","given":"Alexander"},{"family":"Andersen","given":"Gary L"},{"family":"Knight","given":"Rob"},{"family":"Hugenholtz","given":"Philip"}],"issued":{"date-parts":[["2012",3]]}}}],"schema":"https://github.com/citation-style-language/schema/raw/master/csl-citation.json"}</w:instrText>
      </w:r>
      <w:r w:rsidR="005C7C99">
        <w:rPr>
          <w:rFonts w:ascii="Times New Roman" w:hAnsi="Times New Roman" w:cs="Times New Roman"/>
        </w:rPr>
        <w:fldChar w:fldCharType="separate"/>
      </w:r>
      <w:bookmarkStart w:id="47" w:name="Bookmark151"/>
      <w:r w:rsidR="005C7C99">
        <w:rPr>
          <w:rFonts w:ascii="Times New Roman" w:hAnsi="Times New Roman" w:cs="Times New Roman"/>
        </w:rPr>
        <w:t>(</w:t>
      </w:r>
      <w:bookmarkStart w:id="48" w:name="Bookmark1511"/>
      <w:r w:rsidR="005C7C99">
        <w:rPr>
          <w:rFonts w:ascii="Times New Roman" w:hAnsi="Times New Roman" w:cs="Times New Roman"/>
        </w:rPr>
        <w:t>M</w:t>
      </w:r>
      <w:bookmarkStart w:id="49" w:name="Bookmark13111"/>
      <w:r w:rsidR="005C7C99">
        <w:rPr>
          <w:rFonts w:ascii="Times New Roman" w:hAnsi="Times New Roman" w:cs="Times New Roman"/>
        </w:rPr>
        <w:t>cDonald et al., 2012)</w:t>
      </w:r>
      <w:r w:rsidR="005C7C99">
        <w:rPr>
          <w:rFonts w:ascii="Times New Roman" w:hAnsi="Times New Roman" w:cs="Times New Roman"/>
        </w:rPr>
        <w:fldChar w:fldCharType="end"/>
      </w:r>
      <w:bookmarkEnd w:id="47"/>
      <w:bookmarkEnd w:id="48"/>
      <w:bookmarkEnd w:id="49"/>
      <w:r w:rsidR="005C7C99">
        <w:rPr>
          <w:rFonts w:ascii="Times New Roman" w:hAnsi="Times New Roman" w:cs="Times New Roman"/>
        </w:rPr>
        <w:t>, with chloroplast and mitochondrial DNA contaminants removed. Results were then exported into count tables and analyzed using the R statistical software</w:t>
      </w:r>
      <w:r w:rsidR="00E744B3">
        <w:rPr>
          <w:rFonts w:ascii="Times New Roman" w:hAnsi="Times New Roman" w:cs="Times New Roman"/>
        </w:rPr>
        <w:t>.</w:t>
      </w:r>
    </w:p>
    <w:p w:rsidR="001C630E" w:rsidRDefault="005C7C99">
      <w:pPr>
        <w:pStyle w:val="Standard"/>
        <w:spacing w:line="480" w:lineRule="auto"/>
        <w:rPr>
          <w:rFonts w:ascii="Times New Roman" w:hAnsi="Times New Roman" w:cs="Times New Roman"/>
          <w:i/>
          <w:color w:val="FF0000"/>
        </w:rPr>
      </w:pPr>
      <w:r>
        <w:rPr>
          <w:rFonts w:ascii="Times New Roman" w:hAnsi="Times New Roman" w:cs="Times New Roman"/>
        </w:rPr>
        <w:tab/>
        <w:t>To identify the resistome in ground beef products, the targeted AMR metagenomic sequencing samples were analyzed using the AmrPlusPlus 1.0 (AMR++) bioinformatic pipeline and the MEGARes resistance database</w:t>
      </w:r>
      <w:r w:rsidR="00CD049D">
        <w:rPr>
          <w:rFonts w:ascii="Times New Roman" w:hAnsi="Times New Roman" w:cs="Times New Roman"/>
        </w:rPr>
        <w:t xml:space="preserve"> v1.0.1</w:t>
      </w:r>
      <w:r>
        <w:rPr>
          <w:rFonts w:ascii="Times New Roman" w:hAnsi="Times New Roman" w:cs="Times New Roman"/>
        </w:rPr>
        <w:t xml:space="preserve"> </w:t>
      </w:r>
      <w:r>
        <w:fldChar w:fldCharType="begin"/>
      </w:r>
      <w:r>
        <w:rPr>
          <w:rFonts w:ascii="Times New Roman" w:hAnsi="Times New Roman" w:cs="Times New Roman"/>
        </w:rPr>
        <w:instrText>ADDIN ZOTERO_ITEM CSL_CITATION {"citationID":"8HOyp6yl","properties":{"formattedCitation":"(Lakin et al., 2017)","plainCitation":"(Lakin et al., 2017)","noteIndex":0},"citationItems":[{"id":282,"uris":["http://zotero.org/users/2162098/items/I4W2IGEH"],"uri":["http://zotero.org/users/2162098/items/I4W2IGEH"],"itemData":{"id":282,"type":"article-journal","container-title":"Nucleic Acids Research","DOI":"10.1093/nar/gkw1009","ISSN":"0305-1048","issue":"D1","journalAbbreviation":"Nucleic Acids Res","page":"D574-D580","source":"academic.oup.com","title":"MEGARes: an antimicrobial resistance database for high throughput sequencing","title-short":"MEGARes","volume":"45","author":[{"family":"Lakin","given":"Steven M."},{"family":"Dean","given":"Chris"},{"family":"Noyes","given":"Noelle R."},{"family":"Dettenwanger","given":"Adam"},{"family":"Ross","given":"Anne Spencer"},{"family":"Doster","given":"Enrique"},{"family":"Rovira","given":"Pablo"},{"family":"Abdo","given":"Zaid"},{"family":"Jones","given":"Kenneth L."},{"family":"Ruiz","given":"Jaime"},{"family":"Belk","given":"Keith E."},{"family":"Morley","given":"Paul S."},{"family":"Boucher","given":"Christina"}],"issued":{"date-parts":[["2017",1,4]]}}}],"schema":"https://github.com/citation-style-language/schema/raw/master/csl-citation.json"}</w:instrText>
      </w:r>
      <w:r>
        <w:rPr>
          <w:rFonts w:ascii="Times New Roman" w:hAnsi="Times New Roman" w:cs="Times New Roman"/>
        </w:rPr>
        <w:fldChar w:fldCharType="separate"/>
      </w:r>
      <w:bookmarkStart w:id="50" w:name="Bookmark171"/>
      <w:r>
        <w:rPr>
          <w:rFonts w:ascii="Times New Roman" w:hAnsi="Times New Roman" w:cs="Times New Roman"/>
        </w:rPr>
        <w:t>(</w:t>
      </w:r>
      <w:bookmarkStart w:id="51" w:name="Bookmark1711"/>
      <w:r>
        <w:rPr>
          <w:rFonts w:ascii="Times New Roman" w:hAnsi="Times New Roman" w:cs="Times New Roman"/>
        </w:rPr>
        <w:t>L</w:t>
      </w:r>
      <w:bookmarkStart w:id="52" w:name="Bookmark15111"/>
      <w:r>
        <w:rPr>
          <w:rFonts w:ascii="Times New Roman" w:hAnsi="Times New Roman" w:cs="Times New Roman"/>
        </w:rPr>
        <w:t>akin et al., 2017)</w:t>
      </w:r>
      <w:r>
        <w:rPr>
          <w:rFonts w:ascii="Times New Roman" w:hAnsi="Times New Roman" w:cs="Times New Roman"/>
        </w:rPr>
        <w:fldChar w:fldCharType="end"/>
      </w:r>
      <w:bookmarkStart w:id="53" w:name="__Fieldmark__3249_2727157154"/>
      <w:bookmarkStart w:id="54" w:name="__Fieldmark__12632_2875450830"/>
      <w:bookmarkEnd w:id="50"/>
      <w:bookmarkEnd w:id="51"/>
      <w:bookmarkEnd w:id="52"/>
      <w:bookmarkEnd w:id="53"/>
      <w:bookmarkEnd w:id="54"/>
      <w:r>
        <w:rPr>
          <w:rFonts w:ascii="Times New Roman" w:hAnsi="Times New Roman" w:cs="Times New Roman"/>
        </w:rPr>
        <w:t>. Further details on the pipeline can be found in the documentation website (</w:t>
      </w:r>
      <w:hyperlink r:id="rId9">
        <w:r>
          <w:rPr>
            <w:rFonts w:ascii="Times New Roman" w:hAnsi="Times New Roman" w:cs="Times New Roman"/>
          </w:rPr>
          <w:t>http://megares.meglab.org/amrplusplus</w:t>
        </w:r>
      </w:hyperlink>
      <w:r>
        <w:rPr>
          <w:rFonts w:ascii="Times New Roman" w:hAnsi="Times New Roman" w:cs="Times New Roman"/>
        </w:rPr>
        <w:t xml:space="preserve">). Briefly, read quality filtering is performed using Trimmomatic </w:t>
      </w:r>
      <w:bookmarkStart w:id="55" w:name="__Fieldmark__12644_2875450830"/>
      <w:bookmarkStart w:id="56" w:name="__Fieldmark__3257_2727157154"/>
      <w:bookmarkEnd w:id="55"/>
      <w:bookmarkEnd w:id="56"/>
      <w:r>
        <w:rPr>
          <w:rFonts w:ascii="Times New Roman" w:hAnsi="Times New Roman" w:cs="Times New Roman"/>
        </w:rPr>
        <w:t xml:space="preserve">and host contamination is identified using the Burrows-Wheeler-Aligner (BWA) software with alignment to the Bos Taurus genome </w:t>
      </w:r>
      <w:r>
        <w:fldChar w:fldCharType="begin"/>
      </w:r>
      <w:r>
        <w:rPr>
          <w:rFonts w:ascii="Times New Roman" w:hAnsi="Times New Roman" w:cs="Times New Roman"/>
        </w:rPr>
        <w:instrText>ADDIN ZOTERO_ITEM CSL_CITATION {"citationID":"L45Bjixy","properties":{"formattedCitation":"(Liu et al., 2009)","plainCitation":"(Liu et al., 2009)","noteIndex":0},"citationItems":[{"id":2636,"uris":["http://zotero.org/users/2162098/items/5MS6UCYD"],"uri":["http://zotero.org/users/2162098/items/5MS6UCYD"],"itemData":{"id":2636,"type":"article-journal","abstract":"BACKGROUND: We present here the assembly of the bovine genome. The assembly method combines the BAC plus WGS local assembly used for the rat and sea urchin with the whole genome shotgun (WGS) only assembly used for many other animal genomes including the rhesus macaque.\nRESULTS: The assembly process consisted of multiple phases: First, BACs were assembled with BAC generated sequence, then subsequently in combination with the individual overlapping WGS reads. Different assembly parameters were tested to separately optimize the performance for each BAC assembly of the BAC and WGS reads. In parallel, a second assembly was produced using only the WGS sequences and a global whole genome assembly method. The two assemblies were combined to create a more complete genome representation that retained the high quality BAC-based local assembly information, but with gaps between BACs filled in with the WGS-only assembly. Finally, the entire assembly was placed on chromosomes using the available map information.Over 90% of the assembly is now placed on chromosomes. The estimated genome size is 2.87 Gb which represents a high degree of completeness, with 95% of the available EST sequences found in assembled contigs. The quality of the assembly was evaluated by comparison to 73 finished BACs, where the draft assembly covers between 92.5 and 100% (average 98.5%) of the finished BACs. The assembly contigs and scaffolds align linearly to the finished BACs, suggesting that misassemblies are rare. Genotyping and genetic mapping of 17,482 SNPs revealed that more than 99.2% were correctly positioned within the Btau_4.0 assembly, confirming the accuracy of the assembly.\nCONCLUSION: The biological analysis of this bovine genome assembly is being published, and the sequence data is available to support future bovine research.","container-title":"BMC genomics","DOI":"10.1186/1471-2164-10-180","ISSN":"1471-2164","journalAbbreviation":"BMC Genomics","language":"eng","note":"PMID: 19393050\nPMCID: PMC2686734","page":"180","source":"PubMed","title":"Bos taurus genome assembly","volume":"10","author":[{"family":"Liu","given":"Yue"},{"family":"Qin","given":"Xiang"},{"family":"Song","given":"Xing-Zhi Henry"},{"family":"Jiang","given":"Huaiyang"},{"family":"Shen","given":"Yufeng"},{"family":"Durbin","given":"K. James"},{"family":"Lien","given":"Sigbjørn"},{"family":"Kent","given":"Matthew Peter"},{"family":"Sodeland","given":"Marte"},{"family":"Ren","given":"Yanru"},{"family":"Zhang","given":"Lan"},{"family":"Sodergren","given":"Erica"},{"family":"Havlak","given":"Paul"},{"family":"Worley","given":"Kim C."},{"family":"Weinstock","given":"George M."},{"family":"Gibbs","given":"Richard A."}],"issued":{"date-parts":[["2009",4,24]]}}}],"schema":"https://github.com/citation-style-language/schema/raw/master/csl-citation.json"}</w:instrText>
      </w:r>
      <w:r>
        <w:rPr>
          <w:rFonts w:ascii="Times New Roman" w:hAnsi="Times New Roman" w:cs="Times New Roman"/>
        </w:rPr>
        <w:fldChar w:fldCharType="separate"/>
      </w:r>
      <w:bookmarkStart w:id="57" w:name="Bookmark181"/>
      <w:r>
        <w:rPr>
          <w:rFonts w:ascii="Times New Roman" w:hAnsi="Times New Roman" w:cs="Times New Roman"/>
        </w:rPr>
        <w:t>(</w:t>
      </w:r>
      <w:bookmarkStart w:id="58" w:name="Bookmark1811"/>
      <w:r>
        <w:rPr>
          <w:rFonts w:ascii="Times New Roman" w:hAnsi="Times New Roman" w:cs="Times New Roman"/>
        </w:rPr>
        <w:t>L</w:t>
      </w:r>
      <w:bookmarkStart w:id="59" w:name="Bookmark16111"/>
      <w:r>
        <w:rPr>
          <w:rFonts w:ascii="Times New Roman" w:hAnsi="Times New Roman" w:cs="Times New Roman"/>
        </w:rPr>
        <w:t>iu et al., 2009)</w:t>
      </w:r>
      <w:r>
        <w:rPr>
          <w:rFonts w:ascii="Times New Roman" w:hAnsi="Times New Roman" w:cs="Times New Roman"/>
        </w:rPr>
        <w:fldChar w:fldCharType="end"/>
      </w:r>
      <w:bookmarkEnd w:id="57"/>
      <w:bookmarkEnd w:id="58"/>
      <w:bookmarkEnd w:id="59"/>
      <w:r>
        <w:rPr>
          <w:rFonts w:ascii="Times New Roman" w:hAnsi="Times New Roman" w:cs="Times New Roman"/>
        </w:rPr>
        <w:t xml:space="preserve"> and removal of corresponding reads with SamTools </w:t>
      </w:r>
      <w:r>
        <w:fldChar w:fldCharType="begin"/>
      </w:r>
      <w:r>
        <w:rPr>
          <w:rFonts w:ascii="Times New Roman" w:hAnsi="Times New Roman" w:cs="Times New Roman"/>
        </w:rPr>
        <w:instrText>ADDIN ZOTERO_ITEM CSL_CITATION {"citationID":"CJp3KJK4","properties":{"formattedCitation":"(Li et al., 2009)","plainCitation":"(Li et al., 2009)","noteIndex":0},"citationItems":[{"id":566,"uris":["http://zotero.org/users/2162098/items/SEUAZQ55"],"uri":["http://zotero.org/users/2162098/items/SEUAZQ55"],"itemData":{"id":566,"type":"article-journal","abstract":"SUMMARY: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alignments.\nAVAILABILITY: http://samtools.sourceforge.net.","container-title":"Bioinformatics (Oxford, England)","DOI":"10.1093/bioinformatics/btp352","ISSN":"1367-4811","issue":"16","journalAbbreviation":"Bioinformatics","language":"eng","note":"PMID: 19505943\nPMCID: PMC2723002","page":"2078-2079","source":"PubMed","title":"The Sequence Alignment/Map format and SAMtools","volume":"25","author":[{"family":"Li","given":"Heng"},{"family":"Handsaker","given":"Bob"},{"family":"Wysoker","given":"Alec"},{"family":"Fennell","given":"Tim"},{"family":"Ruan","given":"Jue"},{"family":"Homer","given":"Nils"},{"family":"Marth","given":"Gabor"},{"family":"Abecasis","given":"Goncalo"},{"family":"Durbin","given":"Richard"},{"literal":"1000 Genome Project Data Processing Subgroup"}],"issued":{"date-parts":[["2009",8,15]]}}}],"schema":"https://github.com/citation-style-language/schema/raw/master/csl-citation.json"}</w:instrText>
      </w:r>
      <w:r>
        <w:rPr>
          <w:rFonts w:ascii="Times New Roman" w:hAnsi="Times New Roman" w:cs="Times New Roman"/>
        </w:rPr>
        <w:fldChar w:fldCharType="separate"/>
      </w:r>
      <w:bookmarkStart w:id="60" w:name="Bookmark191"/>
      <w:r>
        <w:rPr>
          <w:rFonts w:ascii="Times New Roman" w:hAnsi="Times New Roman" w:cs="Times New Roman"/>
        </w:rPr>
        <w:t>(</w:t>
      </w:r>
      <w:bookmarkStart w:id="61" w:name="Bookmark1911"/>
      <w:r>
        <w:rPr>
          <w:rFonts w:ascii="Times New Roman" w:hAnsi="Times New Roman" w:cs="Times New Roman"/>
        </w:rPr>
        <w:t>L</w:t>
      </w:r>
      <w:bookmarkStart w:id="62" w:name="Bookmark17111"/>
      <w:r>
        <w:rPr>
          <w:rFonts w:ascii="Times New Roman" w:hAnsi="Times New Roman" w:cs="Times New Roman"/>
        </w:rPr>
        <w:t>i et al., 2009)</w:t>
      </w:r>
      <w:r>
        <w:rPr>
          <w:rFonts w:ascii="Times New Roman" w:hAnsi="Times New Roman" w:cs="Times New Roman"/>
        </w:rPr>
        <w:fldChar w:fldCharType="end"/>
      </w:r>
      <w:bookmarkEnd w:id="60"/>
      <w:bookmarkEnd w:id="61"/>
      <w:bookmarkEnd w:id="62"/>
      <w:r>
        <w:rPr>
          <w:rFonts w:ascii="Times New Roman" w:hAnsi="Times New Roman" w:cs="Times New Roman"/>
        </w:rPr>
        <w:t xml:space="preserve">. These non-host reads were then aligned to the MEGARes database (version 1.02) with BWA. Only gene accessions with reads aligning to &gt;80% of the reference nucleotide sequence were considered for further analysis, with the exception of reads aligned to genes that require the presence of specific single nucleotide polymorphisms (SNPs) to confer resistance. These reads are identified, extracted from the corresponding samples, and re-classified separately using Resistance Gene </w:t>
      </w:r>
      <w:r>
        <w:rPr>
          <w:rFonts w:ascii="Times New Roman" w:hAnsi="Times New Roman" w:cs="Times New Roman"/>
        </w:rPr>
        <w:lastRenderedPageBreak/>
        <w:t xml:space="preserve">Identifier (RGI) </w:t>
      </w:r>
      <w:r>
        <w:fldChar w:fldCharType="begin"/>
      </w:r>
      <w:r>
        <w:rPr>
          <w:rFonts w:ascii="Times New Roman" w:hAnsi="Times New Roman" w:cs="Times New Roman"/>
        </w:rPr>
        <w:instrText>ADDIN ZOTERO_ITEM CSL_CITATION {"citationID":"p3OVK9AC","properties":{"formattedCitation":"(Alcock et al., 2020)","plainCitation":"(Alcock et al., 2020)","noteIndex":0},"citationItems":[{"id":2639,"uris":["http://zotero.org/users/2162098/items/GQ96YU9M"],"uri":["http://zotero.org/users/2162098/items/GQ96YU9M"],"itemData":{"id":2639,"type":"article-journal","abstract":"Abstract.  The Comprehensive Antibiotic Resistance Database (CARD; https://card.mcmaster.ca) is a curated resource providing reference DNA and protein sequences","container-title":"Nucleic Acids Research","DOI":"10.1093/nar/gkz935","ISSN":"0305-1048","issue":"D1","journalAbbreviation":"Nucleic Acids Res","language":"en","page":"D517-D525","source":"academic.oup.com","title":"CARD 2020: antibiotic resistome surveillance with the comprehensive antibiotic resistance database","title-short":"CARD 2020","volume":"48","author":[{"family":"Alcock","given":"Brian P."},{"family":"Raphenya","given":"Amogelang R."},{"family":"Lau","given":"Tammy T. Y."},{"family":"Tsang","given":"Kara K."},{"family":"Bouchard","given":"Mégane"},{"family":"Edalatmand","given":"Arman"},{"family":"Huynh","given":"William"},{"family":"Nguyen","given":"Anna-Lisa V."},{"family":"Cheng","given":"Annie A."},{"family":"Liu","given":"Sihan"},{"family":"Min","given":"Sally Y."},{"family":"Miroshnichenko","given":"Anatoly"},{"family":"Tran","given":"Hiu-Ki"},{"family":"Werfalli","given":"Rafik E."},{"family":"Nasir","given":"Jalees A."},{"family":"Oloni","given":"Martins"},{"family":"Speicher","given":"David J."},{"family":"Florescu","given":"Alexandra"},{"family":"Singh","given":"Bhavya"},{"family":"Faltyn","given":"Mateusz"},{"family":"Hernandez-Koutoucheva","given":"Anastasia"},{"family":"Sharma","given":"Arjun N."},{"family":"Bordeleau","given":"Emily"},{"family":"Pawlowski","given":"Andrew C."},{"family":"Zubyk","given":"Haley L."},{"family":"Dooley","given":"Damion"},{"family":"Griffiths","given":"Emma"},{"family":"Maguire","given":"Finlay"},{"family":"Winsor","given":"Geoff L."},{"family":"Beiko","given":"Robert G."},{"family":"Brinkman","given":"Fiona S. L."},{"family":"Hsiao","given":"William W. L."},{"family":"Domselaar","given":"Gary V."},{"family":"McArthur","given":"Andrew G."}],"issued":{"date-parts":[["2020",1,8]]}}}],"schema":"https://github.com/citation-style-language/schema/raw/master/csl-citation.json"}</w:instrText>
      </w:r>
      <w:r>
        <w:rPr>
          <w:rFonts w:ascii="Times New Roman" w:hAnsi="Times New Roman" w:cs="Times New Roman"/>
        </w:rPr>
        <w:fldChar w:fldCharType="separate"/>
      </w:r>
      <w:bookmarkStart w:id="63" w:name="Bookmark201"/>
      <w:r>
        <w:rPr>
          <w:rFonts w:ascii="Times New Roman" w:hAnsi="Times New Roman" w:cs="Times New Roman"/>
        </w:rPr>
        <w:t>(</w:t>
      </w:r>
      <w:bookmarkStart w:id="64" w:name="Bookmark2011"/>
      <w:r>
        <w:rPr>
          <w:rFonts w:ascii="Times New Roman" w:hAnsi="Times New Roman" w:cs="Times New Roman"/>
        </w:rPr>
        <w:t>A</w:t>
      </w:r>
      <w:bookmarkStart w:id="65" w:name="Bookmark18111"/>
      <w:r>
        <w:rPr>
          <w:rFonts w:ascii="Times New Roman" w:hAnsi="Times New Roman" w:cs="Times New Roman"/>
        </w:rPr>
        <w:t>lcock et al., 2020)</w:t>
      </w:r>
      <w:r>
        <w:rPr>
          <w:rFonts w:ascii="Times New Roman" w:hAnsi="Times New Roman" w:cs="Times New Roman"/>
        </w:rPr>
        <w:fldChar w:fldCharType="end"/>
      </w:r>
      <w:bookmarkEnd w:id="63"/>
      <w:bookmarkEnd w:id="64"/>
      <w:bookmarkEnd w:id="65"/>
      <w:r>
        <w:rPr>
          <w:rFonts w:ascii="Times New Roman" w:hAnsi="Times New Roman" w:cs="Times New Roman"/>
        </w:rPr>
        <w:t xml:space="preserve">. We employed the “strict” classification threshold setting which incorporates detection models and CARD's curated similarity cut-offs to increase accuracy in identifying functional AMR genes. To investigate the presence of AMR genetic determinants with high importance to public health when they are identified in human pathogens, a subset of AMR genes was selected </w:t>
      </w:r>
      <w:r>
        <w:rPr>
          <w:rFonts w:ascii="Times New Roman" w:hAnsi="Times New Roman" w:cs="Times New Roman"/>
          <w:i/>
          <w:iCs/>
        </w:rPr>
        <w:t>a priori</w:t>
      </w:r>
      <w:r>
        <w:rPr>
          <w:rFonts w:ascii="Times New Roman" w:hAnsi="Times New Roman" w:cs="Times New Roman"/>
        </w:rPr>
        <w:t xml:space="preserve"> and data were searched to identify their presence: (</w:t>
      </w:r>
      <w:bookmarkStart w:id="66" w:name="_Hlk34612562"/>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OXA</w:t>
      </w:r>
      <w:bookmarkEnd w:id="66"/>
      <w:r>
        <w:rPr>
          <w:rFonts w:ascii="Times New Roman" w:hAnsi="Times New Roman" w:cs="Times New Roman"/>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SME</w:t>
      </w:r>
      <w:r>
        <w:rPr>
          <w:rFonts w:ascii="Times New Roman" w:hAnsi="Times New Roman" w:cs="Times New Roman"/>
          <w:color w:val="2A2A2A"/>
          <w:shd w:val="clear" w:color="auto" w:fill="FFFFFF"/>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IMI</w:t>
      </w:r>
      <w:r>
        <w:rPr>
          <w:rFonts w:ascii="Times New Roman" w:hAnsi="Times New Roman" w:cs="Times New Roman"/>
          <w:color w:val="2A2A2A"/>
          <w:shd w:val="clear" w:color="auto" w:fill="FFFFFF"/>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 xml:space="preserve">NDM,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GES</w:t>
      </w:r>
      <w:r>
        <w:rPr>
          <w:rFonts w:ascii="Times New Roman" w:hAnsi="Times New Roman" w:cs="Times New Roman"/>
          <w:color w:val="2A2A2A"/>
          <w:shd w:val="clear" w:color="auto" w:fill="FFFFFF"/>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KPC</w:t>
      </w:r>
      <w:r>
        <w:rPr>
          <w:rFonts w:ascii="Times New Roman" w:hAnsi="Times New Roman" w:cs="Times New Roman"/>
          <w:color w:val="2A2A2A"/>
          <w:shd w:val="clear" w:color="auto" w:fill="FFFFFF"/>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CphA</w:t>
      </w:r>
      <w:r>
        <w:rPr>
          <w:rFonts w:ascii="Times New Roman" w:hAnsi="Times New Roman" w:cs="Times New Roman"/>
          <w:color w:val="2A2A2A"/>
          <w:shd w:val="clear" w:color="auto" w:fill="FFFFFF"/>
        </w:rPr>
        <w:t>,</w:t>
      </w:r>
      <w:r>
        <w:rPr>
          <w:rFonts w:ascii="Times New Roman" w:hAnsi="Times New Roman" w:cs="Times New Roman"/>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TEM</w:t>
      </w:r>
      <w:r>
        <w:rPr>
          <w:rFonts w:ascii="Times New Roman" w:hAnsi="Times New Roman" w:cs="Times New Roman"/>
          <w:color w:val="2A2A2A"/>
          <w:shd w:val="clear" w:color="auto" w:fill="FFFFFF"/>
        </w:rPr>
        <w:t>,</w:t>
      </w:r>
      <w:r>
        <w:rPr>
          <w:rFonts w:ascii="Times New Roman" w:hAnsi="Times New Roman" w:cs="Times New Roman"/>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SHV</w:t>
      </w:r>
      <w:r>
        <w:rPr>
          <w:rFonts w:ascii="Times New Roman" w:hAnsi="Times New Roman" w:cs="Times New Roman"/>
          <w:color w:val="2A2A2A"/>
          <w:shd w:val="clear" w:color="auto" w:fill="FFFFFF"/>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CTX-M</w:t>
      </w:r>
      <w:r>
        <w:rPr>
          <w:rFonts w:ascii="Times New Roman" w:hAnsi="Times New Roman" w:cs="Times New Roman"/>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CMY</w:t>
      </w:r>
      <w:r>
        <w:rPr>
          <w:rFonts w:ascii="Times New Roman" w:hAnsi="Times New Roman" w:cs="Times New Roman"/>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OXA</w:t>
      </w:r>
      <w:r>
        <w:rPr>
          <w:rFonts w:ascii="Times New Roman" w:hAnsi="Times New Roman" w:cs="Times New Roman"/>
        </w:rPr>
        <w:t xml:space="preserve">, </w:t>
      </w:r>
      <w:r>
        <w:rPr>
          <w:rStyle w:val="Emphasis"/>
          <w:rFonts w:ascii="Times New Roman" w:hAnsi="Times New Roman" w:cs="Times New Roman"/>
          <w:color w:val="2A2A2A"/>
          <w:shd w:val="clear" w:color="auto" w:fill="FFFFFF"/>
        </w:rPr>
        <w:t>vga/vat</w:t>
      </w:r>
      <w:r>
        <w:rPr>
          <w:rFonts w:ascii="Times New Roman" w:hAnsi="Times New Roman" w:cs="Times New Roman"/>
        </w:rPr>
        <w:t xml:space="preserve">, </w:t>
      </w:r>
      <w:r>
        <w:rPr>
          <w:rFonts w:ascii="Times New Roman" w:hAnsi="Times New Roman" w:cs="Times New Roman"/>
          <w:i/>
          <w:iCs/>
        </w:rPr>
        <w:t>cfr</w:t>
      </w:r>
      <w:r>
        <w:rPr>
          <w:rFonts w:ascii="Times New Roman" w:hAnsi="Times New Roman" w:cs="Times New Roman"/>
          <w:color w:val="2A2A2A"/>
          <w:shd w:val="clear" w:color="auto" w:fill="FFFFFF"/>
        </w:rPr>
        <w:t>).</w:t>
      </w:r>
    </w:p>
    <w:p w:rsidR="001C630E" w:rsidRDefault="001C630E">
      <w:pPr>
        <w:pStyle w:val="Standard"/>
        <w:spacing w:line="480" w:lineRule="auto"/>
        <w:rPr>
          <w:rFonts w:ascii="Times New Roman" w:hAnsi="Times New Roman" w:cs="Times New Roman"/>
          <w:b/>
          <w:bCs/>
        </w:rPr>
      </w:pPr>
    </w:p>
    <w:p w:rsidR="001C630E" w:rsidRDefault="005C7C99">
      <w:pPr>
        <w:pStyle w:val="Standard"/>
        <w:spacing w:line="480" w:lineRule="auto"/>
        <w:rPr>
          <w:rFonts w:ascii="Times New Roman" w:hAnsi="Times New Roman" w:cs="Times New Roman"/>
        </w:rPr>
      </w:pPr>
      <w:r>
        <w:rPr>
          <w:rFonts w:ascii="Times New Roman" w:hAnsi="Times New Roman" w:cs="Times New Roman"/>
          <w:i/>
          <w:iCs/>
        </w:rPr>
        <w:t>Count matrix processing</w:t>
      </w:r>
    </w:p>
    <w:p w:rsidR="009D18DA" w:rsidRDefault="005C7C99">
      <w:pPr>
        <w:pStyle w:val="Standard"/>
        <w:spacing w:line="480" w:lineRule="auto"/>
      </w:pPr>
      <w:r>
        <w:rPr>
          <w:rFonts w:ascii="Times New Roman" w:hAnsi="Times New Roman" w:cs="Times New Roman"/>
        </w:rPr>
        <w:tab/>
        <w:t xml:space="preserve">Differences in the microbiome and resistome between RWA and CONV ground beef were analyzed using the R programming software </w:t>
      </w:r>
      <w:r w:rsidR="007832DC">
        <w:rPr>
          <w:rFonts w:ascii="Times New Roman" w:hAnsi="Times New Roman" w:cs="Times New Roman"/>
        </w:rPr>
        <w:t>and complementary</w:t>
      </w:r>
      <w:r w:rsidR="00E744B3">
        <w:rPr>
          <w:rFonts w:ascii="Times New Roman" w:hAnsi="Times New Roman" w:cs="Times New Roman"/>
        </w:rPr>
        <w:t xml:space="preserve"> software packages</w:t>
      </w:r>
      <w:r>
        <w:rPr>
          <w:rFonts w:ascii="Times New Roman" w:hAnsi="Times New Roman" w:cs="Times New Roman"/>
        </w:rPr>
        <w:t>.</w:t>
      </w:r>
      <w:r w:rsidR="000C075B">
        <w:rPr>
          <w:rFonts w:ascii="Times New Roman" w:hAnsi="Times New Roman" w:cs="Times New Roman"/>
        </w:rPr>
        <w:t xml:space="preserve"> </w:t>
      </w:r>
      <w:r w:rsidR="002777E2">
        <w:rPr>
          <w:rFonts w:ascii="Times New Roman" w:hAnsi="Times New Roman" w:cs="Times New Roman"/>
        </w:rPr>
        <w:t>Everything</w:t>
      </w:r>
      <w:r w:rsidR="00F0130B">
        <w:rPr>
          <w:rFonts w:ascii="Times New Roman" w:hAnsi="Times New Roman" w:cs="Times New Roman"/>
        </w:rPr>
        <w:t xml:space="preserve"> re</w:t>
      </w:r>
      <w:r w:rsidR="007832DC">
        <w:rPr>
          <w:rFonts w:ascii="Times New Roman" w:hAnsi="Times New Roman" w:cs="Times New Roman"/>
        </w:rPr>
        <w:t>quired to replicate this analysis including</w:t>
      </w:r>
      <w:r w:rsidR="00F0130B">
        <w:rPr>
          <w:rFonts w:ascii="Times New Roman" w:hAnsi="Times New Roman" w:cs="Times New Roman"/>
        </w:rPr>
        <w:t xml:space="preserve"> </w:t>
      </w:r>
      <w:r w:rsidR="007832DC">
        <w:rPr>
          <w:rFonts w:ascii="Times New Roman" w:hAnsi="Times New Roman" w:cs="Times New Roman"/>
        </w:rPr>
        <w:t>count</w:t>
      </w:r>
      <w:r w:rsidR="002D63DF">
        <w:rPr>
          <w:rFonts w:ascii="Times New Roman" w:hAnsi="Times New Roman" w:cs="Times New Roman"/>
        </w:rPr>
        <w:t xml:space="preserve"> matrices</w:t>
      </w:r>
      <w:r w:rsidR="007832DC">
        <w:rPr>
          <w:rFonts w:ascii="Times New Roman" w:hAnsi="Times New Roman" w:cs="Times New Roman"/>
        </w:rPr>
        <w:t>,</w:t>
      </w:r>
      <w:r w:rsidR="00C864C3">
        <w:rPr>
          <w:rFonts w:ascii="Times New Roman" w:hAnsi="Times New Roman" w:cs="Times New Roman"/>
        </w:rPr>
        <w:t xml:space="preserve"> R </w:t>
      </w:r>
      <w:r w:rsidR="002777E2">
        <w:rPr>
          <w:rFonts w:ascii="Times New Roman" w:hAnsi="Times New Roman" w:cs="Times New Roman"/>
        </w:rPr>
        <w:t xml:space="preserve">environment, </w:t>
      </w:r>
      <w:r w:rsidR="002D63DF">
        <w:rPr>
          <w:rFonts w:ascii="Times New Roman" w:hAnsi="Times New Roman" w:cs="Times New Roman"/>
        </w:rPr>
        <w:t>and</w:t>
      </w:r>
      <w:r w:rsidR="000C075B">
        <w:rPr>
          <w:rFonts w:ascii="Times New Roman" w:hAnsi="Times New Roman" w:cs="Times New Roman"/>
        </w:rPr>
        <w:t xml:space="preserve"> R</w:t>
      </w:r>
      <w:r w:rsidR="002D63DF">
        <w:rPr>
          <w:rFonts w:ascii="Times New Roman" w:hAnsi="Times New Roman" w:cs="Times New Roman"/>
        </w:rPr>
        <w:t xml:space="preserve"> </w:t>
      </w:r>
      <w:r w:rsidR="002777E2">
        <w:rPr>
          <w:rFonts w:ascii="Times New Roman" w:hAnsi="Times New Roman" w:cs="Times New Roman"/>
        </w:rPr>
        <w:t>code</w:t>
      </w:r>
      <w:r w:rsidR="000C075B">
        <w:rPr>
          <w:rFonts w:ascii="Times New Roman" w:hAnsi="Times New Roman" w:cs="Times New Roman"/>
        </w:rPr>
        <w:t>,</w:t>
      </w:r>
      <w:r w:rsidR="002D63DF">
        <w:rPr>
          <w:rFonts w:ascii="Times New Roman" w:hAnsi="Times New Roman" w:cs="Times New Roman"/>
        </w:rPr>
        <w:t xml:space="preserve"> in addition to further descriptive figures can be found at</w:t>
      </w:r>
      <w:r w:rsidR="000C075B">
        <w:rPr>
          <w:rFonts w:ascii="Times New Roman" w:hAnsi="Times New Roman" w:cs="Times New Roman"/>
        </w:rPr>
        <w:t xml:space="preserve"> th</w:t>
      </w:r>
      <w:r w:rsidR="009D18DA">
        <w:rPr>
          <w:rFonts w:ascii="Times New Roman" w:hAnsi="Times New Roman" w:cs="Times New Roman"/>
        </w:rPr>
        <w:t>is</w:t>
      </w:r>
      <w:r w:rsidR="000C075B">
        <w:rPr>
          <w:rFonts w:ascii="Times New Roman" w:hAnsi="Times New Roman" w:cs="Times New Roman"/>
        </w:rPr>
        <w:t xml:space="preserve"> project’s </w:t>
      </w:r>
      <w:r w:rsidR="00EA6370">
        <w:rPr>
          <w:rFonts w:ascii="Times New Roman" w:hAnsi="Times New Roman" w:cs="Times New Roman"/>
        </w:rPr>
        <w:t>G</w:t>
      </w:r>
      <w:r w:rsidR="000C075B">
        <w:rPr>
          <w:rFonts w:ascii="Times New Roman" w:hAnsi="Times New Roman" w:cs="Times New Roman"/>
        </w:rPr>
        <w:t>it</w:t>
      </w:r>
      <w:r w:rsidR="00EA6370">
        <w:rPr>
          <w:rFonts w:ascii="Times New Roman" w:hAnsi="Times New Roman" w:cs="Times New Roman"/>
        </w:rPr>
        <w:t>H</w:t>
      </w:r>
      <w:r w:rsidR="000C075B">
        <w:rPr>
          <w:rFonts w:ascii="Times New Roman" w:hAnsi="Times New Roman" w:cs="Times New Roman"/>
        </w:rPr>
        <w:t>ub repository (</w:t>
      </w:r>
      <w:r w:rsidR="002D63DF">
        <w:rPr>
          <w:rFonts w:ascii="Times New Roman" w:hAnsi="Times New Roman" w:cs="Times New Roman"/>
        </w:rPr>
        <w:t xml:space="preserve"> </w:t>
      </w:r>
      <w:hyperlink r:id="rId10" w:history="1">
        <w:r w:rsidR="002D63DF">
          <w:rPr>
            <w:rStyle w:val="Hyperlink"/>
          </w:rPr>
          <w:t>https://github.com/meglab-metagenomics/Ground_beef_metagenomics_manuscript</w:t>
        </w:r>
      </w:hyperlink>
      <w:r w:rsidR="000C075B">
        <w:t>).</w:t>
      </w:r>
      <w:r w:rsidR="009D18DA">
        <w:t xml:space="preserve"> Using “Binder 2.0” </w:t>
      </w:r>
      <w:r w:rsidR="009D18DA">
        <w:fldChar w:fldCharType="begin"/>
      </w:r>
      <w:r w:rsidR="009D18DA">
        <w:instrText xml:space="preserve"> ADDIN ZOTERO_ITEM CSL_CITATION {"citationID":"2HvU0QnC","properties":{"formattedCitation":"(Jupyter et al., 2018)","plainCitation":"(Jupyter et al., 2018)","noteIndex":0},"citationItems":[{"id":2763,"uris":["http://zotero.org/users/2162098/items/EMH9B2DX"],"uri":["http://zotero.org/users/2162098/items/EMH9B2DX"],"itemData":{"id":2763,"type":"article-journal","container-title":"Proceedings of the 17th Python in Science Conference","DOI":"10.25080/Majora-4af1f417-011","note":"event: Proceedings of the 17th Python in Science Conference","page":"113-120","source":"conference.scipy.org","title":"Binder 2.0 - Reproducible, interactive, sharable environments for science at scale","author":[{"family":"Jupyter","given":"Project"},{"family":"Bussonnier","given":"Matthias"},{"family":"Forde","given":"Jessica"},{"family":"Freeman","given":"Jeremy"},{"family":"Granger","given":"Brian"},{"family":"Head","given":"Tim"},{"family":"Holdgraf","given":"Chris"},{"family":"Kelley","given":"Kyle"},{"family":"Nalvarte","given":"Gladys"},{"family":"Osheroff","given":"Andrew"},{"family":"Pacer","given":"M."},{"family":"Panda","given":"Yuvi"},{"family":"Perez","given":"Fernando"},{"family":"Ragan-Kelley","given":"Benjamin"},{"family":"Willing","given":"Carol"}],"issued":{"date-parts":[["2018"]]}}}],"schema":"https://github.com/citation-style-language/schema/raw/master/csl-citation.json"} </w:instrText>
      </w:r>
      <w:r w:rsidR="009D18DA">
        <w:fldChar w:fldCharType="separate"/>
      </w:r>
      <w:r w:rsidR="009D18DA" w:rsidRPr="009D18DA">
        <w:t>(Jupyter et al., 2018)</w:t>
      </w:r>
      <w:r w:rsidR="009D18DA">
        <w:fldChar w:fldCharType="end"/>
      </w:r>
      <w:r w:rsidR="009D18DA">
        <w:t>, an open source web service for sharing reproducible software environments, the results from this manuscript can also be explored interactively.</w:t>
      </w:r>
    </w:p>
    <w:p w:rsidR="001C630E" w:rsidRPr="000C075B" w:rsidRDefault="00C26670" w:rsidP="009D18DA">
      <w:pPr>
        <w:pStyle w:val="Standard"/>
        <w:spacing w:line="480" w:lineRule="auto"/>
        <w:ind w:firstLine="306"/>
        <w:rPr>
          <w:rFonts w:ascii="Times New Roman" w:hAnsi="Times New Roman" w:cs="Times New Roman"/>
        </w:rPr>
      </w:pPr>
      <w:r>
        <w:rPr>
          <w:rFonts w:ascii="Times New Roman" w:hAnsi="Times New Roman" w:cs="Times New Roman"/>
        </w:rPr>
        <w:t>To account for differences in sequencing depth between samples, c</w:t>
      </w:r>
      <w:r w:rsidR="005C7C99">
        <w:rPr>
          <w:rFonts w:ascii="Times New Roman" w:hAnsi="Times New Roman" w:cs="Times New Roman"/>
        </w:rPr>
        <w:t xml:space="preserve">umulative sum scaling (CSS) was used to normalize counts </w:t>
      </w:r>
      <w:r>
        <w:rPr>
          <w:rFonts w:ascii="Times New Roman" w:hAnsi="Times New Roman" w:cs="Times New Roman"/>
        </w:rPr>
        <w:t>by using a scaling factor</w:t>
      </w:r>
      <w:r w:rsidR="00C255EC">
        <w:rPr>
          <w:rFonts w:ascii="Times New Roman" w:hAnsi="Times New Roman" w:cs="Times New Roman"/>
        </w:rPr>
        <w:t xml:space="preserve"> that reduces the influence of highly abundant taxa in sparse count tables</w:t>
      </w:r>
      <w:r>
        <w:rPr>
          <w:rFonts w:ascii="Times New Roman" w:hAnsi="Times New Roman" w:cs="Times New Roman"/>
        </w:rPr>
        <w:t xml:space="preserve"> </w:t>
      </w:r>
      <w:r w:rsidR="005C7C99">
        <w:fldChar w:fldCharType="begin"/>
      </w:r>
      <w:r w:rsidR="005C7C99">
        <w:rPr>
          <w:rFonts w:ascii="Times New Roman" w:hAnsi="Times New Roman" w:cs="Times New Roman"/>
        </w:rPr>
        <w:instrText>ADDIN ZOTERO_ITEM CSL_CITATION {"citationID":"K88udgIx","properties":{"formattedCitation":"(Paulson et al., 2013)","plainCitation":"(Paulson et al., 2013)","noteIndex":0},"citationItems":[{"id":143,"uris":["http://zotero.org/users/2162098/items/P2RZTSGD"],"uri":["http://zotero.org/users/2162098/items/P2RZTSGD"],"itemData":{"id":143,"type":"article-journal","abstract":"We introduce a methodology to assess differential abundance in sparse high-throughput microbial marker-gene survey data. Our approach, implemented in the metagenomeSeq Bioconductor package, relies on a novel normalization technique and a statistical model that accounts for undersampling—a common feature of large-scale marker-gene studies. Using simulated data and several published microbiota data sets, we show that metagenomeSeq outperforms the tools currently used in this field.","container-title":"Nature Methods","DOI":"10.1038/nmeth.2658","ISSN":"1548-7091","issue":"12","journalAbbreviation":"Nat Meth","language":"en","page":"1200-1202","source":"www.nature.com","title":"Differential abundance analysis for microbial marker-gene surveys","volume":"10","author":[{"family":"Paulson","given":"Joseph N."},{"family":"Stine","given":"O. Colin"},{"family":"Bravo","given":"Héctor Corrada"},{"family":"Pop","given":"Mihai"}],"issued":{"date-parts":[["2013",12]]}}}],"schema":"https://github.com/citation-style-language/schema/raw/master/csl-citation.json"}</w:instrText>
      </w:r>
      <w:r w:rsidR="005C7C99">
        <w:rPr>
          <w:rFonts w:ascii="Times New Roman" w:hAnsi="Times New Roman" w:cs="Times New Roman"/>
        </w:rPr>
        <w:fldChar w:fldCharType="separate"/>
      </w:r>
      <w:r w:rsidR="005C7C99">
        <w:rPr>
          <w:rFonts w:ascii="Times New Roman" w:hAnsi="Times New Roman" w:cs="Times New Roman"/>
        </w:rPr>
        <w:t>(Paulson et al., 2013)</w:t>
      </w:r>
      <w:bookmarkStart w:id="67" w:name="Bookmark222"/>
      <w:bookmarkStart w:id="68" w:name="Bookmark221"/>
      <w:bookmarkStart w:id="69" w:name="Bookmark19111"/>
      <w:r w:rsidR="005C7C99">
        <w:rPr>
          <w:rFonts w:ascii="Times New Roman" w:hAnsi="Times New Roman" w:cs="Times New Roman"/>
        </w:rPr>
        <w:fldChar w:fldCharType="end"/>
      </w:r>
      <w:bookmarkEnd w:id="67"/>
      <w:bookmarkEnd w:id="68"/>
      <w:bookmarkEnd w:id="69"/>
      <w:r w:rsidR="005C7C99">
        <w:rPr>
          <w:rFonts w:ascii="Times New Roman" w:hAnsi="Times New Roman" w:cs="Times New Roman"/>
        </w:rPr>
        <w:t>.</w:t>
      </w:r>
      <w:r w:rsidR="00571C1D" w:rsidRPr="00571C1D">
        <w:rPr>
          <w:rFonts w:ascii="Times New Roman" w:hAnsi="Times New Roman" w:cs="Times New Roman"/>
        </w:rPr>
        <w:t xml:space="preserve"> </w:t>
      </w:r>
      <w:r w:rsidR="00571C1D">
        <w:rPr>
          <w:rFonts w:ascii="Times New Roman" w:hAnsi="Times New Roman" w:cs="Times New Roman"/>
        </w:rPr>
        <w:t xml:space="preserve">The primary R packages used for count processing, normalization, and diversity analysis were “phyloseq”, “metagenomeSeq”, and “vegan” </w:t>
      </w:r>
      <w:r w:rsidR="00571C1D">
        <w:fldChar w:fldCharType="begin"/>
      </w:r>
      <w:r w:rsidR="00571C1D">
        <w:rPr>
          <w:rFonts w:ascii="Times New Roman" w:hAnsi="Times New Roman" w:cs="Times New Roman"/>
        </w:rPr>
        <w:instrText xml:space="preserve"> ADDIN ZOTERO_ITEM CSL_CITATION {"citationID":"sJ1crfvY","properties":{"formattedCitation":"(McMurdie and Holmes, 2013; Paulson et al., 2013; Oksanen et al., 2014)","plainCitation":"(McMurdie and Holmes, 2013; Paulson et al., 2013; Oksanen et al., 2014)","noteIndex":0},"citationItems":[{"id":2768,"uris":["http://zotero.org/users/2162098/items/P7K9UEWI"],"uri":["http://zotero.org/users/2162098/items/P7K9UEWI"],"itemData":{"id":2768,"type":"article-journal","abstract":"BACKGROUND: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J."},{"family":"Holmes","given":"Susan"}],"issued":{"date-parts":[["2013"]]}}},{"id":143,"uris":["http://zotero.org/users/2162098/items/P2RZTSGD"],"uri":["http://zotero.org/users/2162098/items/P2RZTSGD"],"itemData":{"id":143,"type":"article-journal","abstract":"We introduce a methodology to assess differential abundance in sparse high-throughput microbial marker-gene survey data. Our approach, implemented in the metagenomeSeq Bioconductor package, relies on a novel normalization technique and a statistical model that accounts for undersampling—a common feature of large-scale marker-gene studies. Using simulated data and several published microbiota data sets, we show that metagenomeSeq outperforms the tools currently used in this field.","container-title":"Nature Methods","DOI":"10.1038/nmeth.2658","ISSN":"1548-7091","issue":"12","journalAbbreviation":"Nat Meth","language":"en","page":"1200-1202","source":"www.nature.com","title":"Differential abundance analysis for microbial marker-gene surveys","volume":"10","author":[{"family":"Paulson","given":"Joseph N."},{"family":"Stine","given":"O. Colin"},{"family":"Bravo","given":"Héctor Corrada"},{"family":"Pop","given":"Mihai"}],"issued":{"date-parts":[["2013",12]]}}},{"id":200,"uris":["http://zotero.org/users/2162098/items/MRSJNF3B"],"uri":["http://zotero.org/users/2162098/items/MRSJNF3B"],"itemData":{"id":200,"type":"book","title":"vegan: Community Ecology Package","URL":"http://CRAN.R-project.org/package=vegan","version":"R package version 2.2-0","author":[{"family":"Oksanen","given":"Jari"},{"family":"Blanchet","given":"F. Guillaume"},{"family":"Kindt","given":"Roeland"},{"family":"Legendre","given":"Pierre"},{"family":"Minchin","given":"Peter R."},{"family":"O'Hara","given":"R. B."},{"family":"Simpson","given":"Gavin L."},{"family":"Solymos","given":"Peter"},{"family":"Stevens","given":"M. Henry H."},{"family":"Wagner","given":"Helene"}],"issued":{"date-parts":[["2014"]]}}}],"schema":"https://github.com/citation-style-language/schema/raw/master/csl-citation.json"} </w:instrText>
      </w:r>
      <w:r w:rsidR="00571C1D">
        <w:rPr>
          <w:rFonts w:ascii="Times New Roman" w:hAnsi="Times New Roman" w:cs="Times New Roman"/>
        </w:rPr>
        <w:fldChar w:fldCharType="separate"/>
      </w:r>
      <w:bookmarkStart w:id="70" w:name="Bookmark241"/>
      <w:bookmarkStart w:id="71" w:name="Bookmark242"/>
      <w:bookmarkStart w:id="72" w:name="Bookmark2111"/>
      <w:r w:rsidR="00571C1D" w:rsidRPr="00571C1D">
        <w:rPr>
          <w:rFonts w:ascii="Times New Roman" w:hAnsi="Times New Roman" w:cs="Times New Roman"/>
        </w:rPr>
        <w:t>(McMurdie and Holmes, 2013; Paulson et al., 2013; Oksanen et al., 2014)</w:t>
      </w:r>
      <w:r w:rsidR="00571C1D">
        <w:rPr>
          <w:rFonts w:ascii="Times New Roman" w:hAnsi="Times New Roman" w:cs="Times New Roman"/>
        </w:rPr>
        <w:fldChar w:fldCharType="end"/>
      </w:r>
      <w:bookmarkEnd w:id="70"/>
      <w:bookmarkEnd w:id="71"/>
      <w:bookmarkEnd w:id="72"/>
      <w:r w:rsidR="00571C1D">
        <w:rPr>
          <w:rFonts w:ascii="Times New Roman" w:hAnsi="Times New Roman" w:cs="Times New Roman"/>
        </w:rPr>
        <w:t xml:space="preserve">. </w:t>
      </w:r>
      <w:r>
        <w:rPr>
          <w:rFonts w:ascii="Times New Roman" w:hAnsi="Times New Roman" w:cs="Times New Roman"/>
        </w:rPr>
        <w:t>T</w:t>
      </w:r>
      <w:r w:rsidR="005C7C99">
        <w:rPr>
          <w:rFonts w:ascii="Times New Roman" w:hAnsi="Times New Roman" w:cs="Times New Roman"/>
        </w:rPr>
        <w:t xml:space="preserve">he resistance data was then summarized to the class and mechanisms level to avoid bias at the “gene” level associated with irregular naming criteria for new resistance genes </w:t>
      </w:r>
      <w:r w:rsidR="005C7C99">
        <w:fldChar w:fldCharType="begin"/>
      </w:r>
      <w:r w:rsidR="005C7C99">
        <w:rPr>
          <w:rFonts w:ascii="Times New Roman" w:hAnsi="Times New Roman" w:cs="Times New Roman"/>
        </w:rPr>
        <w:instrText>ADDIN ZOTERO_ITEM CSL_CITATION {"citationID":"1u0XfaOB","properties":{"formattedCitation":"(Hall and Schwarz, 2016)","plainCitation":"(Hall and Schwarz, 2016)","noteIndex":0},"citationItems":[{"id":147,"uris":["http://zotero.org/users/2162098/items/ZZJ6F4ZE"],"uri":["http://zotero.org/users/2162098/items/ZZJ6F4ZE"],"itemData":{"id":147,"type":"article-journal","abstract":"In the genomic era, studying the epidemiology of individual antibiotic resistance genes and resistance gene discovery are open to all. However, the identification and naming of resistance genes is not currently understandable by all owing to a plethora of competing nomenclature systems, many of which do not comply with the basic rules of bacterial gene nomenclature. Change is needed urgently. Here, we make a case for the resistance research community to begin this process by agreeing on an answer to the question of when a new gene number should be assigned. This cut-off is of necessity arbitrary and we suggest a threshold value of ≥2% difference in the sequences of the DNA, predicted protein or both as a realistic boundary for assigning a new gene number. This proposal can be a starting point for agreement or debate followed by renumbering of the affected gene families.","container-title":"Journal of Antimicrobial Chemotherapy","DOI":"10.1093/jac/dkv351","ISSN":"0305-7453, 1460-2091","issue":"3","journalAbbreviation":"J. Antimicrob. Chemother.","language":"en","note":"PMID: 26510717","page":"569-571","source":"jac.oxfordjournals.org","title":"Resistance gene naming and numbering: is it a new gene or not?","title-short":"Resistance gene naming and numbering","volume":"71","author":[{"family":"Hall","given":"Ruth M."},{"family":"Schwarz","given":"Stefan"}],"issued":{"date-parts":[["2016",3,1]]}}}],"schema":"https://github.com/citation-style-language/schema/raw/master/csl-citation.json"}</w:instrText>
      </w:r>
      <w:r w:rsidR="005C7C99">
        <w:rPr>
          <w:rFonts w:ascii="Times New Roman" w:hAnsi="Times New Roman" w:cs="Times New Roman"/>
        </w:rPr>
        <w:fldChar w:fldCharType="separate"/>
      </w:r>
      <w:r w:rsidR="005C7C99">
        <w:rPr>
          <w:rFonts w:ascii="Times New Roman" w:hAnsi="Times New Roman" w:cs="Times New Roman"/>
        </w:rPr>
        <w:t xml:space="preserve">(Hall and </w:t>
      </w:r>
      <w:r w:rsidR="005C7C99">
        <w:rPr>
          <w:rFonts w:ascii="Times New Roman" w:hAnsi="Times New Roman" w:cs="Times New Roman"/>
        </w:rPr>
        <w:lastRenderedPageBreak/>
        <w:t>Schwarz, 2016)</w:t>
      </w:r>
      <w:bookmarkStart w:id="73" w:name="Bookmark231"/>
      <w:bookmarkStart w:id="74" w:name="Bookmark20111"/>
      <w:bookmarkStart w:id="75" w:name="Bookmark232"/>
      <w:r w:rsidR="005C7C99">
        <w:rPr>
          <w:rFonts w:ascii="Times New Roman" w:hAnsi="Times New Roman" w:cs="Times New Roman"/>
        </w:rPr>
        <w:fldChar w:fldCharType="end"/>
      </w:r>
      <w:bookmarkEnd w:id="73"/>
      <w:bookmarkEnd w:id="74"/>
      <w:bookmarkEnd w:id="75"/>
      <w:r w:rsidR="005C7C99">
        <w:rPr>
          <w:rFonts w:ascii="Times New Roman" w:hAnsi="Times New Roman" w:cs="Times New Roman"/>
        </w:rPr>
        <w:t xml:space="preserve">. For microbiome analysis, counts were </w:t>
      </w:r>
      <w:r w:rsidR="005C7C99">
        <w:rPr>
          <w:rFonts w:ascii="Times New Roman" w:eastAsia="Times New Roman" w:hAnsi="Times New Roman" w:cs="Times New Roman"/>
        </w:rPr>
        <w:t xml:space="preserve">taxonomically classified at 6 Linnaean levels: phylum, class, order, family, genus, and species, resulting in 6 microbiome count matrices for the microbiome. However, to reduce the repetitive reporting of results and because results at lower taxonomic levels are not as reliable </w:t>
      </w:r>
      <w:r w:rsidR="005C7C99">
        <w:fldChar w:fldCharType="begin"/>
      </w:r>
      <w:r w:rsidR="005C7C99">
        <w:rPr>
          <w:rFonts w:ascii="Times New Roman" w:eastAsia="Times New Roman" w:hAnsi="Times New Roman" w:cs="Times New Roman"/>
        </w:rPr>
        <w:instrText>ADDIN ZOTERO_ITEM CSL_CITATION {"citationID":"eQBDBASX","properties":{"formattedCitation":"(Caro\\uc0\\u8208{}Quintero and Konstantinidis, 2012)","plainCitation":"(Caro‐Quintero and Konstantinidis, 2012)","noteIndex":0},"citationItems":[{"id":2647,"uris":["http://zotero.org/users/2162098/items/XU3J77BD"],"uri":["http://zotero.org/users/2162098/items/XU3J77BD"],"itemData":{"id":2647,"type":"article-journal","abstract":"Whether or not bacterial species exist remains an unresolved issue of paramount theoretical as well as practical consequences. Here we review and synthesize the findings emerging from metagenomic surveys of natural microbial populations and argue that microbial communities are predominantly organized in genetically and ecologically discernible populations, which possess the attributes expected for species. These sequence-discrete populations represent a major foundation for beginning high-resolution investigations on how populations are organized, interact, and evolve within communities. We also attempt to reconcile these findings with those of previous studies that reported indiscrete species and a genetic continuum within bacterial taxa and discuss the implications for the current bacterial species definition.","container-title":"Environmental Microbiology","DOI":"10.1111/j.1462-2920.2011.02668.x","ISSN":"1462-2920","issue":"2","language":"en","page":"347-355","source":"Wiley Online Library","title":"Bacterial species may exist, metagenomics reveal","volume":"14","author":[{"family":"Caro‐Quintero","given":"Alejandro"},{"family":"Konstantinidis","given":"Konstantinos T."}],"issued":{"date-parts":[["2012"]]}}}],"schema":"https://github.com/citation-style-language/schema/raw/master/csl-citation.json"}</w:instrText>
      </w:r>
      <w:r w:rsidR="005C7C99">
        <w:rPr>
          <w:rFonts w:ascii="Times New Roman" w:eastAsia="Times New Roman" w:hAnsi="Times New Roman" w:cs="Times New Roman"/>
        </w:rPr>
        <w:fldChar w:fldCharType="separate"/>
      </w:r>
      <w:r w:rsidR="005C7C99">
        <w:rPr>
          <w:rFonts w:ascii="Times New Roman" w:eastAsia="Times New Roman" w:hAnsi="Times New Roman" w:cs="Times New Roman"/>
        </w:rPr>
        <w:t>(Caro‐Quintero and Konstantinidis, 2012)</w:t>
      </w:r>
      <w:bookmarkStart w:id="76" w:name="Bookmark2311"/>
      <w:bookmarkStart w:id="77" w:name="Bookmark261"/>
      <w:bookmarkStart w:id="78" w:name="Bookmark262"/>
      <w:r w:rsidR="005C7C99">
        <w:rPr>
          <w:rFonts w:ascii="Times New Roman" w:eastAsia="Times New Roman" w:hAnsi="Times New Roman" w:cs="Times New Roman"/>
        </w:rPr>
        <w:fldChar w:fldCharType="end"/>
      </w:r>
      <w:bookmarkEnd w:id="76"/>
      <w:bookmarkEnd w:id="77"/>
      <w:bookmarkEnd w:id="78"/>
      <w:r w:rsidR="005C7C99">
        <w:rPr>
          <w:rFonts w:ascii="Times New Roman" w:eastAsia="Times New Roman" w:hAnsi="Times New Roman" w:cs="Times New Roman"/>
        </w:rPr>
        <w:t xml:space="preserve"> (Supplemental Table 1), statistical results for microbiome are presented only at the phylum, class and order levels. In total, 5 unique normalized count matrices (i.e., 3 count matrices describing the microbiome and 2 count matrices characterizing the resistome) were analyzed and reported.</w:t>
      </w:r>
    </w:p>
    <w:p w:rsidR="00696A46" w:rsidRDefault="00696A46">
      <w:pPr>
        <w:pStyle w:val="Standard"/>
        <w:spacing w:line="480" w:lineRule="auto"/>
        <w:rPr>
          <w:rFonts w:ascii="Times New Roman" w:hAnsi="Times New Roman" w:cs="Times New Roman"/>
          <w:i/>
          <w:iCs/>
        </w:rPr>
      </w:pPr>
    </w:p>
    <w:p w:rsidR="001C630E" w:rsidRDefault="005C7C99">
      <w:pPr>
        <w:pStyle w:val="Standard"/>
        <w:spacing w:line="480" w:lineRule="auto"/>
        <w:rPr>
          <w:rFonts w:ascii="Times New Roman" w:hAnsi="Times New Roman" w:cs="Times New Roman"/>
        </w:rPr>
      </w:pPr>
      <w:r>
        <w:rPr>
          <w:rFonts w:ascii="Times New Roman" w:hAnsi="Times New Roman" w:cs="Times New Roman"/>
          <w:i/>
          <w:iCs/>
        </w:rPr>
        <w:t>Statistical analysis</w:t>
      </w:r>
    </w:p>
    <w:p w:rsidR="001C630E" w:rsidRDefault="005C7C99" w:rsidP="00A978D0">
      <w:pPr>
        <w:pStyle w:val="Standard"/>
        <w:spacing w:line="480" w:lineRule="auto"/>
        <w:rPr>
          <w:rFonts w:ascii="Times New Roman" w:hAnsi="Times New Roman" w:cs="Times New Roman"/>
        </w:rPr>
      </w:pPr>
      <w:r>
        <w:rPr>
          <w:rFonts w:ascii="Times New Roman" w:hAnsi="Times New Roman" w:cs="Times New Roman"/>
        </w:rPr>
        <w:tab/>
        <w:t xml:space="preserve">Richness and Shannon’s diversity values were calculated for each sample using “vegan” and statistical comparisons were made using the “wilcox.test” function in R. Normalized counts were Hellinger-transformed for ordination using the metaMDS function from “vegan”, which employs non-metric multidimensional scaling on Euclidian distances. Analysis of similarities (ANOSIM) </w:t>
      </w:r>
      <w:bookmarkStart w:id="79" w:name="__Fieldmark__12803_2875450830"/>
      <w:bookmarkStart w:id="80" w:name="__Fieldmark__3329_2727157154"/>
      <w:bookmarkEnd w:id="79"/>
      <w:bookmarkEnd w:id="80"/>
      <w:r>
        <w:rPr>
          <w:rFonts w:ascii="Times New Roman" w:hAnsi="Times New Roman" w:cs="Times New Roman"/>
        </w:rPr>
        <w:t>was used to test differences in the microbiome and resistome between CONV and RWA. Alternatively, to identify which specific features had significantly different numbers of alignments between treatment groups, metagenomeSeq’s “fitZig” function was used to fit a zero-inflated Gaussian (ZIG) model and compare log</w:t>
      </w:r>
      <w:r>
        <w:rPr>
          <w:rFonts w:ascii="Times New Roman" w:hAnsi="Times New Roman" w:cs="Times New Roman"/>
          <w:vertAlign w:val="subscript"/>
        </w:rPr>
        <w:t>2</w:t>
      </w:r>
      <w:r>
        <w:rPr>
          <w:rFonts w:ascii="Times New Roman" w:hAnsi="Times New Roman" w:cs="Times New Roman"/>
        </w:rPr>
        <w:t>-fold differences. The LIMMA package calculates the average log</w:t>
      </w:r>
      <w:r>
        <w:rPr>
          <w:rFonts w:ascii="Times New Roman" w:hAnsi="Times New Roman" w:cs="Times New Roman"/>
          <w:vertAlign w:val="subscript"/>
        </w:rPr>
        <w:t>2</w:t>
      </w:r>
      <w:r>
        <w:rPr>
          <w:rFonts w:ascii="Times New Roman" w:hAnsi="Times New Roman" w:cs="Times New Roman"/>
        </w:rPr>
        <w:t xml:space="preserve">-abundance (defined as “average expression”) for each feature across all samples in the ZIG model. LIMMA’s “makeContrast” function was then used for pairwise comparisons; </w:t>
      </w:r>
      <w:r>
        <w:rPr>
          <w:rFonts w:ascii="Times New Roman" w:hAnsi="Times New Roman" w:cs="Times New Roman"/>
          <w:i/>
        </w:rPr>
        <w:t>P</w:t>
      </w:r>
      <w:r>
        <w:rPr>
          <w:rFonts w:ascii="Times New Roman" w:hAnsi="Times New Roman" w:cs="Times New Roman"/>
        </w:rPr>
        <w:t>-values were adjusted for multiple tests using the Benjamini-Hochberg procedure</w:t>
      </w:r>
      <w:bookmarkStart w:id="81" w:name="__Fieldmark__12841_2875450830"/>
      <w:bookmarkStart w:id="82" w:name="__Fieldmark__3345_2727157154"/>
      <w:bookmarkEnd w:id="81"/>
      <w:bookmarkEnd w:id="82"/>
      <w:r>
        <w:rPr>
          <w:rFonts w:ascii="Times New Roman" w:hAnsi="Times New Roman" w:cs="Times New Roman"/>
        </w:rPr>
        <w:t>. Alpha = 0.05 was selected as the threshold for statistical significance for all models. To account for spurious significant differences in low abundance features, only features with an “average expression” of &gt; 2 were considered.</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b/>
          <w:bCs/>
        </w:rPr>
        <w:lastRenderedPageBreak/>
        <w:t>RESULTS</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i/>
          <w:iCs/>
        </w:rPr>
        <w:t>Sequencing results</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ab/>
        <w:t>Sequencing of the 32 samples processed with AMR target-enrichment produced &gt; 1.3 billion paired end reads (mean: 42.6M, range: 8.5M– 67M). Read quality filtering removed an average 3.7% of raw reads from each sample (range: 3.4% - 4.1%), with the majority of reads removed from each sample after removal of bovine host DNA sequences (mean: 99.43%, range: 96.8% - 99.95%). There was a difference (</w:t>
      </w:r>
      <w:r>
        <w:rPr>
          <w:rFonts w:ascii="Times New Roman" w:hAnsi="Times New Roman" w:cs="Times New Roman"/>
          <w:i/>
          <w:iCs/>
        </w:rPr>
        <w:t>P</w:t>
      </w:r>
      <w:r>
        <w:rPr>
          <w:rFonts w:ascii="Times New Roman" w:hAnsi="Times New Roman" w:cs="Times New Roman"/>
        </w:rPr>
        <w:t xml:space="preserve"> &lt; 0.05) in the number of raw reads produced for the bait capture sequencing between CONV and RWA samples, but this was likely influenced by a lower abundance (</w:t>
      </w:r>
      <w:r>
        <w:rPr>
          <w:rFonts w:ascii="Times New Roman" w:hAnsi="Times New Roman" w:cs="Times New Roman"/>
          <w:i/>
          <w:iCs/>
        </w:rPr>
        <w:t>P</w:t>
      </w:r>
      <w:r>
        <w:rPr>
          <w:rFonts w:ascii="Times New Roman" w:hAnsi="Times New Roman" w:cs="Times New Roman"/>
        </w:rPr>
        <w:t xml:space="preserve"> &lt; 0.05) of reads in samples from vacuum sealed packing type. On average, samples from chubs had 51.3 million reads per sample compared to 36.9 million reads per sample in vacuum packaging (Supplemental File 1). With 16S rRNA amplicon sequencing, &gt; 3.1 million paired end reads were produced (mean: 194</w:t>
      </w:r>
      <w:r w:rsidR="001B4094">
        <w:rPr>
          <w:rFonts w:ascii="Times New Roman" w:hAnsi="Times New Roman" w:cs="Times New Roman"/>
        </w:rPr>
        <w:t>,408.3</w:t>
      </w:r>
      <w:r>
        <w:rPr>
          <w:rFonts w:ascii="Times New Roman" w:hAnsi="Times New Roman" w:cs="Times New Roman"/>
        </w:rPr>
        <w:t xml:space="preserve"> reads per sample, range: </w:t>
      </w:r>
      <w:r w:rsidR="001B4094">
        <w:rPr>
          <w:rFonts w:ascii="Times New Roman" w:hAnsi="Times New Roman" w:cs="Times New Roman"/>
        </w:rPr>
        <w:t xml:space="preserve">100,939 </w:t>
      </w:r>
      <w:r>
        <w:rPr>
          <w:rFonts w:ascii="Times New Roman" w:hAnsi="Times New Roman" w:cs="Times New Roman"/>
        </w:rPr>
        <w:t>–</w:t>
      </w:r>
      <w:r w:rsidR="001B4094">
        <w:rPr>
          <w:rFonts w:ascii="Times New Roman" w:hAnsi="Times New Roman" w:cs="Times New Roman"/>
        </w:rPr>
        <w:t>219,822</w:t>
      </w:r>
      <w:r>
        <w:rPr>
          <w:rFonts w:ascii="Times New Roman" w:hAnsi="Times New Roman" w:cs="Times New Roman"/>
        </w:rPr>
        <w:t>). Filtering to improve overall read quality removed, on average, 7.3% of raw reads from each sample (range: 4.7% - 12.38%). There was no difference (</w:t>
      </w:r>
      <w:r>
        <w:rPr>
          <w:rFonts w:ascii="Times New Roman" w:hAnsi="Times New Roman" w:cs="Times New Roman"/>
          <w:i/>
          <w:iCs/>
        </w:rPr>
        <w:t xml:space="preserve">P </w:t>
      </w:r>
      <w:r>
        <w:rPr>
          <w:rFonts w:ascii="Times New Roman" w:hAnsi="Times New Roman" w:cs="Times New Roman"/>
        </w:rPr>
        <w:t xml:space="preserve">&gt; 0.05) in the number of 16S amplicon sequencing reads between the </w:t>
      </w:r>
      <w:r w:rsidR="001B4094">
        <w:rPr>
          <w:rFonts w:ascii="Times New Roman" w:hAnsi="Times New Roman" w:cs="Times New Roman"/>
        </w:rPr>
        <w:t xml:space="preserve">CONV and RWA samples </w:t>
      </w:r>
      <w:r>
        <w:rPr>
          <w:rFonts w:ascii="Times New Roman" w:hAnsi="Times New Roman" w:cs="Times New Roman"/>
        </w:rPr>
        <w:t xml:space="preserve">or </w:t>
      </w:r>
      <w:r w:rsidR="001B4094">
        <w:rPr>
          <w:rFonts w:ascii="Times New Roman" w:hAnsi="Times New Roman" w:cs="Times New Roman"/>
        </w:rPr>
        <w:t xml:space="preserve">by </w:t>
      </w:r>
      <w:r>
        <w:rPr>
          <w:rFonts w:ascii="Times New Roman" w:hAnsi="Times New Roman" w:cs="Times New Roman"/>
        </w:rPr>
        <w:t>packaging typ</w:t>
      </w:r>
      <w:r w:rsidR="001B4094">
        <w:rPr>
          <w:rFonts w:ascii="Times New Roman" w:hAnsi="Times New Roman" w:cs="Times New Roman"/>
        </w:rPr>
        <w:t>e</w:t>
      </w:r>
      <w:r>
        <w:rPr>
          <w:rFonts w:ascii="Times New Roman" w:hAnsi="Times New Roman" w:cs="Times New Roman"/>
        </w:rPr>
        <w:t>.</w:t>
      </w:r>
    </w:p>
    <w:p w:rsidR="001C630E" w:rsidRDefault="001C630E">
      <w:pPr>
        <w:pStyle w:val="Standard"/>
        <w:tabs>
          <w:tab w:val="left" w:pos="720"/>
        </w:tabs>
        <w:spacing w:line="480" w:lineRule="auto"/>
        <w:rPr>
          <w:rFonts w:ascii="Times New Roman" w:hAnsi="Times New Roman" w:cs="Times New Roman"/>
          <w:b/>
          <w:bCs/>
        </w:rPr>
      </w:pP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i/>
          <w:iCs/>
        </w:rPr>
        <w:t>Resistome results</w:t>
      </w:r>
    </w:p>
    <w:p w:rsidR="001C630E" w:rsidRDefault="005C7C99">
      <w:pPr>
        <w:pStyle w:val="Standard"/>
        <w:spacing w:line="480" w:lineRule="auto"/>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ab/>
        <w:t xml:space="preserve">Following alignment of reads to the MEGARes database, removal of duplicate reads, and re-classification of reads aligning to gene accessions requiring SNP confirmation with RGI, a total of 267,922 alignments to AMR gene accessions (‘hits’) were identified across all samples (mean: 8,372 per sample, range: 80 – 51,868). Hits were classified to 565 different gene accessions, which represented genes that confer resistance to 17 different drug classes through 32 resistance mechanisms (Supplemental File </w:t>
      </w:r>
      <w:r w:rsidR="001B4094">
        <w:rPr>
          <w:rFonts w:ascii="Times New Roman" w:hAnsi="Times New Roman" w:cs="Times New Roman"/>
        </w:rPr>
        <w:t>2</w:t>
      </w:r>
      <w:r>
        <w:rPr>
          <w:rFonts w:ascii="Times New Roman" w:hAnsi="Times New Roman" w:cs="Times New Roman"/>
        </w:rPr>
        <w:t xml:space="preserve">). Gene accessions classified using CARD’s RGI tool can </w:t>
      </w:r>
      <w:r>
        <w:rPr>
          <w:rFonts w:ascii="Times New Roman" w:hAnsi="Times New Roman" w:cs="Times New Roman"/>
        </w:rPr>
        <w:lastRenderedPageBreak/>
        <w:t>require the presence of specific single nucleotide polymorphisms (SNPs); further details can be examined using CARD’s ontology browser (</w:t>
      </w:r>
      <w:hyperlink r:id="rId11">
        <w:r>
          <w:rPr>
            <w:rStyle w:val="Hyperlink"/>
          </w:rPr>
          <w:t>https://card.mcmaster.ca/browse</w:t>
        </w:r>
      </w:hyperlink>
      <w:r>
        <w:t>)</w:t>
      </w:r>
      <w:r>
        <w:rPr>
          <w:rFonts w:ascii="Times New Roman" w:hAnsi="Times New Roman" w:cs="Times New Roman"/>
        </w:rPr>
        <w:t>. There were no differences (</w:t>
      </w:r>
      <w:r>
        <w:rPr>
          <w:rFonts w:ascii="Times New Roman" w:hAnsi="Times New Roman" w:cs="Times New Roman"/>
          <w:i/>
          <w:iCs/>
        </w:rPr>
        <w:t xml:space="preserve">P </w:t>
      </w:r>
      <w:r>
        <w:rPr>
          <w:rFonts w:ascii="Times New Roman" w:hAnsi="Times New Roman" w:cs="Times New Roman"/>
        </w:rPr>
        <w:t>&gt; 0.05) in the resistome composition between biological replicates, suggesting that microbial populations were relatively evenly distributed in purchased products (</w:t>
      </w:r>
      <w:r w:rsidR="001B4094">
        <w:rPr>
          <w:rFonts w:ascii="Times New Roman" w:hAnsi="Times New Roman" w:cs="Times New Roman"/>
        </w:rPr>
        <w:t xml:space="preserve">Supplemental </w:t>
      </w:r>
      <w:r>
        <w:rPr>
          <w:rFonts w:ascii="Times New Roman" w:hAnsi="Times New Roman" w:cs="Times New Roman"/>
        </w:rPr>
        <w:t>Figur</w:t>
      </w:r>
      <w:bookmarkStart w:id="83" w:name="_Hlk7138996"/>
      <w:bookmarkEnd w:id="83"/>
      <w:r>
        <w:rPr>
          <w:rFonts w:ascii="Times New Roman" w:hAnsi="Times New Roman" w:cs="Times New Roman"/>
        </w:rPr>
        <w:t>e 1). Further, there was no differences (</w:t>
      </w:r>
      <w:r>
        <w:rPr>
          <w:rFonts w:ascii="Times New Roman" w:hAnsi="Times New Roman" w:cs="Times New Roman"/>
          <w:i/>
          <w:iCs/>
        </w:rPr>
        <w:t xml:space="preserve">P </w:t>
      </w:r>
      <w:r>
        <w:rPr>
          <w:rFonts w:ascii="Times New Roman" w:hAnsi="Times New Roman" w:cs="Times New Roman"/>
        </w:rPr>
        <w:t>&gt; 0.05) in the total number of AMR alignments, richness, or Shannon’s diversity when using standard, or half-concentrations of baits.</w:t>
      </w:r>
    </w:p>
    <w:p w:rsidR="001C630E" w:rsidRDefault="005C7C99">
      <w:pPr>
        <w:pStyle w:val="Standard"/>
        <w:spacing w:line="480" w:lineRule="auto"/>
        <w:rPr>
          <w:rFonts w:ascii="Times New Roman" w:hAnsi="Times New Roman" w:cs="Times New Roman"/>
        </w:rPr>
      </w:pPr>
      <w:r>
        <w:rPr>
          <w:rFonts w:ascii="Times New Roman" w:hAnsi="Times New Roman" w:cs="Times New Roman"/>
        </w:rPr>
        <w:tab/>
        <w:t xml:space="preserve">Out of hits classified to 17 AMR drug classes, alignments to tetracycline resistance gene accessions were predominant and made up 91.8% of normalized hits across all samples. The next most abundant hits aligned to the drug class, macrolide-lincosamide-streptogramin (MLS) (3.4%), multi-drug resistance (2.3%), and betalactams (1.4%) with the remaining 13 classes each comprising less than 1% of counts. Of these hits to gene accessions that confer tetracycline resistance, a majority were classified as encoding tetracycline resistance ribosomal protection proteins and major facilitator superfamily (MFS) efflux pumps (61% and 39%, respectively). This pattern of relative abundance for resistome composition was generally consistent across samples (Figure </w:t>
      </w:r>
      <w:r w:rsidR="00CB6A40">
        <w:rPr>
          <w:rFonts w:ascii="Times New Roman" w:hAnsi="Times New Roman" w:cs="Times New Roman"/>
        </w:rPr>
        <w:t>1</w:t>
      </w:r>
      <w:r>
        <w:rPr>
          <w:rFonts w:ascii="Times New Roman" w:hAnsi="Times New Roman" w:cs="Times New Roman"/>
        </w:rPr>
        <w:t>).</w:t>
      </w:r>
    </w:p>
    <w:p w:rsidR="00460CF0" w:rsidRDefault="005C7C99" w:rsidP="00032522">
      <w:pPr>
        <w:pStyle w:val="Standard"/>
        <w:spacing w:line="480" w:lineRule="auto"/>
        <w:ind w:firstLine="720"/>
        <w:rPr>
          <w:rFonts w:ascii="Times New Roman" w:hAnsi="Times New Roman" w:cs="Times New Roman"/>
        </w:rPr>
      </w:pPr>
      <w:r>
        <w:rPr>
          <w:rFonts w:ascii="Times New Roman" w:eastAsia="Times New Roman" w:hAnsi="Times New Roman" w:cs="Times New Roman"/>
        </w:rPr>
        <w:t xml:space="preserve">At the AMR class level, </w:t>
      </w:r>
      <w:r>
        <w:rPr>
          <w:rFonts w:ascii="Times New Roman" w:hAnsi="Times New Roman" w:cs="Times New Roman"/>
        </w:rPr>
        <w:t>ANOSIM testing suggested that the overall resistome composition did not differ (</w:t>
      </w:r>
      <w:r w:rsidR="00460CF0">
        <w:rPr>
          <w:rFonts w:ascii="Times New Roman" w:hAnsi="Times New Roman" w:cs="Times New Roman"/>
        </w:rPr>
        <w:t xml:space="preserve">R = 0.001, </w:t>
      </w:r>
      <w:r>
        <w:rPr>
          <w:rFonts w:ascii="Times New Roman" w:hAnsi="Times New Roman" w:cs="Times New Roman"/>
          <w:i/>
          <w:iCs/>
        </w:rPr>
        <w:t xml:space="preserve">P </w:t>
      </w:r>
      <w:r>
        <w:rPr>
          <w:rFonts w:ascii="Times New Roman" w:hAnsi="Times New Roman" w:cs="Times New Roman"/>
        </w:rPr>
        <w:t xml:space="preserve">&gt; 0.05) between ground beef label types (Figure </w:t>
      </w:r>
      <w:r w:rsidR="00CB6A40">
        <w:rPr>
          <w:rFonts w:ascii="Times New Roman" w:hAnsi="Times New Roman" w:cs="Times New Roman"/>
        </w:rPr>
        <w:t>2</w:t>
      </w:r>
      <w:r>
        <w:rPr>
          <w:rFonts w:ascii="Times New Roman" w:hAnsi="Times New Roman" w:cs="Times New Roman"/>
        </w:rPr>
        <w:t>)</w:t>
      </w:r>
      <w:r>
        <w:rPr>
          <w:rStyle w:val="CommentReference2"/>
          <w:rFonts w:ascii="Times New Roman" w:eastAsia="Calibri" w:hAnsi="Times New Roman" w:cs="Times New Roman"/>
          <w:sz w:val="24"/>
          <w:szCs w:val="24"/>
          <w:lang w:eastAsia="en-US" w:bidi="ar-SA"/>
        </w:rPr>
        <w:t>.</w:t>
      </w:r>
      <w:r w:rsidR="006A5C49">
        <w:rPr>
          <w:rStyle w:val="CommentReference2"/>
          <w:rFonts w:ascii="Times New Roman" w:eastAsia="Calibri" w:hAnsi="Times New Roman" w:cs="Times New Roman"/>
          <w:sz w:val="24"/>
          <w:szCs w:val="24"/>
          <w:lang w:eastAsia="en-US" w:bidi="ar-SA"/>
        </w:rPr>
        <w:t xml:space="preserve"> However, at the</w:t>
      </w:r>
      <w:r w:rsidR="006A5C49" w:rsidRPr="006A5C49">
        <w:rPr>
          <w:rFonts w:ascii="Times New Roman" w:hAnsi="Times New Roman" w:cs="Times New Roman"/>
        </w:rPr>
        <w:t xml:space="preserve"> </w:t>
      </w:r>
      <w:r w:rsidR="006A5C49">
        <w:rPr>
          <w:rFonts w:ascii="Times New Roman" w:hAnsi="Times New Roman" w:cs="Times New Roman"/>
        </w:rPr>
        <w:t>mechanism level there was a significant separation between</w:t>
      </w:r>
      <w:r>
        <w:rPr>
          <w:rFonts w:ascii="Times New Roman" w:hAnsi="Times New Roman" w:cs="Times New Roman"/>
        </w:rPr>
        <w:t xml:space="preserve"> </w:t>
      </w:r>
      <w:r w:rsidR="006A5C49">
        <w:rPr>
          <w:rFonts w:ascii="Times New Roman" w:hAnsi="Times New Roman" w:cs="Times New Roman"/>
        </w:rPr>
        <w:t>resistomes by label type (R = 0.13</w:t>
      </w:r>
      <w:r w:rsidR="00460CF0">
        <w:rPr>
          <w:rFonts w:ascii="Times New Roman" w:hAnsi="Times New Roman" w:cs="Times New Roman"/>
        </w:rPr>
        <w:t>, P &lt; 0.05), though the</w:t>
      </w:r>
      <w:r w:rsidR="00AE651F">
        <w:rPr>
          <w:rFonts w:ascii="Times New Roman" w:hAnsi="Times New Roman" w:cs="Times New Roman"/>
        </w:rPr>
        <w:t xml:space="preserve"> small</w:t>
      </w:r>
      <w:r w:rsidR="00460CF0">
        <w:rPr>
          <w:rFonts w:ascii="Times New Roman" w:hAnsi="Times New Roman" w:cs="Times New Roman"/>
        </w:rPr>
        <w:t xml:space="preserve"> R value suggests this was not a large difference</w:t>
      </w:r>
      <w:r w:rsidR="00CB6A40">
        <w:rPr>
          <w:rFonts w:ascii="Times New Roman" w:hAnsi="Times New Roman" w:cs="Times New Roman"/>
        </w:rPr>
        <w:t xml:space="preserve"> (</w:t>
      </w:r>
      <w:r w:rsidR="00CB6A40" w:rsidRPr="00CB6A40">
        <w:rPr>
          <w:rFonts w:ascii="Times New Roman" w:hAnsi="Times New Roman" w:cs="Times New Roman"/>
        </w:rPr>
        <w:t>Supplemental figure 2).</w:t>
      </w:r>
      <w:r w:rsidR="00CB6A40">
        <w:rPr>
          <w:rFonts w:ascii="Times New Roman" w:hAnsi="Times New Roman" w:cs="Times New Roman"/>
        </w:rPr>
        <w:t xml:space="preserve"> </w:t>
      </w:r>
      <w:r w:rsidR="00C0565E">
        <w:rPr>
          <w:rFonts w:ascii="Times New Roman" w:hAnsi="Times New Roman" w:cs="Times New Roman"/>
        </w:rPr>
        <w:t>Shannon’s diversity index comparisons were not different (</w:t>
      </w:r>
      <w:r w:rsidR="00C0565E">
        <w:rPr>
          <w:rFonts w:ascii="Times New Roman" w:hAnsi="Times New Roman" w:cs="Times New Roman"/>
          <w:i/>
          <w:iCs/>
        </w:rPr>
        <w:t xml:space="preserve">P </w:t>
      </w:r>
      <w:r w:rsidR="00C0565E">
        <w:rPr>
          <w:rFonts w:ascii="Times New Roman" w:hAnsi="Times New Roman" w:cs="Times New Roman"/>
        </w:rPr>
        <w:t xml:space="preserve">&gt; 0.05) between CONV and RWA samples at the class and mechanism levels, but richness was only significantly different at the mechanism level (P &lt; 0.05)(Figure </w:t>
      </w:r>
      <w:r w:rsidR="00CB6A40">
        <w:rPr>
          <w:rFonts w:ascii="Times New Roman" w:hAnsi="Times New Roman" w:cs="Times New Roman"/>
        </w:rPr>
        <w:t>3</w:t>
      </w:r>
      <w:r w:rsidR="00C0565E">
        <w:rPr>
          <w:rFonts w:ascii="Times New Roman" w:hAnsi="Times New Roman" w:cs="Times New Roman"/>
        </w:rPr>
        <w:t xml:space="preserve">). </w:t>
      </w:r>
      <w:r w:rsidR="000B32E6">
        <w:rPr>
          <w:rFonts w:ascii="Times New Roman" w:hAnsi="Times New Roman" w:cs="Times New Roman"/>
        </w:rPr>
        <w:t xml:space="preserve">On the other hand, resistome </w:t>
      </w:r>
      <w:r w:rsidR="003A471B">
        <w:rPr>
          <w:rFonts w:ascii="Times New Roman" w:hAnsi="Times New Roman" w:cs="Times New Roman"/>
        </w:rPr>
        <w:t xml:space="preserve">composition at the mechanism level </w:t>
      </w:r>
      <w:r w:rsidR="000B32E6">
        <w:rPr>
          <w:rFonts w:ascii="Times New Roman" w:hAnsi="Times New Roman" w:cs="Times New Roman"/>
        </w:rPr>
        <w:t>clustered</w:t>
      </w:r>
      <w:r w:rsidR="003A471B">
        <w:rPr>
          <w:rFonts w:ascii="Times New Roman" w:hAnsi="Times New Roman" w:cs="Times New Roman"/>
        </w:rPr>
        <w:t xml:space="preserve"> significantly based on the type of sample </w:t>
      </w:r>
      <w:r w:rsidR="003A471B">
        <w:rPr>
          <w:rFonts w:ascii="Times New Roman" w:hAnsi="Times New Roman" w:cs="Times New Roman"/>
        </w:rPr>
        <w:lastRenderedPageBreak/>
        <w:t>packaging (R = 0.32, P &lt; 0.05)</w:t>
      </w:r>
      <w:r w:rsidR="00CB6A40">
        <w:rPr>
          <w:rFonts w:ascii="Times New Roman" w:hAnsi="Times New Roman" w:cs="Times New Roman"/>
        </w:rPr>
        <w:t>.</w:t>
      </w:r>
      <w:r w:rsidR="00C0565E">
        <w:rPr>
          <w:rFonts w:ascii="Times New Roman" w:hAnsi="Times New Roman" w:cs="Times New Roman"/>
        </w:rPr>
        <w:t xml:space="preserve"> Further, resistome composition clustered by </w:t>
      </w:r>
      <w:r w:rsidR="00F96CEF">
        <w:rPr>
          <w:rFonts w:ascii="Times New Roman" w:hAnsi="Times New Roman" w:cs="Times New Roman"/>
        </w:rPr>
        <w:t>source</w:t>
      </w:r>
      <w:r w:rsidR="00C0565E">
        <w:rPr>
          <w:rFonts w:ascii="Times New Roman" w:hAnsi="Times New Roman" w:cs="Times New Roman"/>
        </w:rPr>
        <w:t xml:space="preserve"> retail store at the class (R = 0.29, P &lt; 0.05) and mechanism levels (R = 0.46, P &lt; 0.05)</w:t>
      </w:r>
      <w:r w:rsidR="00CB6A40">
        <w:rPr>
          <w:rFonts w:ascii="Times New Roman" w:hAnsi="Times New Roman" w:cs="Times New Roman"/>
        </w:rPr>
        <w:t>(Supplemental File 3)</w:t>
      </w:r>
      <w:r w:rsidR="00C0565E">
        <w:rPr>
          <w:rFonts w:ascii="Times New Roman" w:hAnsi="Times New Roman" w:cs="Times New Roman"/>
        </w:rPr>
        <w:t xml:space="preserve">. </w:t>
      </w:r>
      <w:r w:rsidR="00AE651F">
        <w:rPr>
          <w:rFonts w:ascii="Times New Roman" w:hAnsi="Times New Roman" w:cs="Times New Roman"/>
        </w:rPr>
        <w:t>In combination, th</w:t>
      </w:r>
      <w:r w:rsidR="003A471B">
        <w:rPr>
          <w:rFonts w:ascii="Times New Roman" w:hAnsi="Times New Roman" w:cs="Times New Roman"/>
        </w:rPr>
        <w:t>ese results</w:t>
      </w:r>
      <w:r w:rsidR="00CC5643">
        <w:rPr>
          <w:rFonts w:ascii="Times New Roman" w:hAnsi="Times New Roman" w:cs="Times New Roman"/>
        </w:rPr>
        <w:t xml:space="preserve"> suggest that the </w:t>
      </w:r>
      <w:r w:rsidR="00AE651F">
        <w:rPr>
          <w:rFonts w:ascii="Times New Roman" w:hAnsi="Times New Roman" w:cs="Times New Roman"/>
        </w:rPr>
        <w:t>differences observed between resistome</w:t>
      </w:r>
      <w:r w:rsidR="00032522">
        <w:rPr>
          <w:rFonts w:ascii="Times New Roman" w:hAnsi="Times New Roman" w:cs="Times New Roman"/>
        </w:rPr>
        <w:t xml:space="preserve"> composition in our ground beef samples</w:t>
      </w:r>
      <w:r w:rsidR="00AE651F">
        <w:rPr>
          <w:rFonts w:ascii="Times New Roman" w:hAnsi="Times New Roman" w:cs="Times New Roman"/>
        </w:rPr>
        <w:t xml:space="preserve"> could be driven by </w:t>
      </w:r>
      <w:r w:rsidR="00032522">
        <w:rPr>
          <w:rFonts w:ascii="Times New Roman" w:hAnsi="Times New Roman" w:cs="Times New Roman"/>
        </w:rPr>
        <w:t>something other than CONV vs RWA labels</w:t>
      </w:r>
      <w:r w:rsidR="00CB6A40">
        <w:rPr>
          <w:rFonts w:ascii="Times New Roman" w:hAnsi="Times New Roman" w:cs="Times New Roman"/>
        </w:rPr>
        <w:t>.</w:t>
      </w:r>
    </w:p>
    <w:p w:rsidR="001C630E" w:rsidRDefault="005C7C99" w:rsidP="00460CF0">
      <w:pPr>
        <w:pStyle w:val="Standard"/>
        <w:spacing w:line="480" w:lineRule="auto"/>
        <w:ind w:firstLine="720"/>
        <w:rPr>
          <w:rFonts w:ascii="Times New Roman" w:hAnsi="Times New Roman" w:cs="Times New Roman"/>
        </w:rPr>
      </w:pPr>
      <w:r>
        <w:rPr>
          <w:rFonts w:ascii="Times New Roman" w:hAnsi="Times New Roman" w:cs="Times New Roman"/>
        </w:rPr>
        <w:t>The ZIG model identified that out of 11 drug classes, six were higher (</w:t>
      </w:r>
      <w:r>
        <w:rPr>
          <w:rFonts w:ascii="Times New Roman" w:hAnsi="Times New Roman" w:cs="Times New Roman"/>
          <w:i/>
          <w:iCs/>
        </w:rPr>
        <w:t xml:space="preserve">P </w:t>
      </w:r>
      <w:r>
        <w:rPr>
          <w:rFonts w:ascii="Times New Roman" w:hAnsi="Times New Roman" w:cs="Times New Roman"/>
        </w:rPr>
        <w:t>&lt; 0.05) in CONV than RWA samples. While there were no differences in tetracycline resistance, which made up &gt; 90% of all alignments, the CONV ground beef samples had a significantly higher relative abundance of multi-drug resistance, betalactams, cationic antimicrobial peptides, and elfamycin (P-value  &lt; 0.05), whereas alignments to trimethoprim and phenicol resistance were more abundant (</w:t>
      </w:r>
      <w:r>
        <w:rPr>
          <w:rFonts w:ascii="Times New Roman" w:hAnsi="Times New Roman" w:cs="Times New Roman"/>
          <w:i/>
          <w:iCs/>
        </w:rPr>
        <w:t>P</w:t>
      </w:r>
      <w:r>
        <w:rPr>
          <w:rFonts w:ascii="Times New Roman" w:hAnsi="Times New Roman" w:cs="Times New Roman"/>
        </w:rPr>
        <w:t xml:space="preserve"> &lt; 0.05) in RWA products (Supplemental File 4). </w:t>
      </w:r>
      <w:r w:rsidR="00CB6A40">
        <w:rPr>
          <w:rFonts w:ascii="Times New Roman" w:hAnsi="Times New Roman" w:cs="Times New Roman"/>
        </w:rPr>
        <w:t>At the mechanism level, a</w:t>
      </w:r>
      <w:r>
        <w:rPr>
          <w:rFonts w:ascii="Times New Roman" w:hAnsi="Times New Roman" w:cs="Times New Roman"/>
        </w:rPr>
        <w:t>lignments to tetracycline resistance major facilitator superfamily (MFS) efflux pumps were higher (</w:t>
      </w:r>
      <w:r>
        <w:rPr>
          <w:rFonts w:ascii="Times New Roman" w:hAnsi="Times New Roman" w:cs="Times New Roman"/>
          <w:i/>
          <w:iCs/>
        </w:rPr>
        <w:t xml:space="preserve">P </w:t>
      </w:r>
      <w:r>
        <w:rPr>
          <w:rFonts w:ascii="Times New Roman" w:hAnsi="Times New Roman" w:cs="Times New Roman"/>
        </w:rPr>
        <w:t xml:space="preserve">&lt; 0.05) in CONV samples compared to RWA. Differences in the differential abundance of specific mechanisms mirrored differences at the class level. Of 16 AMR mechanisms with an average expression &gt; 2, 10 were significantly different between CONV and RWA samples (Supplemental File 4). Of the list of genes identified </w:t>
      </w:r>
      <w:r>
        <w:rPr>
          <w:rFonts w:ascii="Times New Roman" w:hAnsi="Times New Roman" w:cs="Times New Roman"/>
          <w:i/>
          <w:iCs/>
        </w:rPr>
        <w:t>a priori</w:t>
      </w:r>
      <w:r>
        <w:rPr>
          <w:rFonts w:ascii="Times New Roman" w:hAnsi="Times New Roman" w:cs="Times New Roman"/>
        </w:rPr>
        <w:t xml:space="preserve"> as being important to medicine and public health,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OXA</w:t>
      </w:r>
      <w:r>
        <w:rPr>
          <w:rFonts w:ascii="Times New Roman" w:hAnsi="Times New Roman" w:cs="Times New Roman"/>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SME</w:t>
      </w:r>
      <w:r>
        <w:rPr>
          <w:rFonts w:ascii="Times New Roman" w:hAnsi="Times New Roman" w:cs="Times New Roman"/>
          <w:color w:val="2A2A2A"/>
          <w:shd w:val="clear" w:color="auto" w:fill="FFFFFF"/>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IMI</w:t>
      </w:r>
      <w:r>
        <w:rPr>
          <w:rFonts w:ascii="Times New Roman" w:hAnsi="Times New Roman" w:cs="Times New Roman"/>
          <w:color w:val="2A2A2A"/>
          <w:shd w:val="clear" w:color="auto" w:fill="FFFFFF"/>
        </w:rPr>
        <w:t>,</w:t>
      </w:r>
      <w:r>
        <w:rPr>
          <w:rFonts w:ascii="Times New Roman" w:hAnsi="Times New Roman" w:cs="Times New Roman"/>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CphA</w:t>
      </w:r>
      <w:r>
        <w:rPr>
          <w:rFonts w:ascii="Times New Roman" w:hAnsi="Times New Roman" w:cs="Times New Roman"/>
          <w:color w:val="2A2A2A"/>
          <w:shd w:val="clear" w:color="auto" w:fill="FFFFFF"/>
        </w:rPr>
        <w:t>,</w:t>
      </w:r>
      <w:r>
        <w:rPr>
          <w:rFonts w:ascii="Times New Roman" w:hAnsi="Times New Roman" w:cs="Times New Roman"/>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TEM</w:t>
      </w:r>
      <w:r>
        <w:rPr>
          <w:rFonts w:ascii="Times New Roman" w:hAnsi="Times New Roman" w:cs="Times New Roman"/>
          <w:color w:val="2A2A2A"/>
          <w:shd w:val="clear" w:color="auto" w:fill="FFFFFF"/>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CTX-M</w:t>
      </w:r>
      <w:r>
        <w:rPr>
          <w:rFonts w:ascii="Times New Roman" w:hAnsi="Times New Roman" w:cs="Times New Roman"/>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CMY</w:t>
      </w:r>
      <w:r>
        <w:rPr>
          <w:rFonts w:ascii="Times New Roman" w:hAnsi="Times New Roman" w:cs="Times New Roman"/>
        </w:rPr>
        <w:t xml:space="preserve">,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OXA</w:t>
      </w:r>
      <w:r>
        <w:rPr>
          <w:rFonts w:ascii="Times New Roman" w:hAnsi="Times New Roman" w:cs="Times New Roman"/>
        </w:rPr>
        <w:t xml:space="preserve">, and </w:t>
      </w:r>
      <w:r>
        <w:rPr>
          <w:rStyle w:val="Emphasis"/>
          <w:rFonts w:ascii="Times New Roman" w:hAnsi="Times New Roman" w:cs="Times New Roman"/>
          <w:color w:val="2A2A2A"/>
          <w:shd w:val="clear" w:color="auto" w:fill="FFFFFF"/>
        </w:rPr>
        <w:t>vga/vat</w:t>
      </w:r>
      <w:r>
        <w:rPr>
          <w:rFonts w:ascii="Times New Roman" w:hAnsi="Times New Roman" w:cs="Times New Roman"/>
        </w:rPr>
        <w:t xml:space="preserve"> were identified in samples. Overall, these genes were sparsely represented and in total accounted for only 3,439 (1.2% of the resistome) CSS normalized counts across all 32 samples with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TEM</w:t>
      </w:r>
      <w:r>
        <w:rPr>
          <w:rFonts w:ascii="Times New Roman" w:hAnsi="Times New Roman" w:cs="Times New Roman"/>
          <w:color w:val="2A2A2A"/>
          <w:shd w:val="clear" w:color="auto" w:fill="FFFFFF"/>
        </w:rPr>
        <w:t xml:space="preserve"> and </w:t>
      </w:r>
      <w:r>
        <w:rPr>
          <w:rStyle w:val="Emphasis"/>
          <w:rFonts w:ascii="Times New Roman" w:hAnsi="Times New Roman" w:cs="Times New Roman"/>
          <w:color w:val="2A2A2A"/>
          <w:shd w:val="clear" w:color="auto" w:fill="FFFFFF"/>
        </w:rPr>
        <w:t>bla</w:t>
      </w:r>
      <w:r>
        <w:rPr>
          <w:rFonts w:ascii="Times New Roman" w:hAnsi="Times New Roman" w:cs="Times New Roman"/>
          <w:color w:val="2A2A2A"/>
          <w:shd w:val="clear" w:color="auto" w:fill="FFFFFF"/>
          <w:vertAlign w:val="subscript"/>
        </w:rPr>
        <w:t>CTX-M</w:t>
      </w:r>
      <w:r>
        <w:rPr>
          <w:rFonts w:ascii="Times New Roman" w:hAnsi="Times New Roman" w:cs="Times New Roman"/>
        </w:rPr>
        <w:t xml:space="preserve"> genes making up more than half of those counts (Supplemental Figure </w:t>
      </w:r>
      <w:r w:rsidR="00CB6A40">
        <w:rPr>
          <w:rFonts w:ascii="Times New Roman" w:hAnsi="Times New Roman" w:cs="Times New Roman"/>
        </w:rPr>
        <w:t>3</w:t>
      </w:r>
      <w:r>
        <w:rPr>
          <w:rFonts w:ascii="Times New Roman" w:hAnsi="Times New Roman" w:cs="Times New Roman"/>
        </w:rPr>
        <w:t>).</w:t>
      </w:r>
    </w:p>
    <w:p w:rsidR="001C630E" w:rsidRDefault="001C630E">
      <w:pPr>
        <w:pStyle w:val="Standard"/>
        <w:spacing w:line="480" w:lineRule="auto"/>
        <w:ind w:firstLine="720"/>
        <w:rPr>
          <w:rFonts w:ascii="Times New Roman" w:hAnsi="Times New Roman" w:cs="Times New Roman"/>
        </w:rPr>
      </w:pPr>
    </w:p>
    <w:p w:rsidR="001C630E" w:rsidRDefault="005C7C99">
      <w:pPr>
        <w:pStyle w:val="Standard"/>
        <w:tabs>
          <w:tab w:val="left" w:pos="720"/>
        </w:tabs>
        <w:spacing w:line="480" w:lineRule="auto"/>
        <w:rPr>
          <w:rFonts w:ascii="Times New Roman" w:hAnsi="Times New Roman" w:cs="Times New Roman"/>
          <w:b/>
          <w:bCs/>
        </w:rPr>
      </w:pPr>
      <w:r>
        <w:rPr>
          <w:rFonts w:ascii="Times New Roman" w:hAnsi="Times New Roman" w:cs="Times New Roman"/>
          <w:i/>
          <w:iCs/>
        </w:rPr>
        <w:t>Microbiome results</w:t>
      </w:r>
    </w:p>
    <w:p w:rsidR="00A16D5A" w:rsidRDefault="005C7C99" w:rsidP="00A16D5A">
      <w:pPr>
        <w:pStyle w:val="Standard"/>
        <w:tabs>
          <w:tab w:val="left" w:pos="720"/>
        </w:tabs>
        <w:spacing w:line="480" w:lineRule="auto"/>
        <w:rPr>
          <w:rFonts w:ascii="Times New Roman" w:hAnsi="Times New Roman" w:cs="Times New Roman"/>
        </w:rPr>
      </w:pPr>
      <w:r>
        <w:rPr>
          <w:rFonts w:ascii="Times New Roman" w:hAnsi="Times New Roman" w:cs="Times New Roman"/>
          <w:b/>
          <w:bCs/>
        </w:rPr>
        <w:lastRenderedPageBreak/>
        <w:tab/>
      </w:r>
      <w:r>
        <w:rPr>
          <w:rFonts w:ascii="Times New Roman" w:hAnsi="Times New Roman" w:cs="Times New Roman"/>
        </w:rPr>
        <w:t xml:space="preserve">A total of </w:t>
      </w:r>
      <w:r w:rsidR="00AC2A1C">
        <w:rPr>
          <w:rFonts w:ascii="Times New Roman" w:hAnsi="Times New Roman" w:cs="Times New Roman"/>
        </w:rPr>
        <w:t>2,</w:t>
      </w:r>
      <w:r w:rsidR="00F17EBA">
        <w:rPr>
          <w:rFonts w:ascii="Times New Roman" w:hAnsi="Times New Roman" w:cs="Times New Roman"/>
        </w:rPr>
        <w:t>496,913</w:t>
      </w:r>
      <w:r>
        <w:rPr>
          <w:rFonts w:ascii="Times New Roman" w:hAnsi="Times New Roman" w:cs="Times New Roman"/>
        </w:rPr>
        <w:t xml:space="preserve"> reads were classified taxonomically with an average of </w:t>
      </w:r>
      <w:r w:rsidR="00ED5F3F">
        <w:rPr>
          <w:rFonts w:ascii="Times New Roman" w:hAnsi="Times New Roman" w:cs="Times New Roman"/>
        </w:rPr>
        <w:t>156,057.1</w:t>
      </w:r>
      <w:r>
        <w:rPr>
          <w:rFonts w:ascii="Times New Roman" w:hAnsi="Times New Roman" w:cs="Times New Roman"/>
        </w:rPr>
        <w:t xml:space="preserve"> reads per sample</w:t>
      </w:r>
      <w:r w:rsidR="00AC2A1C">
        <w:rPr>
          <w:rFonts w:ascii="Times New Roman" w:hAnsi="Times New Roman" w:cs="Times New Roman"/>
        </w:rPr>
        <w:t xml:space="preserve"> (range: </w:t>
      </w:r>
      <w:r w:rsidR="00ED5F3F">
        <w:rPr>
          <w:rFonts w:ascii="Times New Roman" w:hAnsi="Times New Roman" w:cs="Times New Roman"/>
        </w:rPr>
        <w:t>87,476</w:t>
      </w:r>
      <w:r w:rsidR="00AC2A1C">
        <w:rPr>
          <w:rFonts w:ascii="Times New Roman" w:hAnsi="Times New Roman" w:cs="Times New Roman"/>
        </w:rPr>
        <w:t xml:space="preserve"> – </w:t>
      </w:r>
      <w:r w:rsidR="00ED5F3F">
        <w:rPr>
          <w:rFonts w:ascii="Times New Roman" w:hAnsi="Times New Roman" w:cs="Times New Roman"/>
        </w:rPr>
        <w:t>191,521</w:t>
      </w:r>
      <w:r w:rsidR="00AC2A1C">
        <w:rPr>
          <w:rFonts w:ascii="Times New Roman" w:hAnsi="Times New Roman" w:cs="Times New Roman"/>
        </w:rPr>
        <w:t>)</w:t>
      </w:r>
      <w:r>
        <w:rPr>
          <w:rFonts w:ascii="Times New Roman" w:hAnsi="Times New Roman" w:cs="Times New Roman"/>
        </w:rPr>
        <w:t>.</w:t>
      </w:r>
      <w:r w:rsidR="00F17EBA">
        <w:rPr>
          <w:rFonts w:ascii="Times New Roman" w:hAnsi="Times New Roman" w:cs="Times New Roman"/>
        </w:rPr>
        <w:t xml:space="preserve"> </w:t>
      </w:r>
      <w:r>
        <w:rPr>
          <w:rFonts w:ascii="Times New Roman" w:hAnsi="Times New Roman" w:cs="Times New Roman"/>
        </w:rPr>
        <w:t xml:space="preserve">In all, </w:t>
      </w:r>
      <w:r w:rsidR="00F17EBA">
        <w:rPr>
          <w:rFonts w:ascii="Times New Roman" w:hAnsi="Times New Roman" w:cs="Times New Roman"/>
        </w:rPr>
        <w:t>4949</w:t>
      </w:r>
      <w:r>
        <w:rPr>
          <w:rFonts w:ascii="Times New Roman" w:hAnsi="Times New Roman" w:cs="Times New Roman"/>
        </w:rPr>
        <w:t xml:space="preserve"> amplicon sequence variants (ASVs) were identified with DADA2 and together represented </w:t>
      </w:r>
      <w:r w:rsidR="00F17EBA">
        <w:rPr>
          <w:rFonts w:ascii="Times New Roman" w:hAnsi="Times New Roman" w:cs="Times New Roman"/>
        </w:rPr>
        <w:t>43</w:t>
      </w:r>
      <w:r>
        <w:rPr>
          <w:rFonts w:ascii="Times New Roman" w:hAnsi="Times New Roman" w:cs="Times New Roman"/>
        </w:rPr>
        <w:t xml:space="preserve"> phyla, </w:t>
      </w:r>
      <w:r w:rsidR="00F17EBA">
        <w:rPr>
          <w:rFonts w:ascii="Times New Roman" w:hAnsi="Times New Roman" w:cs="Times New Roman"/>
        </w:rPr>
        <w:t>119</w:t>
      </w:r>
      <w:r>
        <w:rPr>
          <w:rFonts w:ascii="Times New Roman" w:hAnsi="Times New Roman" w:cs="Times New Roman"/>
        </w:rPr>
        <w:t xml:space="preserve"> classes, and </w:t>
      </w:r>
      <w:r w:rsidR="00F17EBA">
        <w:rPr>
          <w:rFonts w:ascii="Times New Roman" w:hAnsi="Times New Roman" w:cs="Times New Roman"/>
        </w:rPr>
        <w:t>201</w:t>
      </w:r>
      <w:r>
        <w:rPr>
          <w:rFonts w:ascii="Times New Roman" w:hAnsi="Times New Roman" w:cs="Times New Roman"/>
        </w:rPr>
        <w:t xml:space="preserve"> orders (Supplemental File 5).</w:t>
      </w:r>
      <w:r w:rsidR="00A16D5A">
        <w:rPr>
          <w:rFonts w:ascii="Times New Roman" w:hAnsi="Times New Roman" w:cs="Times New Roman"/>
        </w:rPr>
        <w:t xml:space="preserve"> </w:t>
      </w:r>
      <w:r>
        <w:rPr>
          <w:rFonts w:ascii="Times New Roman" w:hAnsi="Times New Roman" w:cs="Times New Roman"/>
        </w:rPr>
        <w:t>Two phyla, Firmicutes and Proteobacteria, predominated in the microbiome in this study and together accounted for &gt; 9</w:t>
      </w:r>
      <w:r w:rsidR="00A16D5A">
        <w:rPr>
          <w:rFonts w:ascii="Times New Roman" w:hAnsi="Times New Roman" w:cs="Times New Roman"/>
        </w:rPr>
        <w:t>8</w:t>
      </w:r>
      <w:r>
        <w:rPr>
          <w:rFonts w:ascii="Times New Roman" w:hAnsi="Times New Roman" w:cs="Times New Roman"/>
        </w:rPr>
        <w:t>% of all normalized counts (6</w:t>
      </w:r>
      <w:r w:rsidR="00A16D5A">
        <w:rPr>
          <w:rFonts w:ascii="Times New Roman" w:hAnsi="Times New Roman" w:cs="Times New Roman"/>
        </w:rPr>
        <w:t>9.6</w:t>
      </w:r>
      <w:r>
        <w:rPr>
          <w:rFonts w:ascii="Times New Roman" w:hAnsi="Times New Roman" w:cs="Times New Roman"/>
        </w:rPr>
        <w:t xml:space="preserve">% and </w:t>
      </w:r>
      <w:r w:rsidR="00A16D5A">
        <w:rPr>
          <w:rFonts w:ascii="Times New Roman" w:hAnsi="Times New Roman" w:cs="Times New Roman"/>
        </w:rPr>
        <w:t>29.</w:t>
      </w:r>
      <w:bookmarkStart w:id="84" w:name="_GoBack"/>
      <w:bookmarkEnd w:id="84"/>
      <w:r>
        <w:rPr>
          <w:rFonts w:ascii="Times New Roman" w:hAnsi="Times New Roman" w:cs="Times New Roman"/>
        </w:rPr>
        <w:t xml:space="preserve">%, respectively) (Figure </w:t>
      </w:r>
      <w:r w:rsidR="00CB6A40">
        <w:rPr>
          <w:rFonts w:ascii="Times New Roman" w:hAnsi="Times New Roman" w:cs="Times New Roman"/>
        </w:rPr>
        <w:t>1</w:t>
      </w:r>
      <w:r>
        <w:rPr>
          <w:rFonts w:ascii="Times New Roman" w:hAnsi="Times New Roman" w:cs="Times New Roman"/>
        </w:rPr>
        <w:t>). These phyla were each comprised of a single class that contributed a majority of counts in each taxa. The Bacilli class represented 9</w:t>
      </w:r>
      <w:r w:rsidR="00A16D5A">
        <w:rPr>
          <w:rFonts w:ascii="Times New Roman" w:hAnsi="Times New Roman" w:cs="Times New Roman"/>
        </w:rPr>
        <w:t>8</w:t>
      </w:r>
      <w:r>
        <w:rPr>
          <w:rFonts w:ascii="Times New Roman" w:hAnsi="Times New Roman" w:cs="Times New Roman"/>
        </w:rPr>
        <w:t>.</w:t>
      </w:r>
      <w:r w:rsidR="00A16D5A">
        <w:rPr>
          <w:rFonts w:ascii="Times New Roman" w:hAnsi="Times New Roman" w:cs="Times New Roman"/>
        </w:rPr>
        <w:t>8</w:t>
      </w:r>
      <w:r>
        <w:rPr>
          <w:rFonts w:ascii="Times New Roman" w:hAnsi="Times New Roman" w:cs="Times New Roman"/>
        </w:rPr>
        <w:t xml:space="preserve">% of alignments in the Firmicutes phylum, and the Gammaproteobacteria class comprised </w:t>
      </w:r>
      <w:r w:rsidR="00A16D5A">
        <w:rPr>
          <w:rFonts w:ascii="Times New Roman" w:hAnsi="Times New Roman" w:cs="Times New Roman"/>
        </w:rPr>
        <w:t>81.3</w:t>
      </w:r>
      <w:r>
        <w:rPr>
          <w:rFonts w:ascii="Times New Roman" w:hAnsi="Times New Roman" w:cs="Times New Roman"/>
        </w:rPr>
        <w:t>% of Proteobacteria across all samples. At the order level, Lactobacillales (</w:t>
      </w:r>
      <w:r w:rsidR="00A16D5A">
        <w:rPr>
          <w:rFonts w:ascii="Times New Roman" w:hAnsi="Times New Roman" w:cs="Times New Roman"/>
        </w:rPr>
        <w:t>68.5</w:t>
      </w:r>
      <w:r>
        <w:rPr>
          <w:rFonts w:ascii="Times New Roman" w:hAnsi="Times New Roman" w:cs="Times New Roman"/>
        </w:rPr>
        <w:t>%), Vibrionales (</w:t>
      </w:r>
      <w:r w:rsidR="00A16D5A">
        <w:rPr>
          <w:rFonts w:ascii="Times New Roman" w:hAnsi="Times New Roman" w:cs="Times New Roman"/>
        </w:rPr>
        <w:t>19.3</w:t>
      </w:r>
      <w:r>
        <w:rPr>
          <w:rFonts w:ascii="Times New Roman" w:hAnsi="Times New Roman" w:cs="Times New Roman"/>
        </w:rPr>
        <w:t xml:space="preserve">%), </w:t>
      </w:r>
      <w:r w:rsidR="00A16D5A">
        <w:rPr>
          <w:rFonts w:ascii="Times New Roman" w:hAnsi="Times New Roman" w:cs="Times New Roman"/>
        </w:rPr>
        <w:t>Neisseriales (4.78%), Enterobacteriales (2.54%) and Pseudomonadales (1.46%)</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 xml:space="preserve">were the most abundant taxa, with the remaining taxa making up less than 1% of classified reads. While the relative abundances differ, the taxa making up the microbiome samples in this study largely resemble the results from metagenomic studies of beef carcass trimmings and ground beef samples </w:t>
      </w:r>
      <w:r>
        <w:fldChar w:fldCharType="begin"/>
      </w:r>
      <w:r>
        <w:rPr>
          <w:rFonts w:ascii="Times New Roman" w:hAnsi="Times New Roman" w:cs="Times New Roman"/>
        </w:rPr>
        <w:instrText>ADDIN ZOTERO_ITEM CSL_CITATION {"citationID":"2qxrQKG7","properties":{"formattedCitation":"(Stellato et al., 2016; Weinroth et al., 2019)","plainCitation":"(Stellato et al., 2016; Weinroth et al., 2019)","noteIndex":0},"citationItems":[{"id":2681,"uris":["http://zotero.org/users/2162098/items/JUWFSCJ9"],"uri":["http://zotero.org/users/2162098/items/JUWFSCJ9"],"itemData":{"id":2681,"type":"article-journal","abstract":"UNLABELLED\nMicrobial contamination in food processing plants can play a fundamental role in food quality and safety. The aims of this study were to learn more about the possible influence of the meat processing environment on initial fresh meat contamination and to investigate the differences between small-scale retail distribution (SD) and large-scale retail distribution (LD) facilities. Samples were collected from butcheries (n = 20), including LD (n = 10) and SD (n = 10) facilities, over two sampling campaigns. Samples included fresh beef and pork cuts and swab samples from the knife, the chopping board, and the butcher's hand. The microbiota of both meat samples and environmental swabs were very complex, including more than 800 operational taxonomic units (OTUs) collapsed at the species level. The 16S rRNA sequencing analysis showed that core microbiota were shared by 80% of the samples and included Pseudomonas spp., Streptococcus spp., Brochothrix spp., Psychrobacter spp., and Acinetobacter spp. Hierarchical clustering of the samples based on the microbiota showed a certain separation between meat and environmental samples, with higher levels of Proteobacteria in meat. In particular, levels of Pseudomonas and several Enterobacteriaceae members were significantly higher in meat samples, while Brochothrix, Staphylococcus, lactic acid bacteria, and Psychrobacter prevailed in environmental swab samples. Consistent clustering was also observed when metabolic activities were considered by predictive metagenomic analysis of the samples. An increase in carbohydrate metabolism was predicted for the environmental swabs and was consistently linked to Firmicutes, while increases in pathways related to amino acid and lipid metabolism were predicted for the meat samples and were positively correlated with Proteobacteria Our results highlighted the importance of the processing environment in contributing to the initial microbial levels of meat and clearly showed that the type of retail facility (LD or SD) did not apparently affect the contamination.\n\n\nIMPORTANCE\nThe study provides an in-depth description of the microbiota of meat and meat processing environments. It highlights the importance of the environment as a contamination source of spoilage bacteria, and it shows that the size of the retail facility does not affect the level and type of contamination.","container-title":"Applied and environmental microbiology","DOI":"10.1128/AEM.00793-16","source":"Semantic Scholar","title":"Overlap of Spoilage-Associated Microbiota between Meat and the Meat Processing Environment in Small-Scale and Large-Scale Retail Distributions.","author":[{"family":"Stellato","given":"Giuseppina"},{"family":"Storia","given":"Antonietta La"},{"family":"Filippis","given":"Francesca De"},{"family":"Borriello","given":"Giorgia"},{"family":"Villani","given":"Francesco"},{"family":"Ercolini","given":"Danilo"}],"issued":{"date-parts":[["2016"]]}}},{"id":2663,"uris":["http://zotero.org/users/2162098/items/24N5TMJV"],"uri":["http://zotero.org/users/2162098/items/24N5TMJV"],"itemData":{"id":2663,"type":"article-journal","abstract":"Ground beef makes up more than half of the beef consumed in the U.S. market. Although numerous studies have been conducted on microbial safety and shelf life of ground beef limited work has been done using a culture-independent approach. While past studies have allowed for the evaluation of a few organisms of interest, there is limited work on the microbial community associated with fresh ground beef. In order to have a more complete picture of the microbial ecology of the product, a culture-independent approach utilizing 16S rRNA gene amplicon sequencing was used. The objectives of this study were to characterize the fresh ground beef microbiome and the effect that antimicrobial interventions and antioxidants, applied to beef trim before grinding, and product storage have on community composition using 16S rRNA gene amplicon sequencing. Beef trimmings were treated with antimicrobials and an antioxidant. Samples were ground, loafed, and overwrapped before being packaged in modified-atmosphere packaging. Samples were in dark storage for 21 days followed by five days in retail display. Periodically during storage, samples were collected for microbiological analysis and DNA isolation. Due to low microbial biomass, only 52 of 210 samples were included in the final analysis. These samples represented two antimicrobial treatments (peroxyacetic acid, and a sulfuric acid and sodium sulfate blend) and a control, from day-15 of dark storage and day-5 of retail display. As sample age increased, so did the number of raw reads (P &lt; 0.001) and aerobic plate counts (P &lt; 0.001), which were correlated (r = 0.94, P = 0.017). Across all samples, lactic acid bacteria were most abundant followed by Enterobacteriaceae; several rare taxa were also identified (namely Geobacillus, Thermus, and Sporosarcina). Antimicrobial treatment altered the bacterial alpha (P &lt; 0.001) and beta (P = 0.001) diversity, while storage day altered alpha (P = 0.001) diversity. Enterobacteriaceae relative abundance differed (P &lt; 0.05) among treatments and was highest in control samples. In addition to confirming previously described dominant microbial differences in culture-dependent results, these data identified genera not typically associated with ground beef and allowed for study of shifts in the entire microbiome and not just a subset of indicator organisms.","container-title":"PLOS ONE","DOI":"10.1371/journal.pone.0217947","ISSN":"1932-6203","issue":"6","journalAbbreviation":"PLOS ONE","language":"en","page":"e0217947","source":"PLoS Journals","title":"Ground beef microbiome changes with antimicrobial decontamination interventions and product storage","volume":"14","author":[{"family":"Weinroth","given":"Margaret D."},{"family":"Britton","given":"Brianna C."},{"family":"McCullough","given":"Kathryn R."},{"family":"Martin","given":"Jennifer N."},{"family":"Geornaras","given":"Ifigenia"},{"family":"Knight","given":"Rob"},{"family":"Belk","given":"Keith E."},{"family":"Metcalf","given":"Jessica L."}],"issued":{"date-parts":[["2019",6,5]]}}}],"schema":"https://github.com/citation-style-language/schema/raw/master/csl-citation.json"}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rPr>
        <w:t>(Stellato et al., 2016; Weinroth et al., 2019)</w:t>
      </w:r>
      <w:bookmarkStart w:id="85" w:name="Bookmark281"/>
      <w:bookmarkStart w:id="86" w:name="Bookmark2511"/>
      <w:bookmarkStart w:id="87" w:name="Bookmark282"/>
      <w:r>
        <w:rPr>
          <w:rFonts w:ascii="Times New Roman" w:hAnsi="Times New Roman" w:cs="Times New Roman"/>
        </w:rPr>
        <w:fldChar w:fldCharType="end"/>
      </w:r>
      <w:bookmarkEnd w:id="85"/>
      <w:bookmarkEnd w:id="86"/>
      <w:bookmarkEnd w:id="87"/>
      <w:r>
        <w:rPr>
          <w:rFonts w:ascii="Times New Roman" w:hAnsi="Times New Roman" w:cs="Times New Roman"/>
        </w:rPr>
        <w:t xml:space="preserve"> (Figure 1). At the genus level, common spoilage taxa like Lactococcus, Leuconostoc, and Lactobacillus were also identified in the majority of ground beef samples </w:t>
      </w:r>
      <w:r>
        <w:fldChar w:fldCharType="begin"/>
      </w:r>
      <w:r>
        <w:rPr>
          <w:rFonts w:ascii="Times New Roman" w:hAnsi="Times New Roman" w:cs="Times New Roman"/>
        </w:rPr>
        <w:instrText>ADDIN ZOTERO_ITEM CSL_CITATION {"citationID":"WOkVNuSx","properties":{"formattedCitation":"(Borch et al., 1996)","plainCitation":"(Borch et al., 1996)","noteIndex":0},"citationItems":[{"id":2691,"uris":["http://zotero.org/users/2162098/items/I6SUU3UP"],"uri":["http://zotero.org/users/2162098/items/I6SUU3UP"],"itemData":{"id":2691,"type":"article-journal","abstract":"The influence of environmental factors (product composition and storage conditions) on the selection, growth rate and metabolic activity of the bacterial flora is presented for meat (pork and beef) and cooked, cured meat products. The predominant bacteria associated with spoilage of refrigerated beef and pork, are Brochothrix thermosphacta, Carnobacterium spp., Enterobacteriaceae, Lactobacillus spp., Leuconostoc spp., Pseudomonas spp. and Shewanella putrefaciens. The main defects in meat are off-odours and off-flavours, but discolouration and gas production also occur. Bacteria associated with the spoilage of refrigerated meat products, causing defects such as sour off-flavours, discolouration, gas production, slime production and decrease in pH, consist of B. thermosphacta, Carnobacterium spp. Luctobacillus spp. Leuconostoc spp. and Weissella spp. Analysis of spoilage as measured by bacterial and chemical indicators is discussed. It is concluded that a multivariate approach based on spectra of chemical compounds, may be helpful in order to analyse spoilage, at least for spoilage caused by lactic acid bacteria. The consequences of bacteria bacteria interactions should be evaluated more.","container-title":"International Journal of Food Microbiology","DOI":"10.1016/0168-1605(96)01135-x","ISSN":"0168-1605","issue":"1","journalAbbreviation":"Int. J. Food Microbiol.","language":"eng","note":"PMID: 8913812","page":"103-120","source":"PubMed","title":"Bacterial spoilage of meat and cured meat products","volume":"33","author":[{"family":"Borch","given":"E."},{"family":"Kant-Muermans","given":"M. L."},{"family":"Blixt","given":"Y."}],"issued":{"date-parts":[["1996",11]]}}}],"schema":"https://github.com/citation-style-language/schema/raw/master/csl-citation.json"}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rPr>
        <w:t>(Borch et al., 1996)</w:t>
      </w:r>
      <w:bookmarkStart w:id="88" w:name="Bookmark292"/>
      <w:bookmarkStart w:id="89" w:name="Bookmark2611"/>
      <w:bookmarkStart w:id="90" w:name="Bookmark291"/>
      <w:r>
        <w:rPr>
          <w:rFonts w:ascii="Times New Roman" w:hAnsi="Times New Roman" w:cs="Times New Roman"/>
        </w:rPr>
        <w:fldChar w:fldCharType="end"/>
      </w:r>
      <w:bookmarkEnd w:id="88"/>
      <w:bookmarkEnd w:id="89"/>
      <w:bookmarkEnd w:id="90"/>
      <w:r>
        <w:rPr>
          <w:rFonts w:ascii="Times New Roman" w:hAnsi="Times New Roman" w:cs="Times New Roman"/>
        </w:rPr>
        <w:t xml:space="preserve"> (Supplemental Figure </w:t>
      </w:r>
      <w:r w:rsidR="00CB6A40">
        <w:rPr>
          <w:rFonts w:ascii="Times New Roman" w:hAnsi="Times New Roman" w:cs="Times New Roman"/>
        </w:rPr>
        <w:t>4</w:t>
      </w:r>
      <w:r>
        <w:rPr>
          <w:rFonts w:ascii="Times New Roman" w:hAnsi="Times New Roman" w:cs="Times New Roman"/>
        </w:rPr>
        <w:t>).</w:t>
      </w:r>
    </w:p>
    <w:p w:rsidR="00F96CEF"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ab/>
        <w:t xml:space="preserve">Overall, </w:t>
      </w:r>
      <w:r w:rsidR="009B4296">
        <w:rPr>
          <w:rFonts w:ascii="Times New Roman" w:hAnsi="Times New Roman" w:cs="Times New Roman"/>
        </w:rPr>
        <w:t>significant</w:t>
      </w:r>
      <w:r>
        <w:rPr>
          <w:rFonts w:ascii="Times New Roman" w:hAnsi="Times New Roman" w:cs="Times New Roman"/>
        </w:rPr>
        <w:t xml:space="preserve"> differences </w:t>
      </w:r>
      <w:r w:rsidR="009B4296">
        <w:rPr>
          <w:rFonts w:ascii="Times New Roman" w:hAnsi="Times New Roman" w:cs="Times New Roman"/>
        </w:rPr>
        <w:t xml:space="preserve">were </w:t>
      </w:r>
      <w:r>
        <w:rPr>
          <w:rFonts w:ascii="Times New Roman" w:hAnsi="Times New Roman" w:cs="Times New Roman"/>
        </w:rPr>
        <w:t>observed between microbiomes found in CONV and RWA beef products at the</w:t>
      </w:r>
      <w:r w:rsidR="009B4296">
        <w:rPr>
          <w:rFonts w:ascii="Times New Roman" w:hAnsi="Times New Roman" w:cs="Times New Roman"/>
        </w:rPr>
        <w:t xml:space="preserve"> </w:t>
      </w:r>
      <w:r>
        <w:rPr>
          <w:rFonts w:ascii="Times New Roman" w:hAnsi="Times New Roman" w:cs="Times New Roman"/>
        </w:rPr>
        <w:t>class</w:t>
      </w:r>
      <w:r w:rsidR="009B4296">
        <w:rPr>
          <w:rFonts w:ascii="Times New Roman" w:hAnsi="Times New Roman" w:cs="Times New Roman"/>
        </w:rPr>
        <w:t xml:space="preserve"> </w:t>
      </w:r>
      <w:r w:rsidR="001555D2">
        <w:rPr>
          <w:rFonts w:ascii="Times New Roman" w:hAnsi="Times New Roman" w:cs="Times New Roman"/>
        </w:rPr>
        <w:t xml:space="preserve">(R = 0.18, P &lt; 0.05) </w:t>
      </w:r>
      <w:r w:rsidR="009B4296">
        <w:rPr>
          <w:rFonts w:ascii="Times New Roman" w:hAnsi="Times New Roman" w:cs="Times New Roman"/>
        </w:rPr>
        <w:t>and</w:t>
      </w:r>
      <w:r>
        <w:rPr>
          <w:rFonts w:ascii="Times New Roman" w:hAnsi="Times New Roman" w:cs="Times New Roman"/>
        </w:rPr>
        <w:t xml:space="preserve"> order level</w:t>
      </w:r>
      <w:r w:rsidR="009A6E1F">
        <w:rPr>
          <w:rFonts w:ascii="Times New Roman" w:hAnsi="Times New Roman" w:cs="Times New Roman"/>
        </w:rPr>
        <w:t>s</w:t>
      </w:r>
      <w:r w:rsidR="001555D2">
        <w:rPr>
          <w:rFonts w:ascii="Times New Roman" w:hAnsi="Times New Roman" w:cs="Times New Roman"/>
        </w:rPr>
        <w:t xml:space="preserve"> (R = 0.17, P &lt; 0.05)</w:t>
      </w:r>
      <w:r w:rsidR="009A6E1F">
        <w:rPr>
          <w:rFonts w:ascii="Times New Roman" w:hAnsi="Times New Roman" w:cs="Times New Roman"/>
        </w:rPr>
        <w:t>(Figure 4)</w:t>
      </w:r>
      <w:r>
        <w:rPr>
          <w:rFonts w:ascii="Times New Roman" w:hAnsi="Times New Roman" w:cs="Times New Roman"/>
        </w:rPr>
        <w:t xml:space="preserve">. </w:t>
      </w:r>
      <w:r w:rsidR="0043455F">
        <w:rPr>
          <w:rFonts w:ascii="Times New Roman" w:hAnsi="Times New Roman" w:cs="Times New Roman"/>
        </w:rPr>
        <w:t>However, t</w:t>
      </w:r>
      <w:r w:rsidR="00441379">
        <w:rPr>
          <w:rFonts w:ascii="Times New Roman" w:hAnsi="Times New Roman" w:cs="Times New Roman"/>
        </w:rPr>
        <w:t xml:space="preserve">here were no significant differences in richness or Shannon’s diversity index </w:t>
      </w:r>
      <w:r w:rsidR="0043455F">
        <w:rPr>
          <w:rFonts w:ascii="Times New Roman" w:hAnsi="Times New Roman" w:cs="Times New Roman"/>
        </w:rPr>
        <w:t xml:space="preserve">between label type </w:t>
      </w:r>
      <w:r w:rsidR="00441379">
        <w:rPr>
          <w:rFonts w:ascii="Times New Roman" w:hAnsi="Times New Roman" w:cs="Times New Roman"/>
        </w:rPr>
        <w:t xml:space="preserve">(Figure </w:t>
      </w:r>
      <w:r w:rsidR="00CB6A40">
        <w:rPr>
          <w:rFonts w:ascii="Times New Roman" w:hAnsi="Times New Roman" w:cs="Times New Roman"/>
        </w:rPr>
        <w:t>5</w:t>
      </w:r>
      <w:r w:rsidR="00441379">
        <w:rPr>
          <w:rFonts w:ascii="Times New Roman" w:hAnsi="Times New Roman" w:cs="Times New Roman"/>
        </w:rPr>
        <w:t>).</w:t>
      </w:r>
      <w:r w:rsidR="0043455F">
        <w:rPr>
          <w:rFonts w:ascii="Times New Roman" w:hAnsi="Times New Roman" w:cs="Times New Roman"/>
        </w:rPr>
        <w:t xml:space="preserve"> </w:t>
      </w:r>
      <w:r w:rsidR="009903F3">
        <w:rPr>
          <w:rFonts w:ascii="Times New Roman" w:hAnsi="Times New Roman" w:cs="Times New Roman"/>
        </w:rPr>
        <w:t>Out of 43 phyla, only 3 were different (</w:t>
      </w:r>
      <w:r w:rsidR="009903F3">
        <w:rPr>
          <w:rFonts w:ascii="Times New Roman" w:hAnsi="Times New Roman" w:cs="Times New Roman"/>
          <w:i/>
          <w:iCs/>
        </w:rPr>
        <w:t>P &lt;</w:t>
      </w:r>
      <w:r w:rsidR="009903F3">
        <w:rPr>
          <w:rFonts w:ascii="Times New Roman" w:hAnsi="Times New Roman" w:cs="Times New Roman"/>
        </w:rPr>
        <w:t xml:space="preserve"> 0.05) in relative abundance, with CONV samples containing increased proportions of Proteobacteria and decreased Planctomycetes and Crenarchaeota compared to RWA samples (Supplemental File 6).</w:t>
      </w:r>
      <w:r w:rsidR="004B27F1">
        <w:rPr>
          <w:rFonts w:ascii="Times New Roman" w:hAnsi="Times New Roman" w:cs="Times New Roman"/>
        </w:rPr>
        <w:t xml:space="preserve"> </w:t>
      </w:r>
      <w:r w:rsidR="009903F3">
        <w:rPr>
          <w:rFonts w:ascii="Times New Roman" w:hAnsi="Times New Roman" w:cs="Times New Roman"/>
        </w:rPr>
        <w:t xml:space="preserve">Out of 11 classes that were differentially abundant between treatment groups, </w:t>
      </w:r>
      <w:r w:rsidR="009903F3">
        <w:rPr>
          <w:rFonts w:ascii="Times New Roman" w:hAnsi="Times New Roman" w:cs="Times New Roman"/>
        </w:rPr>
        <w:lastRenderedPageBreak/>
        <w:t xml:space="preserve">Gammaproteobacteria and Clostridia were found in higher relative abundances in CONV samples with the other 9 classes found in lower abundance in RWA samples (Supplemental File 6). </w:t>
      </w:r>
      <w:r w:rsidR="0043455F">
        <w:rPr>
          <w:rFonts w:ascii="Times New Roman" w:hAnsi="Times New Roman" w:cs="Times New Roman"/>
        </w:rPr>
        <w:t>Indeed,</w:t>
      </w:r>
      <w:r w:rsidR="00F96CEF">
        <w:rPr>
          <w:rFonts w:ascii="Times New Roman" w:hAnsi="Times New Roman" w:cs="Times New Roman"/>
        </w:rPr>
        <w:t xml:space="preserve"> </w:t>
      </w:r>
      <w:r w:rsidR="001555D2">
        <w:rPr>
          <w:rFonts w:ascii="Times New Roman" w:hAnsi="Times New Roman" w:cs="Times New Roman"/>
        </w:rPr>
        <w:t xml:space="preserve">like in the resistome </w:t>
      </w:r>
      <w:r w:rsidR="00AB4C32">
        <w:rPr>
          <w:rFonts w:ascii="Times New Roman" w:hAnsi="Times New Roman" w:cs="Times New Roman"/>
        </w:rPr>
        <w:t>ordination</w:t>
      </w:r>
      <w:r w:rsidR="001555D2">
        <w:rPr>
          <w:rFonts w:ascii="Times New Roman" w:hAnsi="Times New Roman" w:cs="Times New Roman"/>
        </w:rPr>
        <w:t>,</w:t>
      </w:r>
      <w:r w:rsidR="00AB4C32">
        <w:rPr>
          <w:rFonts w:ascii="Times New Roman" w:hAnsi="Times New Roman" w:cs="Times New Roman"/>
        </w:rPr>
        <w:t xml:space="preserve"> samples from different retail stores</w:t>
      </w:r>
      <w:r w:rsidR="001555D2">
        <w:rPr>
          <w:rFonts w:ascii="Times New Roman" w:hAnsi="Times New Roman" w:cs="Times New Roman"/>
        </w:rPr>
        <w:t xml:space="preserve"> </w:t>
      </w:r>
      <w:r w:rsidR="00AB4C32">
        <w:rPr>
          <w:rFonts w:ascii="Times New Roman" w:hAnsi="Times New Roman" w:cs="Times New Roman"/>
        </w:rPr>
        <w:t>were significantly clustered</w:t>
      </w:r>
      <w:r w:rsidR="001555D2">
        <w:rPr>
          <w:rFonts w:ascii="Times New Roman" w:hAnsi="Times New Roman" w:cs="Times New Roman"/>
        </w:rPr>
        <w:t xml:space="preserve"> at the</w:t>
      </w:r>
      <w:r w:rsidR="00AB4C32" w:rsidRPr="00AB4C32">
        <w:rPr>
          <w:rFonts w:ascii="Times New Roman" w:hAnsi="Times New Roman" w:cs="Times New Roman"/>
        </w:rPr>
        <w:t xml:space="preserve"> </w:t>
      </w:r>
      <w:r w:rsidR="00AB4C32">
        <w:rPr>
          <w:rFonts w:ascii="Times New Roman" w:hAnsi="Times New Roman" w:cs="Times New Roman"/>
        </w:rPr>
        <w:t>phylum (R = 0.24, P &lt; 0.05), class (R = 0.32, P &lt; 0.05), and order (R = 0.29, P &lt; 0.05) levels (Supplemental Figure 5).</w:t>
      </w:r>
      <w:r w:rsidR="001F1939">
        <w:rPr>
          <w:rFonts w:ascii="Times New Roman" w:hAnsi="Times New Roman" w:cs="Times New Roman"/>
        </w:rPr>
        <w:t xml:space="preserve"> Microbiome composition also</w:t>
      </w:r>
      <w:r w:rsidR="00B1694E">
        <w:rPr>
          <w:rFonts w:ascii="Times New Roman" w:hAnsi="Times New Roman" w:cs="Times New Roman"/>
        </w:rPr>
        <w:t xml:space="preserve"> clustered</w:t>
      </w:r>
      <w:r w:rsidR="002D7809">
        <w:rPr>
          <w:rFonts w:ascii="Times New Roman" w:hAnsi="Times New Roman" w:cs="Times New Roman"/>
        </w:rPr>
        <w:t xml:space="preserve"> </w:t>
      </w:r>
      <w:r w:rsidR="00B1694E">
        <w:rPr>
          <w:rFonts w:ascii="Times New Roman" w:hAnsi="Times New Roman" w:cs="Times New Roman"/>
        </w:rPr>
        <w:t xml:space="preserve">with </w:t>
      </w:r>
      <w:r w:rsidR="001F1939">
        <w:rPr>
          <w:rFonts w:ascii="Times New Roman" w:hAnsi="Times New Roman" w:cs="Times New Roman"/>
        </w:rPr>
        <w:t>greater</w:t>
      </w:r>
      <w:r w:rsidR="00B1694E">
        <w:rPr>
          <w:rFonts w:ascii="Times New Roman" w:hAnsi="Times New Roman" w:cs="Times New Roman"/>
        </w:rPr>
        <w:t xml:space="preserve"> R values b</w:t>
      </w:r>
      <w:r w:rsidR="001F1939">
        <w:rPr>
          <w:rFonts w:ascii="Times New Roman" w:hAnsi="Times New Roman" w:cs="Times New Roman"/>
        </w:rPr>
        <w:t xml:space="preserve">ased on </w:t>
      </w:r>
      <w:r w:rsidR="002D7809">
        <w:rPr>
          <w:rFonts w:ascii="Times New Roman" w:hAnsi="Times New Roman" w:cs="Times New Roman"/>
        </w:rPr>
        <w:t>sample</w:t>
      </w:r>
      <w:r w:rsidR="001F1939">
        <w:rPr>
          <w:rFonts w:ascii="Times New Roman" w:hAnsi="Times New Roman" w:cs="Times New Roman"/>
        </w:rPr>
        <w:t xml:space="preserve"> packaging type</w:t>
      </w:r>
      <w:r w:rsidR="00B1694E">
        <w:rPr>
          <w:rFonts w:ascii="Times New Roman" w:hAnsi="Times New Roman" w:cs="Times New Roman"/>
        </w:rPr>
        <w:t xml:space="preserve">, at the </w:t>
      </w:r>
      <w:r w:rsidR="00AB4C32">
        <w:rPr>
          <w:rFonts w:ascii="Times New Roman" w:hAnsi="Times New Roman" w:cs="Times New Roman"/>
        </w:rPr>
        <w:t xml:space="preserve">phylum (R = 0.37, P &lt; 0.05), class (R = 0.37, P &lt; 0.05), and order (R = 0.4, P &lt; 0.05) levels. </w:t>
      </w:r>
    </w:p>
    <w:p w:rsidR="00F21692" w:rsidRDefault="00F21692">
      <w:pPr>
        <w:pStyle w:val="Standard"/>
        <w:tabs>
          <w:tab w:val="left" w:pos="720"/>
        </w:tabs>
        <w:spacing w:line="480" w:lineRule="auto"/>
        <w:rPr>
          <w:rFonts w:ascii="Times New Roman" w:hAnsi="Times New Roman" w:cs="Times New Roman"/>
        </w:rPr>
      </w:pP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b/>
          <w:bCs/>
        </w:rPr>
        <w:t>DISCUSSION</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ab/>
        <w:t xml:space="preserve">Our results suggest that the overall resistome composition of retail ground beef products with RWA packaging labels do not differ from products </w:t>
      </w:r>
      <w:r w:rsidR="0099097A">
        <w:rPr>
          <w:rFonts w:ascii="Times New Roman" w:hAnsi="Times New Roman" w:cs="Times New Roman"/>
        </w:rPr>
        <w:t>not carrying</w:t>
      </w:r>
      <w:r>
        <w:rPr>
          <w:rFonts w:ascii="Times New Roman" w:hAnsi="Times New Roman" w:cs="Times New Roman"/>
        </w:rPr>
        <w:t xml:space="preserve"> claims regarding antimicrobial drug exposures during cattle production (Figure 2) (Figure 3). This research adds to the growing body of literature suggesting that AMD use in livestock production does not have a strong impact</w:t>
      </w:r>
      <w:r w:rsidR="00923A0B">
        <w:rPr>
          <w:rFonts w:ascii="Times New Roman" w:hAnsi="Times New Roman" w:cs="Times New Roman"/>
        </w:rPr>
        <w:t>, compared to other factors,</w:t>
      </w:r>
      <w:r>
        <w:rPr>
          <w:rFonts w:ascii="Times New Roman" w:hAnsi="Times New Roman" w:cs="Times New Roman"/>
        </w:rPr>
        <w:t xml:space="preserve"> on</w:t>
      </w:r>
      <w:r w:rsidR="00311ADF">
        <w:rPr>
          <w:rFonts w:ascii="Times New Roman" w:hAnsi="Times New Roman" w:cs="Times New Roman"/>
        </w:rPr>
        <w:t xml:space="preserve"> the metagenomic resistance of</w:t>
      </w:r>
      <w:r>
        <w:rPr>
          <w:rFonts w:ascii="Times New Roman" w:hAnsi="Times New Roman" w:cs="Times New Roman"/>
        </w:rPr>
        <w:t xml:space="preserve"> bacteria </w:t>
      </w:r>
      <w:r w:rsidR="00311ADF">
        <w:rPr>
          <w:rFonts w:ascii="Times New Roman" w:hAnsi="Times New Roman" w:cs="Times New Roman"/>
        </w:rPr>
        <w:t>populations</w:t>
      </w:r>
      <w:r>
        <w:rPr>
          <w:rFonts w:ascii="Times New Roman" w:hAnsi="Times New Roman" w:cs="Times New Roman"/>
        </w:rPr>
        <w:t xml:space="preserve"> on </w:t>
      </w:r>
      <w:r w:rsidR="00311ADF">
        <w:rPr>
          <w:rFonts w:ascii="Times New Roman" w:hAnsi="Times New Roman" w:cs="Times New Roman"/>
        </w:rPr>
        <w:t>beef</w:t>
      </w:r>
      <w:r>
        <w:rPr>
          <w:rFonts w:ascii="Times New Roman" w:hAnsi="Times New Roman" w:cs="Times New Roman"/>
        </w:rPr>
        <w:t xml:space="preserve"> products </w:t>
      </w:r>
      <w:r>
        <w:fldChar w:fldCharType="begin"/>
      </w:r>
      <w:r>
        <w:rPr>
          <w:rFonts w:ascii="Times New Roman" w:hAnsi="Times New Roman" w:cs="Times New Roman"/>
        </w:rPr>
        <w:instrText>ADDIN ZOTERO_ITEM CSL_CITATION {"citationID":"c84Pw9bu","properties":{"formattedCitation":"(Vikram et al., 2017, 2017, 2018; Weinroth et al., 2018)","plainCitation":"(Vikram et al., 2017, 2017, 2018; Weinroth et al., 2018)","noteIndex":0},"citationItems":[{"id":386,"uris":["http://zotero.org/users/2162098/items/WDYCS82J"],"uri":["http://zotero.org/users/2162098/items/WDYCS82J"],"itemData":{"id":386,"type":"article-journal","abstract":"The specific antimicrobial resistance (AMR) decreases that can be expected from reducing antimicrobial (AM) use in U.S. beef production have not been defined. To address this data gap, feces were recovered from 36 lots of “raised without antibiotics” (RWA) and 36 lots of “conventional” (CONV) beef cattle. Samples (n = 719) were collected during harvest and distributed over a year. AMR was assessed by (i) the culture of six AM-resistant bacteria (ARB), (ii) quantitative PCR (qPCR) for 10 AMR genes (ARGs), (iii) a qPCR array of 84 ARGs, and (iv) metagenomic sequencing. Generally, AMR levels were similar, but some were higher in CONV beef cattle. The prevalence of third-generation cephalosporin-resistant (3GCr) Escherichia coli was marginally different between production systems (CONV, 47.5%; RWA, 34.8%; P = 0.04), but the seasonal effect (summer, 92.8%; winter, 48.3%; P &lt; 0.01) was greater. Erythromycin-resistant (ERYr) Enterococcus sp. concentrations significantly differed between production systems (CONV, 1.91 log10 CFU/g; RWA, 0.73 log10 CFU/g; P &lt; 0.01). Levels of aadA1, ant(6)-I, blaACI, erm(A), erm(B), erm(C), erm(F), erm(Q), tet(A), tet(B), tet(M), and tet(X) ARGs were higher (P &lt; 0.05) in the CONV system. Aggregate abundances of all 43 ARGs detected by metagenomic sequencing and the aggregate abundances of ARGs in the aminoglycoside, β-lactam, macrolide-lincosamide-streptogramin B (MLS), and tetracycline AM classes did not differ (log2 fold change &lt; 1.0) between CONV and RWA systems. These results suggest that further reductions of AM use in U.S. beef cattle production may not yield significant AMR reductions beyond MLS and tetracycline resistance.\nIMPORTANCE The majority of antimicrobial (AM) use in the United States is for food-animal production, leading to concerns that typical AM use patterns during “conventional” (CONV) beef cattle production in the United States contribute broadly to antimicrobial resistance (AMR) occurrence. In the present study, levels of AMR were generally similar between CONV and “raised without antibiotics” (RWA) cattle. Only a limited number of modest AMR increases was observed in CONV cattle, primarily involving macrolide-lincosamide-streptogramin B (MLS) and tetracycline resistance. Macrolides (tylosin) and tetracyclines (chlortetracycline) are administered in-feed for relatively long durations to reduce liver abscesses. To ensure judicious AM use, the animal health, economic, and AMR impacts of shorter duration in-feed administration of these AMs should be examined. However, given the modest AMR reductions observed, further reductions of AM use in U.S. beef cattle production may not yield significant AMR reductions beyond MLS and tetracycline resistance.","container-title":"Appl. Environ. Microbiol.","DOI":"10.1128/AEM.01682-17","ISSN":"0099-2240, 1098-5336","issue":"22","journalAbbreviation":"Appl. Environ. Microbiol.","language":"en","note":"PMID: 28887421","page":"e01682-17","source":"aem.asm.org","title":"Impact of “Raised without Antibiotics” Beef Cattle Production Practices on Occurrences of Antimicrobial Resistance","volume":"83","author":[{"family":"Vikram","given":"Amit"},{"family":"Rovira","given":"Pablo"},{"family":"Agga","given":"Getahun E."},{"family":"Arthur","given":"Terrance M."},{"family":"Bosilevac","given":"Joseph M."},{"family":"Wheeler","given":"Tommy L."},{"family":"Morley","given":"Paul S."},{"family":"Belk","given":"Keith E."},{"family":"Schmidt","given":"John W."}],"issued":{"date-parts":[["2017",11,15]]}}},{"id":386,"uris":["http://zotero.org/users/2162098/items/WDYCS82J"],"uri":["http://zotero.org/users/2162098/items/WDYCS82J"],"itemData":{"id":386,"type":"article-journal","abstract":"The specific antimicrobial resistance (AMR) decreases that can be expected from reducing antimicrobial (AM) use in U.S. beef production have not been defined. To address this data gap, feces were recovered from 36 lots of “raised without antibiotics” (RWA) and 36 lots of “conventional” (CONV) beef cattle. Samples (n = 719) were collected during harvest and distributed over a year. AMR was assessed by (i) the culture of six AM-resistant bacteria (ARB), (ii) quantitative PCR (qPCR) for 10 AMR genes (ARGs), (iii) a qPCR array of 84 ARGs, and (iv) metagenomic sequencing. Generally, AMR levels were similar, but some were higher in CONV beef cattle. The prevalence of third-generation cephalosporin-resistant (3GCr) Escherichia coli was marginally different between production systems (CONV, 47.5%; RWA, 34.8%; P = 0.04), but the seasonal effect (summer, 92.8%; winter, 48.3%; P &lt; 0.01) was greater. Erythromycin-resistant (ERYr) Enterococcus sp. concentrations significantly differed between production systems (CONV, 1.91 log10 CFU/g; RWA, 0.73 log10 CFU/g; P &lt; 0.01). Levels of aadA1, ant(6)-I, blaACI, erm(A), erm(B), erm(C), erm(F), erm(Q), tet(A), tet(B), tet(M), and tet(X) ARGs were higher (P &lt; 0.05) in the CONV system. Aggregate abundances of all 43 ARGs detected by metagenomic sequencing and the aggregate abundances of ARGs in the aminoglycoside, β-lactam, macrolide-lincosamide-streptogramin B (MLS), and tetracycline AM classes did not differ (log2 fold change &lt; 1.0) between CONV and RWA systems. These results suggest that further reductions of AM use in U.S. beef cattle production may not yield significant AMR reductions beyond MLS and tetracycline resistance.\nIMPORTANCE The majority of antimicrobial (AM) use in the United States is for food-animal production, leading to concerns that typical AM use patterns during “conventional” (CONV) beef cattle production in the United States contribute broadly to antimicrobial resistance (AMR) occurrence. In the present study, levels of AMR were generally similar between CONV and “raised without antibiotics” (RWA) cattle. Only a limited number of modest AMR increases was observed in CONV cattle, primarily involving macrolide-lincosamide-streptogramin B (MLS) and tetracycline resistance. Macrolides (tylosin) and tetracyclines (chlortetracycline) are administered in-feed for relatively long durations to reduce liver abscesses. To ensure judicious AM use, the animal health, economic, and AMR impacts of shorter duration in-feed administration of these AMs should be examined. However, given the modest AMR reductions observed, further reductions of AM use in U.S. beef cattle production may not yield significant AMR reductions beyond MLS and tetracycline resistance.","container-title":"Appl. Environ. Microbiol.","DOI":"10.1128/AEM.01682-17","ISSN":"0099-2240, 1098-5336","issue":"22","journalAbbreviation":"Appl. Environ. Microbiol.","language":"en","note":"PMID: 28887421","page":"e01682-17","source":"aem.asm.org","title":"Impact of “Raised without Antibiotics” Beef Cattle Production Practices on Occurrences of Antimicrobial Resistance","volume":"83","author":[{"family":"Vikram","given":"Amit"},{"family":"Rovira","given":"Pablo"},{"family":"Agga","given":"Getahun E."},{"family":"Arthur","given":"Terrance M."},{"family":"Bosilevac","given":"Joseph M."},{"family":"Wheeler","given":"Tommy L."},{"family":"Morley","given":"Paul S."},{"family":"Belk","given":"Keith E."},{"family":"Schmidt","given":"John W."}],"issued":{"date-parts":[["2017",11,15]]}}},{"id":527,"uris":["http://zotero.org/users/2162098/items/SQD4IWDQ"],"uri":["http://zotero.org/users/2162098/items/SQD4IWDQ"],"itemData":{"id":527,"type":"article-journal","abstract":"U.S. ground beef with \"raised without antibiotics\" (RWA) label claims are perceived as harboring fewer bacteria with antimicrobial resistance (AMR) than are found in conventional (CONV) ground beef with no such label claim. A total of 370 ground beef samples from CONV ( n = 191) and RWA ( n = 179) production systems were collected over 13 months from three food service suppliers. The following bacteria were cultured: Escherichia coli, tetracycline-resistant (TETr) E. coli, third-generation cephalosporin-resistant (3GCr) E. coli, Salmonella enterica, TETr S. enterica, 3GCr S. enterica, nalidixic acid-resistant S. enterica, Enterococcus spp., erythromycin-resistant Enterococcus spp., TETr Enterococcus spp., Staphylococcus aureus, and methicillin-resistant S. aureus. TETr E. coli was more frequently detected in CONV ground beef (CONV, 54.2%; RWA, 35.2%; P &lt; 0.01), but supplier ( P &lt; 0.01) and production system × suppler interaction ( P &lt; 0.01) effects were also significant. Metagenomic DNA was isolated from each sample, and equal amounts of metagenomic DNA were pooled by supplier, month, and production system for 75 pooled samples (38 CONV, 37 RWA). The abundance of aac(6')-Ie-aph(2″)-Ia, aadA1, blaCMY-2, blaCTX-M, blaKPC-2, erm(B), mecA, tet(A), tet(B), and tet(M) genes was assessed by quantitative PCR. The tet(A) (2.9-log2-fold change, P = 0.04) and tet(B) (5.6-log2-fold change) ( P = 0.03) genes were significantly more abundant in RWA ground beef. Phylogenetic analyses revealed that ground beef microbiomes differed more by supplier than by production system. These results were consistent with prior research suggesting antimicrobial use in U.S. beef cattle has minimal impact on the AMR of bacteria found in these products. These results should spur a reevaluation of assumptions regarding the impact of antimicrobial use during U.S. beef production on the AMR of bacteria in ground beef.","container-title":"Journal of Food Protection","DOI":"10.4315/0362-028X.JFP-18-299","ISSN":"1944-9097","issue":"12","journalAbbreviation":"J. Food Prot.","language":"eng","note":"PMID: 30476443","page":"2007-2018","source":"PubMed","title":"Similar Levels of Antimicrobial Resistance in U.S. Food Service Ground Beef Products with and without a \"Raised without Antibiotics\" Claim","volume":"81","author":[{"family":"Vikram","given":"Amit"},{"family":"Miller","given":"Eric"},{"family":"Arthur","given":"Terrance M."},{"family":"Bosilevac","given":"Joseph M."},{"family":"Wheeler","given":"Tommy L."},{"family":"Schmidt","given":"John W."}],"issued":{"date-parts":[["2018",12]]}}},{"id":458,"uris":["http://zotero.org/users/2162098/items/Y4TMWH8B"],"uri":["http://zotero.org/users/2162098/items/Y4TMWH8B"],"itemData":{"id":458,"type":"article-journal","abstract":"Treatment of food-producing animals with antimicrobial drugs (AMD) is controversial because of concerns regarding promotion of antimicrobial resistance (AMR). To investigate this concern, resistance genes in metagenomic bovine fecal samples during a clinical trial were analyzed to assess the impacts of treatment on beef feedlot cattle resistomes. Four groups of cattle were exposed, using a 2-by-2 factorial design, to different regimens of antimicrobial treatment. Injections of ceftiofur crystalline-free acid (a third-generation cephalosporin) were used to treat all cattle in treatment pens or only a single animal, and either chlortetracycline was included in the feed of all cattle in a pen or the feed was untreated. On days 0 and 26, respectively, pre- and posttrial fecal samples were collected, and resistance genes were characterized using shotgun metagenomics. Treatment with ceftiofur was not associated with changes to β-lactam resistance genes. However, cattle fed chlortetracycline had a significant increase in relative abundance of tetracycline resistance genes. There was also an increase of an AMR class not administered during the study, which is a possible indicator of coselection of resistance genes. Samples analyzed in this study had previously been evaluated by culture characterization (Escherichia coli and Salmonella) and quantitative PCR (qPCR) of metagenomic fecal DNA, which allowed comparison of results with this study. In the majority of samples, genes that were selectively enriched through culture and qPCR were not identified through shotgun metagenomic sequencing in this study, suggesting that changes previously documented did not reflect changes affecting the majority of bacterial genetic elements found in the predominant fecal resistome.\nIMPORTANCE Despite significant concerns about public health implications of AMR in relation to use of AMD in food animals, there are many unknowns about the long- and short-term impact of common uses of AMD for treatment, control, and prevention of disease. Additionally, questions commonly arise regarding how to best measure and quantify AMR genes in relation to public health risks and how to determine which genes are most important. These data provide an introductory view of the utility of using shotgun metagenomic sequencing data as an outcome for clinical trials evaluating the impact of using AMD in food animals.","container-title":"Applied and Environmental Microbiology","DOI":"10.1128/AEM.00610-18","ISSN":"0099-2240, 1098-5336","issue":"13","journalAbbreviation":"Appl. Environ. Microbiol.","language":"en","note":"PMID: 29728379","page":"e00610-18","source":"aem.asm.org","title":"Effects of Ceftiofur and Chlortetracycline on the Resistomes of Feedlot Cattle","volume":"84","author":[{"family":"Weinroth","given":"Margaret D."},{"family":"Scott","given":"H. Morgan"},{"family":"Norby","given":"Bo"},{"family":"Loneragan","given":"Guy H."},{"family":"Noyes","given":"Noelle R."},{"family":"Rovira","given":"Pablo"},{"family":"Doster","given":"Enrique"},{"family":"Yang","given":"Xiang"},{"family":"Woerner","given":"Dale R."},{"family":"Morley","given":"Paul S."},{"family":"Belk","given":"Keith E."}],"issued":{"date-parts":[["2018",7,1]]}}}],"schema":"https://github.com/citation-style-language/schema/raw/master/csl-citation.json"}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rPr>
        <w:t>(Vikram et al., 2017, 2017, 2018; Weinroth et al., 2018)</w:t>
      </w:r>
      <w:bookmarkStart w:id="91" w:name="Bookmark2711"/>
      <w:bookmarkStart w:id="92" w:name="Bookmark302"/>
      <w:bookmarkStart w:id="93" w:name="Bookmark301"/>
      <w:r>
        <w:rPr>
          <w:rFonts w:ascii="Times New Roman" w:hAnsi="Times New Roman" w:cs="Times New Roman"/>
        </w:rPr>
        <w:fldChar w:fldCharType="end"/>
      </w:r>
      <w:bookmarkEnd w:id="91"/>
      <w:bookmarkEnd w:id="92"/>
      <w:bookmarkEnd w:id="93"/>
      <w:r>
        <w:rPr>
          <w:rFonts w:ascii="Times New Roman" w:hAnsi="Times New Roman" w:cs="Times New Roman"/>
        </w:rPr>
        <w:t>.</w:t>
      </w:r>
      <w:r w:rsidR="009903F3">
        <w:rPr>
          <w:rFonts w:ascii="Times New Roman" w:hAnsi="Times New Roman" w:cs="Times New Roman"/>
        </w:rPr>
        <w:t xml:space="preserve"> </w:t>
      </w:r>
      <w:r>
        <w:rPr>
          <w:rFonts w:ascii="Times New Roman" w:hAnsi="Times New Roman" w:cs="Times New Roman"/>
        </w:rPr>
        <w:t xml:space="preserve">Antimicrobial drugs are used in animal populations to control, prevent, and treat bacterial diseases, and systematically restricting use can affect animal health and well-being, issues that must be balanced with the production of meat products that are sold with the “Raised Without Antibiotics” label claims </w:t>
      </w:r>
      <w:r>
        <w:fldChar w:fldCharType="begin"/>
      </w:r>
      <w:r>
        <w:rPr>
          <w:rFonts w:ascii="Times New Roman" w:hAnsi="Times New Roman" w:cs="Times New Roman"/>
        </w:rPr>
        <w:instrText>ADDIN ZOTERO_ITEM CSL_CITATION {"citationID":"ytLw3iUb","properties":{"formattedCitation":"(Singer et al., 2019)","plainCitation":"(Singer et al., 2019)","noteIndex":0},"citationItems":[{"id":2693,"uris":["http://zotero.org/users/2162098/items/FGLTPHXU"],"uri":["http://zotero.org/users/2162098/items/FGLTPHXU"],"itemData":{"id":2693,"type":"article-journal","abstract":"Ensuring the safety, health, and overall well-being of animals raised for food is both an ethical obligation and a critical component of providing safe food products. The use of antibiotics for maintaining animal health has come under scrutiny in recent years due to the rise of antibiotic resistance globally. Some U.S. producers, especially in the poultry industry, have responded by eliminating their antibiotic use. The number of animals raised without antibiotics (RWA) is growing in the U.S., but there are concerns that RWA practices might negatively impact animal health and welfare. Therefore, the objective of this study was to survey U.S. veterinarians and producers about their experiences and opinions regarding RWA production. Veterinarians, farmers, ranchers, producers, and other stakeholders involved in raising broilers, turkeys, swine, beef cattle or dairy cattle were surveyed. Of the 565 completed responses received, 442 self-reported as practicing veterinarians or producers. Just over half of respondents reported having past or current experience with RWA programs. The main indicated reasons for raising animals without antibiotics were market driven; switching to RWA production was less commonly made for health-related reasons, such as to reduce antibiotic resistance or to improve animal health and welfare. Although respondents felt that RWA production has negative impacts on animal health and welfare, they overwhelmingly (&gt;70%) indicated that the customer (retailer/restaurant/food service) believes that animal and health welfare will be significantly improved. Veterinarians and producers indicated that RWA programs will increase production costs with questionable effect on meat, egg or dairy consumer demand. Many respondents felt that there are times when the RWA label takes priority over animal health and welfare. Respondents generally felt that there was a need for increased auditing/assessment of animal health and welfare in RWA systems.","container-title":"Frontiers in Veterinary Science","DOI":"10.3389/fvets.2019.00452","ISSN":"2297-1769","journalAbbreviation":"Front Vet Sci","note":"PMID: 31867349\nPMCID: PMC6910073","source":"PubMed Central","title":"Raising Animals Without Antibiotics: U.S. Producer and Veterinarian Experiences and Opinions","title-short":"Raising Animals Without Antibiotics","URL":"https://www.ncbi.nlm.nih.gov/pmc/articles/PMC6910073/","volume":"6","author":[{"family":"Singer","given":"Randall S."},{"family":"Porter","given":"Leah J."},{"family":"Thomson","given":"Daniel U."},{"family":"Gage","given":"Mallory"},{"family":"Beaudoin","given":"Amanda"},{"family":"Wishnie","given":"Jennifer K."}],"accessed":{"date-parts":[["2020",2,12]]},"issued":{"date-parts":[["2019",12,6]]}}}],"schema":"https://github.com/citation-style-language/schema/raw/master/csl-citation.json"}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rPr>
        <w:t>(Singer et al., 2019)</w:t>
      </w:r>
      <w:bookmarkStart w:id="94" w:name="Bookmark322"/>
      <w:bookmarkStart w:id="95" w:name="Bookmark321"/>
      <w:bookmarkStart w:id="96" w:name="Bookmark2811"/>
      <w:r>
        <w:rPr>
          <w:rFonts w:ascii="Times New Roman" w:hAnsi="Times New Roman" w:cs="Times New Roman"/>
        </w:rPr>
        <w:fldChar w:fldCharType="end"/>
      </w:r>
      <w:bookmarkEnd w:id="94"/>
      <w:bookmarkEnd w:id="95"/>
      <w:bookmarkEnd w:id="96"/>
      <w:r>
        <w:rPr>
          <w:rFonts w:ascii="Times New Roman" w:hAnsi="Times New Roman" w:cs="Times New Roman"/>
        </w:rPr>
        <w:t>.</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ab/>
        <w:t>The novel target-enriched resistome sequencing employed in this study was essential to the success of these investigations, especially considering the low microbial abundance and high amounts of host (off-target) DNA. Previous investigations of metagenomic sequencing of feces suggested that our system of target-enriched sequencing created an average of 4xlog</w:t>
      </w:r>
      <w:r>
        <w:rPr>
          <w:rFonts w:ascii="Times New Roman" w:hAnsi="Times New Roman" w:cs="Times New Roman"/>
          <w:vertAlign w:val="subscript"/>
        </w:rPr>
        <w:t>10</w:t>
      </w:r>
      <w:r>
        <w:rPr>
          <w:rFonts w:ascii="Times New Roman" w:hAnsi="Times New Roman" w:cs="Times New Roman"/>
        </w:rPr>
        <w:t xml:space="preserve"> increase in </w:t>
      </w:r>
      <w:r>
        <w:rPr>
          <w:rFonts w:ascii="Times New Roman" w:hAnsi="Times New Roman" w:cs="Times New Roman"/>
        </w:rPr>
        <w:lastRenderedPageBreak/>
        <w:t>on-target sequencing depth among common taxa (i.e., those with relative abundance &gt;2; Noyes et al., 2017). A previous investigation of resistome ecology in beef production systems did not identify any reads aligning to AMR determinants using shotgun sequencing of beef rinsates with an average sequencing depth of 6×10</w:t>
      </w:r>
      <w:r>
        <w:rPr>
          <w:rFonts w:ascii="Times New Roman" w:hAnsi="Times New Roman" w:cs="Times New Roman"/>
          <w:vertAlign w:val="superscript"/>
        </w:rPr>
        <w:t>7</w:t>
      </w:r>
      <w:r>
        <w:rPr>
          <w:rFonts w:ascii="Times New Roman" w:hAnsi="Times New Roman" w:cs="Times New Roman"/>
        </w:rPr>
        <w:t xml:space="preserve"> reads per sample </w:t>
      </w:r>
      <w:r>
        <w:fldChar w:fldCharType="begin"/>
      </w:r>
      <w:r>
        <w:rPr>
          <w:rFonts w:ascii="Times New Roman" w:hAnsi="Times New Roman" w:cs="Times New Roman"/>
        </w:rPr>
        <w:instrText>ADDIN ZOTERO_ITEM CSL_CITATION {"citationID":"vCqhiyK7","properties":{"formattedCitation":"(Noyes et al., 2016b)","plainCitation":"(Noyes et al., 2016b)","noteIndex":0},"citationItems":[{"id":170,"uris":["http://zotero.org/users/2162098/items/V7XKUHZJ"],"uri":["http://zotero.org/users/2162098/items/V7XKUHZJ"],"itemData":{"id":170,"type":"article-journal","abstract":"When bacteria become resistant to antibiotics, it becomes difficult or impossible to treat infections in both people and animals. Antibiotic resistance is a growing problem, and many fear a “post-antibiotic era” in which common infections become life threatening. In order to slow the spread of antibiotic resistance, it is important to understand how and where this resistance develops. In general, using antibiotics increases the likelihood that bacteria will develop resistance. Therefore, locations where antibiotics are commonly used – such as hospitals, long-term care facilities, livestock facilities (such as feedlots) and crop production areas (such as orchards) – may help antibiotic resistance to develop and spread. However, it is largely unknown how much each location promotes the emergence of antibiotic-resistant bacteria. Until recently, we have only been able to investigate how resistance develops in bacteria grown in a laboratory; or to look for a handful of specific resistance genes in a sample of bacteria collected from people, animals or the environment. Fortunately, a technology called next-generation sequencing now allows us to look at all the resistance genes within all the bacteria in a sample. This may help us to improve our understanding of how and where resistance develops and spreads. Noyes et al. have now used next-generation sequencing to describe the antibiotic resistance potential (known as the “resistome”) found in various types of samples collected from feedlots and slaughterhouses involved in producing beef. This showed that the number of different resistance genes in the samples decreased while cattle were in the feedlot and during the slaughter process. Several groups of resistance genes that were detected when the cattle first arrived in the feedlot were not detected at all at the end of the feedlot period. However, some resistance genes were detected throughout the feedlot period, and these tended to be resistance genes that allow the bacteria to evade the same antibiotics that were used in the cattle. In addition, no resistance genes of any type were detected in the samples collected after the cattle had been slaughtered. As well as providing insights into the resistome of beef production, Noyes et al.’s study also highlights the fact that we need to develop a deeper understanding of the data that come from next-generation sequencing. This may involve developing new laboratory techniques and creating new methods to analyze such data.","container-title":"eLife","DOI":"10.7554/eLife.13195","ISSN":"2050-084X","language":"en","page":"e13195","source":"elifesciences.org","title":"Resistome diversity in cattle and the environment decreases during beef production","volume":"5","author":[{"family":"Noyes","given":"Noelle R."},{"family":"Yang","given":"Xiang"},{"family":"Linke","given":"Lyndsey M."},{"family":"Magnuson","given":"Roberta J."},{"family":"Dettenwanger","given":"Adam"},{"family":"Cook","given":"Shaun"},{"family":"Geornaras","given":"Ifigenia"},{"family":"Woerner","given":"Dale E."},{"family":"Gow","given":"Sheryl P."},{"family":"McAllister","given":"Tim A."},{"family":"Yang","given":"Hua"},{"family":"Ruiz","given":"Jaime"},{"family":"Jones","given":"Kenneth L."},{"family":"Boucher","given":"Christina A."},{"family":"Morley","given":"Paul S."},{"family":"Belk","given":"Keith E."}],"issued":{"date-parts":[["2016",3,8]]}}}],"schema":"https://github.com/citation-style-language/schema/raw/master/csl-citation.json"}</w:instrText>
      </w:r>
      <w:r>
        <w:rPr>
          <w:rFonts w:ascii="Times New Roman" w:hAnsi="Times New Roman" w:cs="Times New Roman"/>
        </w:rPr>
        <w:fldChar w:fldCharType="separate"/>
      </w:r>
      <w:bookmarkStart w:id="97" w:name="Bookmark3311"/>
      <w:bookmarkStart w:id="98" w:name="Bookmark331"/>
      <w:bookmarkStart w:id="99" w:name="Bookmark2911"/>
      <w:r>
        <w:rPr>
          <w:rFonts w:ascii="Times New Roman" w:hAnsi="Times New Roman" w:cs="Times New Roman"/>
        </w:rPr>
        <w:t>(Noyes et al., 2016b)</w:t>
      </w:r>
      <w:r>
        <w:rPr>
          <w:rFonts w:ascii="Times New Roman" w:hAnsi="Times New Roman" w:cs="Times New Roman"/>
        </w:rPr>
        <w:fldChar w:fldCharType="end"/>
      </w:r>
      <w:bookmarkEnd w:id="97"/>
      <w:bookmarkEnd w:id="98"/>
      <w:bookmarkEnd w:id="99"/>
      <w:r>
        <w:rPr>
          <w:rFonts w:ascii="Times New Roman" w:hAnsi="Times New Roman" w:cs="Times New Roman"/>
        </w:rPr>
        <w:t>. Together, these previous studies suggest that depth of traditional shotgun sequencing would need to be increased to approximately &gt;6×10</w:t>
      </w:r>
      <w:r>
        <w:rPr>
          <w:rFonts w:ascii="Times New Roman" w:hAnsi="Times New Roman" w:cs="Times New Roman"/>
          <w:vertAlign w:val="superscript"/>
        </w:rPr>
        <w:t>11</w:t>
      </w:r>
      <w:r>
        <w:rPr>
          <w:rFonts w:ascii="Times New Roman" w:hAnsi="Times New Roman" w:cs="Times New Roman"/>
        </w:rPr>
        <w:t xml:space="preserve"> reads per sample to provide a similar ability investigate the resistome of beef products as demonstrated herein. Despite this target enrichment, the relatively low numbers of hits in these samples reaffirms the low microbial biomass that can be found in retail beef products in the United States. While target-enriched sequencing provides significant opportunities for resistome investigations, the library preparation costs are higher. Consultation with scientists from the manufacturer led to a hypothesis that target enrichment in ground beef samples may be improved by reducing the concentration of baits used in the library preparation. Results comparing technical replicate samples prepared with full- and half-concentration baits were not significantly different (Figure 1</w:t>
      </w:r>
      <w:r w:rsidR="00923A0B">
        <w:rPr>
          <w:rFonts w:ascii="Times New Roman" w:hAnsi="Times New Roman" w:cs="Times New Roman"/>
        </w:rPr>
        <w:t xml:space="preserve">, </w:t>
      </w:r>
      <w:r w:rsidR="00135B37">
        <w:rPr>
          <w:rFonts w:ascii="Times New Roman" w:hAnsi="Times New Roman" w:cs="Times New Roman"/>
        </w:rPr>
        <w:t>Supplemental Figure 1</w:t>
      </w:r>
      <w:r>
        <w:rPr>
          <w:rFonts w:ascii="Times New Roman" w:hAnsi="Times New Roman" w:cs="Times New Roman"/>
        </w:rPr>
        <w:t>), suggesting that the lower concentration can provide greater efficiency when analyzing microbial populations in samples such as ground beef.</w:t>
      </w:r>
    </w:p>
    <w:p w:rsidR="00635C94" w:rsidRDefault="005C7C99" w:rsidP="00635C94">
      <w:pPr>
        <w:pStyle w:val="Standard"/>
        <w:spacing w:line="480" w:lineRule="auto"/>
        <w:rPr>
          <w:rFonts w:ascii="Times New Roman" w:hAnsi="Times New Roman" w:cs="Times New Roman"/>
        </w:rPr>
      </w:pPr>
      <w:r>
        <w:rPr>
          <w:rFonts w:ascii="Times New Roman" w:hAnsi="Times New Roman" w:cs="Times New Roman"/>
        </w:rPr>
        <w:tab/>
        <w:t xml:space="preserve">To date, there are no other published comparisons of RWA and CONV ground beef products using metagenomic resistome sequencing, but culture-based investigations of beef have found limited differences in abundance of specific target bacteria and resistance genes between the products with different label claims regarding AMD exposures </w:t>
      </w:r>
      <w:r>
        <w:fldChar w:fldCharType="begin"/>
      </w:r>
      <w:r>
        <w:rPr>
          <w:rFonts w:ascii="Times New Roman" w:hAnsi="Times New Roman" w:cs="Times New Roman"/>
        </w:rPr>
        <w:instrText>ADDIN ZOTERO_ITEM CSL_CITATION {"citationID":"pYmWdtgt","properties":{"formattedCitation":"(Vikram et al., 2018)","plainCitation":"(Vikram et al., 2018)","noteIndex":0},"citationItems":[{"id":527,"uris":["http://zotero.org/users/2162098/items/SQD4IWDQ"],"uri":["http://zotero.org/users/2162098/items/SQD4IWDQ"],"itemData":{"id":527,"type":"article-journal","abstract":"U.S. ground beef with \"raised without antibiotics\" (RWA) label claims are perceived as harboring fewer bacteria with antimicrobial resistance (AMR) than are found in conventional (CONV) ground beef with no such label claim. A total of 370 ground beef samples from CONV ( n = 191) and RWA ( n = 179) production systems were collected over 13 months from three food service suppliers. The following bacteria were cultured: Escherichia coli, tetracycline-resistant (TETr) E. coli, third-generation cephalosporin-resistant (3GCr) E. coli, Salmonella enterica, TETr S. enterica, 3GCr S. enterica, nalidixic acid-resistant S. enterica, Enterococcus spp., erythromycin-resistant Enterococcus spp., TETr Enterococcus spp., Staphylococcus aureus, and methicillin-resistant S. aureus. TETr E. coli was more frequently detected in CONV ground beef (CONV, 54.2%; RWA, 35.2%; P &lt; 0.01), but supplier ( P &lt; 0.01) and production system × suppler interaction ( P &lt; 0.01) effects were also significant. Metagenomic DNA was isolated from each sample, and equal amounts of metagenomic DNA were pooled by supplier, month, and production system for 75 pooled samples (38 CONV, 37 RWA). The abundance of aac(6')-Ie-aph(2″)-Ia, aadA1, blaCMY-2, blaCTX-M, blaKPC-2, erm(B), mecA, tet(A), tet(B), and tet(M) genes was assessed by quantitative PCR. The tet(A) (2.9-log2-fold change, P = 0.04) and tet(B) (5.6-log2-fold change) ( P = 0.03) genes were significantly more abundant in RWA ground beef. Phylogenetic analyses revealed that ground beef microbiomes differed more by supplier than by production system. These results were consistent with prior research suggesting antimicrobial use in U.S. beef cattle has minimal impact on the AMR of bacteria found in these products. These results should spur a reevaluation of assumptions regarding the impact of antimicrobial use during U.S. beef production on the AMR of bacteria in ground beef.","container-title":"Journal of Food Protection","DOI":"10.4315/0362-028X.JFP-18-299","ISSN":"1944-9097","issue":"12","journalAbbreviation":"J. Food Prot.","language":"eng","note":"PMID: 30476443","page":"2007-2018","source":"PubMed","title":"Similar Levels of Antimicrobial Resistance in U.S. Food Service Ground Beef Products with and without a \"Raised without Antibiotics\" Claim","volume":"81","author":[{"family":"Vikram","given":"Amit"},{"family":"Miller","given":"Eric"},{"family":"Arthur","given":"Terrance M."},{"family":"Bosilevac","given":"Joseph M."},{"family":"Wheeler","given":"Tommy L."},{"family":"Schmidt","given":"John W."}],"issued":{"date-parts":[["2018",12]]}}}],"schema":"https://github.com/citation-style-language/schema/raw/master/csl-citation.json"}</w:instrText>
      </w:r>
      <w:r>
        <w:rPr>
          <w:rFonts w:ascii="Times New Roman" w:hAnsi="Times New Roman" w:cs="Times New Roman"/>
        </w:rPr>
        <w:fldChar w:fldCharType="separate"/>
      </w:r>
      <w:bookmarkStart w:id="100" w:name="Bookmark3011"/>
      <w:bookmarkStart w:id="101" w:name="Bookmark341"/>
      <w:bookmarkStart w:id="102" w:name="Bookmark3411"/>
      <w:r>
        <w:rPr>
          <w:rFonts w:ascii="Times New Roman" w:hAnsi="Times New Roman" w:cs="Times New Roman"/>
        </w:rPr>
        <w:t>(Vikram et al., 2018)</w:t>
      </w:r>
      <w:r>
        <w:rPr>
          <w:rFonts w:ascii="Times New Roman" w:hAnsi="Times New Roman" w:cs="Times New Roman"/>
        </w:rPr>
        <w:fldChar w:fldCharType="end"/>
      </w:r>
      <w:bookmarkEnd w:id="100"/>
      <w:bookmarkEnd w:id="101"/>
      <w:bookmarkEnd w:id="102"/>
      <w:r>
        <w:rPr>
          <w:rFonts w:ascii="Times New Roman" w:hAnsi="Times New Roman" w:cs="Times New Roman"/>
        </w:rPr>
        <w:t>. The resistome of ground beef samples included in this study was predominated by alignments to gene accessions conferring resistance to tetracycline</w:t>
      </w:r>
      <w:bookmarkStart w:id="103" w:name="__Fieldmark__3411_2727157154"/>
      <w:bookmarkStart w:id="104" w:name="__Fieldmark__12967_2875450830"/>
      <w:bookmarkEnd w:id="103"/>
      <w:bookmarkEnd w:id="104"/>
      <w:r>
        <w:rPr>
          <w:rFonts w:ascii="Times New Roman" w:hAnsi="Times New Roman" w:cs="Times New Roman"/>
        </w:rPr>
        <w:t xml:space="preserve"> drugs.</w:t>
      </w:r>
      <w:r w:rsidR="00D638BF">
        <w:rPr>
          <w:rFonts w:ascii="Times New Roman" w:hAnsi="Times New Roman" w:cs="Times New Roman"/>
        </w:rPr>
        <w:t xml:space="preserve"> These results are consistent with other studies of cattle environments, using both aerobic culture of </w:t>
      </w:r>
      <w:r w:rsidR="00D638BF">
        <w:rPr>
          <w:rFonts w:ascii="Times New Roman" w:hAnsi="Times New Roman" w:cs="Times New Roman"/>
          <w:i/>
          <w:iCs/>
        </w:rPr>
        <w:t xml:space="preserve">Salmonella enterica </w:t>
      </w:r>
      <w:r w:rsidR="00D638BF">
        <w:rPr>
          <w:rFonts w:ascii="Times New Roman" w:hAnsi="Times New Roman" w:cs="Times New Roman"/>
        </w:rPr>
        <w:t xml:space="preserve">and </w:t>
      </w:r>
      <w:r w:rsidR="00D638BF">
        <w:rPr>
          <w:rFonts w:ascii="Times New Roman" w:hAnsi="Times New Roman" w:cs="Times New Roman"/>
          <w:i/>
          <w:iCs/>
        </w:rPr>
        <w:lastRenderedPageBreak/>
        <w:t xml:space="preserve">Campylobacter </w:t>
      </w:r>
      <w:r w:rsidR="00D638BF">
        <w:rPr>
          <w:rFonts w:ascii="Times New Roman" w:hAnsi="Times New Roman" w:cs="Times New Roman"/>
        </w:rPr>
        <w:t xml:space="preserve">spp. as well as recent studies using metagenomic sequencing, which also report tetracycline resistance as one of the most common classes of resistance identified in these samples </w:t>
      </w:r>
      <w:r w:rsidR="00D638BF">
        <w:fldChar w:fldCharType="begin"/>
      </w:r>
      <w:r w:rsidR="00D638BF">
        <w:rPr>
          <w:rFonts w:ascii="Times New Roman" w:hAnsi="Times New Roman" w:cs="Times New Roman"/>
        </w:rPr>
        <w:instrText xml:space="preserve"> ADDIN ZOTERO_ITEM CSL_CITATION {"citationID":"eYtdrea7","properties":{"formattedCitation":"(Zhao et al., 2006, 2010; Noyes et al., 2016b, 2016a; Doster et al., 2018; Weinroth et al., 2018; Huebner et al., 2019)","plainCitation":"(Zhao et al., 2006, 2010; Noyes et al., 2016b, 2016a; Doster et al., 2018; Weinroth et al., 2018; Huebner et al., 2019)","noteIndex":0},"citationItems":[{"id":222,"uris":["http://zotero.org/users/2162098/items/5WBFGZV4"],"uri":["http://zotero.org/users/2162098/items/5WBFGZV4"],"itemData":{"id":222,"type":"article-journal","abstract":"Salmonella isolates were recovered from a monthly sampling of chicken breasts, ground turkey, ground beef, and pork chops purchased from selected grocery stores in six participating FoodNet sites (Connecticut, Georgia, Maryland, Minnesota, Oregon, and Tennessee) in 2002 and an additional two sites in 2003 (California and New York). In 2002 and 2003, a total of 6,046 retail meats were examined, including 1,513 chicken breasts, 1,499 ground turkey samples, 1,522 ground beef samples, and 1,502 pork chops. Retail meat samples tested increased to 3,533 in 2003 as compared to 2,513 in 2002. Overall, six percent of 6,046 retail meat samples (n = 365) were contaminated with Salmonella, the bulk recovered from either ground turkey (52%) or chicken breast (39%). Salmonella isolates were serotyped and susceptibility tested using a panel of 16 antimicrobial agents. S. Heidelberg was the predominant serotype identified (23%), followed by S. Saintpaul (12%), S. Typhimurium (11%), and S. Kentucky (10%). Overall, resistance was most often observed to tetracycline (40%), streptomycin (37%), ampicillin (26%), and sulfamethoxazole (25%). Twelve percent of isolates were resistant to cefoxitin and ceftiofur, though only one isolate was resistant to ceftriaxone. All isolates were susceptible to amikacin and ciprofloxacin; however, 3% of isolates were resistant to nalidixic acid and were almost exclusive to ground turkey samples (n = 11/12). All Salmonella isolates were analyzed for genetic relatedness using pulsed-field gel electrophoresis (PFGE) patterns generated by digestion with Xba1 or Xba1 plus Bln1. PFGE fingerprinting profiles showed that Salmonella, in general, were genetically diverse with a total of 175 Xba1 PFGE profiles generated from the 365 isolates. PFGE profiles showed good correlation with serotypes and in some instances, antimicrobial resistance profiles. Results demonstrated a varied spectrum of antimicrobial resistance and PFGE patterns, including several multidrug resistant clonal groups among Salmonella isolates, and signify the importance of sustained surveillance of foodborne pathogens in retail meats.","container-title":"Foodborne Pathogens and Disease","DOI":"10.1089/fpd.2006.3.106","ISSN":"1535-3141","issue":"1","journalAbbreviation":"Foodborne Pathogens and Disease","page":"106-117","source":"online.liebertpub.com (Atypon)","title":"Antimicrobial Resistance and Genetic Relatedness Among Salmonella from Retail Foods of Animal Origin: NARMS Retail Meat Surveillance","title-short":"Antimicrobial Resistance and Genetic Relatedness Among Salmonella from Retail Foods of Animal Origin","volume":"3","author":[{"family":"Zhao","given":"S."},{"family":"McDermott","given":"P.f."},{"family":"Friedman","given":"S."},{"family":"Abbott","given":"J."},{"family":"Ayers","given":"S."},{"family":"Glenn","given":"A."},{"family":"Hall-Robinson","given":"E."},{"family":"Hubert","given":"S.k."},{"family":"Harbottle","given":"H."},{"family":"Walker","given":"R.d."},{"family":"Chiller","given":"T.m."},{"family":"White","given":"D.g."}],"issued":{"date-parts":[["2006",3,1]]}}},{"id":2659,"uris":["http://zotero.org/users/2162098/items/BD4BYD5W"],"uri":["http://zotero.org/users/2162098/items/BD4BYD5W"],"itemData":{"id":2659,"type":"article-journal","abstract":"The emergence of antimicrobial resistance in Campylobacter spp. has been a growing public health concern globally. The objectives of this study were to determine the prevalence, antimicrobial susceptibility, and genetic relatedness of Campylobacter spp. recovered by the National Antimicrobial Resistance Monitoring System (NARMS) retail meat program. Retail meat samples (n = 24,566) from 10 U.S. states collected between 2002 and 2007, consisting of 6,138 chicken breast, 6,109 ground turkey, 6,171 ground beef, and 6,148 pork chop samples, were analyzed. A total of 2,258 Campylobacter jejuni, 925 Campylobacter coli, and 7 Campylobacter lari isolates were identified. Chicken breast samples showed the highest contamination rate (49.9%), followed by ground turkey (1.6%), whereas both pork chops and ground beef had &lt;0.5% contamination. The most common resistance was to doxycycline/tetracycline (46.6%), followed by nalidixic acid (18.5%), ciprofloxacin (17.4%), azithromycin and erythromycin (2.8%), telithromycin (2.4%), clindamycin (2.2%), and gentamicin (&lt;0.1%). In a subset of isolates tested, no resistance to meropenem and florfenicol was seen. C. coli isolates showed higher resistance rates to antimicrobials, with the exception of doxycycline/tetracycline, than those seen for C. jejuni. Pulsed-field gel electrophoresis (PFGE) fingerprinting resulted in 1,226 PFGE profiles among the 2,318 isolates, with many clones being widely dispersed throughout the 6-year sampling period.","container-title":"Applied and Environmental Microbiology","DOI":"10.1128/AEM.01297-10","ISSN":"0099-2240, 1098-5336","issue":"24","journalAbbreviation":"Appl. Environ. Microbiol.","language":"en","note":"PMID: 20971875","page":"7949-7956","source":"aem.asm.org","title":"Antimicrobial Resistance of Campylobacter Isolates from Retail Meat in the United States between 2002 and 2007","volume":"76","author":[{"family":"Zhao","given":"S."},{"family":"Young","given":"S. R."},{"family":"Tong","given":"E."},{"family":"Abbott","given":"J. W."},{"family":"Womack","given":"N."},{"family":"Friedman","given":"S. L."},{"family":"McDermott","given":"P. F."}],"issued":{"date-parts":[["2010",12,15]]}}},{"id":170,"uris":["http://zotero.org/users/2162098/items/V7XKUHZJ"],"uri":["http://zotero.org/users/2162098/items/V7XKUHZJ"],"itemData":{"id":170,"type":"article-journal","abstract":"When bacteria become resistant to antibiotics, it becomes difficult or impossible to treat infections in both people and animals. Antibiotic resistance is a growing problem, and many fear a “post-antibiotic era” in which common infections become life threatening. In order to slow the spread of antibiotic resistance, it is important to understand how and where this resistance develops. In general, using antibiotics increases the likelihood that bacteria will develop resistance. Therefore, locations where antibiotics are commonly used – such as hospitals, long-term care facilities, livestock facilities (such as feedlots) and crop production areas (such as orchards) – may help antibiotic resistance to develop and spread. However, it is largely unknown how much each location promotes the emergence of antibiotic-resistant bacteria. Until recently, we have only been able to investigate how resistance develops in bacteria grown in a laboratory; or to look for a handful of specific resistance genes in a sample of bacteria collected from people, animals or the environment. Fortunately, a technology called next-generation sequencing now allows us to look at all the resistance genes within all the bacteria in a sample. This may help us to improve our understanding of how and where resistance develops and spreads. Noyes et al. have now used next-generation sequencing to describe the antibiotic resistance potential (known as the “resistome”) found in various types of samples collected from feedlots and slaughterhouses involved in producing beef. This showed that the number of different resistance genes in the samples decreased while cattle were in the feedlot and during the slaughter process. Several groups of resistance genes that were detected when the cattle first arrived in the feedlot were not detected at all at the end of the feedlot period. However, some resistance genes were detected throughout the feedlot period, and these tended to be resistance genes that allow the bacteria to evade the same antibiotics that were used in the cattle. In addition, no resistance genes of any type were detected in the samples collected after the cattle had been slaughtered. As well as providing insights into the resistome of beef production, Noyes et al.’s study also highlights the fact that we need to develop a deeper understanding of the data that come from next-generation sequencing. This may involve developing new laboratory techniques and creating new methods to analyze such data.","container-title":"eLife","DOI":"10.7554/eLife.13195","ISSN":"2050-084X","language":"en","page":"e13195","source":"elifesciences.org","title":"Resistome diversity in cattle and the environment decreases during beef production","volume":"5","author":[{"family":"Noyes","given":"Noelle R."},{"family":"Yang","given":"Xiang"},{"family":"Linke","given":"Lyndsey M."},{"family":"Magnuson","given":"Roberta J."},{"family":"Dettenwanger","given":"Adam"},{"family":"Cook","given":"Shaun"},{"family":"Geornaras","given":"Ifigenia"},{"family":"Woerner","given":"Dale E."},{"family":"Gow","given":"Sheryl P."},{"family":"McAllister","given":"Tim A."},{"family":"Yang","given":"Hua"},{"family":"Ruiz","given":"Jaime"},{"family":"Jones","given":"Kenneth L."},{"family":"Boucher","given":"Christina A."},{"family":"Morley","given":"Paul S."},{"family":"Belk","given":"Keith E."}],"issued":{"date-parts":[["2016",3,8]]}}},{"id":2072,"uris":["http://zotero.org/groups/359118/items/E2XFTDA5"],"uri":["http://zotero.org/groups/359118/items/E2XFTDA5"],"itemData":{"id":2072,"type":"article-journal","abstract":"It has been proposed that livestock production effluents such as wastewater, airborne dust and manure increase the density of antimicrobial resistant bacteria and genes in the environment. The public health risk posed by this proposed outcome has been difficult to quantify using traditional microbiological approaches. We utilized shotgun metagenomics to provide a first description of the resistome of North American dairy and beef production effluents, and identify factors that significantly impact this resistome. We identified 34 mechanisms of antimicrobial drug resistance within 34 soil, manure and wastewater samples from feedlot, ranch and dairy operations. The majority of resistance-associated sequences found in all samples belonged to tetracycline resistance mechanisms. We found that the ranch samples contained significantly fewer resistance mechanisms than dairy and feedlot samples, and that the resistome of dairy operations differed significantly from that of feedlots. The resistome in soil, manure and wastewater differed, suggesting that management of these effluents should be tailored appropriately. By providing a baseline of the cattle production waste resistome, this study represents a solid foundation for future efforts to characterize and quantify the public health risk posed by livestock effluents.","container-title":"Scientific Reports","DOI":"10.1038/srep24645","ISSN":"2045-2322","journalAbbreviation":"Sci Rep","language":"eng","note":"PMID: 27095377","page":"24645","source":"PubMed","title":"Characterization of the resistome in manure, soil and wastewater from dairy and beef production systems","volume":"6","author":[{"family":"Noyes","given":"Noelle R."},{"family":"Yang","given":"Xiang"},{"family":"Linke","given":"Lyndsey M."},{"family":"Magnuson","given":"Roberta J."},{"family":"Cook","given":"Shaun R."},{"family":"Zaheer","given":"Rahat"},{"family":"Yang","given":"Hua"},{"family":"Woerner","given":"Dale R."},{"family":"Geornaras","given":"Ifigenia"},{"family":"McArt","given":"Jessica A."},{"family":"Gow","given":"Sheryl P."},{"family":"Ruiz","given":"Jaime"},{"family":"Jones","given":"Kenneth L."},{"family":"Boucher","given":"Christina A."},{"family":"McAllister","given":"Tim A."},{"family":"Belk","given":"Keith E."},{"family":"Morley","given":"Paul S."}],"issued":{"date-parts":[["2016"]]}}},{"id":428,"uris":["http://zotero.org/users/2162098/items/ZTQVPCS3"],"uri":["http://zotero.org/users/2162098/items/ZTQVPCS3"],"itemData":{"id":428,"type":"article-journal","abstract":"The objective was to examine effects of treating commercial beef feedlot cattle with therapeutic doses of tulathromycin, a macrolide antimicrobial drug, on changes in the fecal resistome and microbiome using shotgun metagenomic sequencing. Two pens of cattle were used, with all cattle in one pen receiving metaphylaxis treatment (800 mg subcutaneous tulathromycin) at arrival to the feedlot, and all cattle in the other pen remaining unexposed to parenteral antibiotics throughout the study period. Fecal samples were collected from 15 selected cattle in each group just prior to treatment (Day 1), and again 11 days later (Day 11). Shotgun sequencing was performed on isolated metagenomic DNA, and reads were aligned to a resistance and a taxonomic database to identify alignments to antimicrobial resistance (AMR) gene accessions and microbiome content. Overall, we identified AMR genes accessions encompassing 9 classes of AMR drugs and encoding 24 unique AMR mechanisms. Statistical analysis was used to identify differences in the resistome and microbiome between the untreated and treated groups at both timepoints, as well as over time. Based on composition and ordination analyses, the resistome and microbiome were not significantly different between the two groups on Day 1 or on Day 11. However, both the resistome and microbiome changed significantly between these two sampling dates. These results indicate that the transition into the feedlot—and associated changes in diet, geography, conspecific exposure, and environment—may exert a greater influence over the fecal resistome and microbiome of feedlot cattle than common metaphylactic antimicrobial drug treatment.","container-title":"Frontiers in Microbiology","DOI":"10.3389/fmicb.2018.01715","ISSN":"1664-302X","journalAbbreviation":"Front Microbiol","note":"PMID: 30105011\nPMCID: PMC6077226","source":"PubMed Central","title":"Investigating Effects of Tulathromycin Metaphylaxis on the Fecal Resistome and Microbiome of Commercial Feedlot Cattle Early in the Feeding Period","URL":"https://www.ncbi.nlm.nih.gov/pmc/articles/PMC6077226/","volume":"9","author":[{"family":"Doster","given":"Enrique"},{"family":"Rovira","given":"Pablo"},{"family":"Noyes","given":"Noelle R."},{"family":"Burgess","given":"Brandy A."},{"family":"Yang","given":"Xiang"},{"family":"Weinroth","given":"Margaret D."},{"family":"Lakin","given":"Steven M."},{"family":"Dean","given":"Christopher J."},{"family":"Linke","given":"Lyndsey"},{"family":"Magnuson","given":"Roberta"},{"family":"Jones","given":"Kenneth I."},{"family":"Boucher","given":"Christina"},{"family":"Ruiz","given":"Jamie"},{"family":"Belk","given":"Keith E."},{"family":"Morley","given":"Paul S."}],"accessed":{"date-parts":[["2018",10,14]]},"issued":{"date-parts":[["2018",7,30]]}}},{"id":458,"uris":["http://zotero.org/users/2162098/items/Y4TMWH8B"],"uri":["http://zotero.org/users/2162098/items/Y4TMWH8B"],"itemData":{"id":458,"type":"article-journal","abstract":"Treatment of food-producing animals with antimicrobial drugs (AMD) is controversial because of concerns regarding promotion of antimicrobial resistance (AMR). To investigate this concern, resistance genes in metagenomic bovine fecal samples during a clinical trial were analyzed to assess the impacts of treatment on beef feedlot cattle resistomes. Four groups of cattle were exposed, using a 2-by-2 factorial design, to different regimens of antimicrobial treatment. Injections of ceftiofur crystalline-free acid (a third-generation cephalosporin) were used to treat all cattle in treatment pens or only a single animal, and either chlortetracycline was included in the feed of all cattle in a pen or the feed was untreated. On days 0 and 26, respectively, pre- and posttrial fecal samples were collected, and resistance genes were characterized using shotgun metagenomics. Treatment with ceftiofur was not associated with changes to β-lactam resistance genes. However, cattle fed chlortetracycline had a significant increase in relative abundance of tetracycline resistance genes. There was also an increase of an AMR class not administered during the study, which is a possible indicator of coselection of resistance genes. Samples analyzed in this study had previously been evaluated by culture characterization (Escherichia coli and Salmonella) and quantitative PCR (qPCR) of metagenomic fecal DNA, which allowed comparison of results with this study. In the majority of samples, genes that were selectively enriched through culture and qPCR were not identified through shotgun metagenomic sequencing in this study, suggesting that changes previously documented did not reflect changes affecting the majority of bacterial genetic elements found in the predominant fecal resistome.\nIMPORTANCE Despite significant concerns about public health implications of AMR in relation to use of AMD in food animals, there are many unknowns about the long- and short-term impact of common uses of AMD for treatment, control, and prevention of disease. Additionally, questions commonly arise regarding how to best measure and quantify AMR genes in relation to public health risks and how to determine which genes are most important. These data provide an introductory view of the utility of using shotgun metagenomic sequencing data as an outcome for clinical trials evaluating the impact of using AMD in food animals.","container-title":"Applied and Environmental Microbiology","DOI":"10.1128/AEM.00610-18","ISSN":"0099-2240, 1098-5336","issue":"13","journalAbbreviation":"Appl. Environ. Microbiol.","language":"en","note":"PMID: 29728379","page":"e00610-18","source":"aem.asm.org","title":"Effects of Ceftiofur and Chlortetracycline on the Resistomes of Feedlot Cattle","volume":"84","author":[{"family":"Weinroth","given":"Margaret D."},{"family":"Scott","given":"H. Morgan"},{"family":"Norby","given":"Bo"},{"family":"Loneragan","given":"Guy H."},{"family":"Noyes","given":"Noelle R."},{"family":"Rovira","given":"Pablo"},{"family":"Doster","given":"Enrique"},{"family":"Yang","given":"Xiang"},{"family":"Woerner","given":"Dale R."},{"family":"Morley","given":"Paul S."},{"family":"Belk","given":"Keith E."}],"issued":{"date-parts":[["2018",7,1]]}}},{"id":467,"uris":["http://zotero.org/users/2162098/items/IH62HAVT"],"uri":["http://zotero.org/users/2162098/items/IH62HAVT"],"itemData":{"id":467,"type":"article-journal","abstract":"Liver abscesses in feedlot cattle form secondary to high concentrate feeds and rumen acidosis. Antimicrobial drugs are commonly included in cattle feed for prevention of liver abscesses, but concerns regarding antimicrobial resistance have increased the need for alternative treatments. A block randomized clinical trial was conducted to evaluate the effects of a Saccharomyces cerevisiae fermentation product (SCFP) on liver abscesses, fecal microbiomes, and resistomes in cattle raised without antibiotics in a Colorado feedlot. At enrollment, steers (n = 4,689) were sorted, by weight and source, into 2 pens comprising a block (n = 14 blocks, 28 pens); pens were randomly allocated to either the control group or the treatment group, where the diet was supplemented with SCFP. Prior to harvest, composited feces were collected for characterization of the microbiome and resistome using 16S rRNA gene and shotgun sequencing. At harvest, liver abscess severity was quantified for individual cattle. There were no statistical differences detected by treatment group in animal health, liver abscess prevalence or severity. Organisms classified to phylum, Elusimicrobia were more abundant in the feces of treated cattle, however, there were no differences in the resistome by treatment group. Both microbiome and resistome varied significantly among enrollment blocks.","container-title":"Scientific Reports","DOI":"10.1038/s41598-019-39181-7","ISSN":"2045-2322","issue":"1","journalAbbreviation":"Sci Rep","language":"en","page":"1-11","source":"www.nature.com","title":"Effects of a Saccharomyces cerevisiae fermentation product on liver abscesses, fecal microbiome, and resistome in feedlot cattle raised without antibiotics","volume":"9","author":[{"family":"Huebner","given":"Katherine L."},{"family":"Martin","given":"Jennifer N."},{"family":"Weissend","given":"Carla J."},{"family":"Holzer","given":"Katlyn L."},{"family":"Parker","given":"Jennifer K."},{"family":"Lakin","given":"Steven M."},{"family":"Doster","given":"Enrique"},{"family":"Weinroth","given":"Margaret D."},{"family":"Abdo","given":"Zaid"},{"family":"Woerner","given":"Dale R."},{"family":"Metcalf","given":"Jessica L."},{"family":"Geornaras","given":"Ifigenia"},{"family":"Bryant","given":"Tony C."},{"family":"Morley","given":"Paul S."},{"family":"Belk","given":"Keith E."}],"issued":{"date-parts":[["2019",2,22]]}}}],"schema":"https://github.com/citation-style-language/schema/raw/master/csl-citation.json"} </w:instrText>
      </w:r>
      <w:r w:rsidR="00D638BF">
        <w:rPr>
          <w:rFonts w:ascii="Times New Roman" w:hAnsi="Times New Roman" w:cs="Times New Roman"/>
        </w:rPr>
        <w:fldChar w:fldCharType="separate"/>
      </w:r>
      <w:bookmarkStart w:id="105" w:name="Bookmark2411"/>
      <w:bookmarkStart w:id="106" w:name="Bookmark272"/>
      <w:bookmarkStart w:id="107" w:name="Bookmark271"/>
      <w:r w:rsidR="00D638BF" w:rsidRPr="00D638BF">
        <w:rPr>
          <w:rFonts w:ascii="Times New Roman" w:hAnsi="Times New Roman" w:cs="Times New Roman"/>
        </w:rPr>
        <w:t>(Zhao et al., 2006, 2010; Noyes et al., 2016b, 2016a; Doster et al., 2018; Weinroth et al., 2018; Huebner et al., 2019)</w:t>
      </w:r>
      <w:r w:rsidR="00D638BF">
        <w:rPr>
          <w:rFonts w:ascii="Times New Roman" w:hAnsi="Times New Roman" w:cs="Times New Roman"/>
        </w:rPr>
        <w:fldChar w:fldCharType="end"/>
      </w:r>
      <w:bookmarkEnd w:id="105"/>
      <w:bookmarkEnd w:id="106"/>
      <w:bookmarkEnd w:id="107"/>
      <w:r w:rsidR="00D638BF">
        <w:rPr>
          <w:rFonts w:ascii="Times New Roman" w:hAnsi="Times New Roman" w:cs="Times New Roman"/>
        </w:rPr>
        <w:t xml:space="preserve">. </w:t>
      </w:r>
      <w:r>
        <w:rPr>
          <w:rFonts w:ascii="Times New Roman" w:hAnsi="Times New Roman" w:cs="Times New Roman"/>
        </w:rPr>
        <w:t xml:space="preserve">This is logical, considering that a large portion of the microbiome of ground beef products is generally considered to originate from fecal and environmental material found on animal hides at the time of slaughter </w:t>
      </w:r>
      <w:r>
        <w:fldChar w:fldCharType="begin"/>
      </w:r>
      <w:r>
        <w:rPr>
          <w:rFonts w:ascii="Times New Roman" w:hAnsi="Times New Roman" w:cs="Times New Roman"/>
        </w:rPr>
        <w:instrText>ADDIN ZOTERO_ITEM CSL_CITATION {"citationID":"cI1VKHeG","properties":{"formattedCitation":"(Bacon et al., 2000)","plainCitation":"(Bacon et al., 2000)","noteIndex":0},"citationItems":[{"id":2705,"uris":["http://zotero.org/users/2162098/items/TRKPEG2T"],"uri":["http://zotero.org/users/2162098/items/TRKPEG2T"],"itemData":{"id":2705,"type":"article-journal","abstract":"Multiple-sequential interventions were applied commercially to reduce beef carcass contamination in eight packing plants. The study evaluated microbial populations on animal hides and changes in carcass microbial populations at various stages in the slaughtering process. Sponge swab samples yielded mean (log CFU/100 cm2) total plate counts (TPC), total coliform counts (TCC), and Escherichia coli counts (ECC) on the exterior hide in the ranges of 8.2 to 12.5, 6.0 to 7.9, and 5.5 to 7.5, respectively, while corresponding contamination levels on carcass surfaces, after hide removal but before application of any decontamination intervention, were in the ranges of 6.1 to 9.1, 3.0 to 6.0, and 2.6 to 5.3, respectively. Following the slaughtering process and application of multiple-sequential decontamination interventions that included steam vacuuming, pre-evisceration carcass washing, pre-evisceration organic acid solution rinsing, hot water carcass washing, postevisceration final carcass washing, and postevisceration organic acid solution rinsing, mean TPC, TCC, and ECC on carcass surfaces were 3.8 to 7.1, 1.5 to 3.7, and 1.0 to 3.0, respectively, while corresponding populations following a 24 to 36 h chilling period were 2.3 to 5.3, 0.9 to 1.3, and 0.9, respectively. The results support the concept of using sequential decontamination processes in beef packing plants as a means of improving the microbiological quality of beef carcasses.","container-title":"Journal of Food Protection","DOI":"10.4315/0362-028x-63.8.1080","ISSN":"0362-028X","issue":"8","journalAbbreviation":"J. Food Prot.","language":"eng","note":"PMID: 10945584","page":"1080-1086","source":"PubMed","title":"Microbial populations on animal hides and beef carcasses at different stages of slaughter in plants employing multiple-sequential interventions for decontamination","volume":"63","author":[{"family":"Bacon","given":"R. T."},{"family":"Belk","given":"K. E."},{"family":"Sofos","given":"J. N."},{"family":"Clayton","given":"R. P."},{"family":"Reagan","given":"J. O."},{"family":"Smith","given":"G. C."}],"issued":{"date-parts":[["2000",8]]}}}],"schema":"https://github.com/citation-style-language/schema/raw/master/csl-citation.json"}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rPr>
        <w:t>(Bacon et al., 2000)</w:t>
      </w:r>
      <w:r>
        <w:rPr>
          <w:rFonts w:ascii="Times New Roman" w:hAnsi="Times New Roman" w:cs="Times New Roman"/>
        </w:rPr>
        <w:fldChar w:fldCharType="end"/>
      </w:r>
      <w:r>
        <w:rPr>
          <w:rFonts w:ascii="Times New Roman" w:hAnsi="Times New Roman" w:cs="Times New Roman"/>
        </w:rPr>
        <w:t xml:space="preserve">. </w:t>
      </w:r>
      <w:r w:rsidR="00635C94">
        <w:rPr>
          <w:rFonts w:ascii="Times New Roman" w:hAnsi="Times New Roman" w:cs="Times New Roman"/>
        </w:rPr>
        <w:t xml:space="preserve">It is also important to note that </w:t>
      </w:r>
      <w:r w:rsidR="007E2677">
        <w:rPr>
          <w:rFonts w:ascii="Times New Roman" w:hAnsi="Times New Roman" w:cs="Times New Roman"/>
        </w:rPr>
        <w:t>AMR is an ancient phenomena</w:t>
      </w:r>
      <w:r w:rsidR="00C86A4E">
        <w:rPr>
          <w:rFonts w:ascii="Times New Roman" w:hAnsi="Times New Roman" w:cs="Times New Roman"/>
        </w:rPr>
        <w:t xml:space="preserve"> </w:t>
      </w:r>
      <w:r w:rsidR="007E2677">
        <w:rPr>
          <w:rFonts w:ascii="Times New Roman" w:hAnsi="Times New Roman" w:cs="Times New Roman"/>
        </w:rPr>
        <w:t>and that resistance</w:t>
      </w:r>
      <w:r w:rsidR="00C86A4E">
        <w:rPr>
          <w:rFonts w:ascii="Times New Roman" w:hAnsi="Times New Roman" w:cs="Times New Roman"/>
        </w:rPr>
        <w:t xml:space="preserve"> certain drug types, including</w:t>
      </w:r>
      <w:r w:rsidR="007E2677">
        <w:rPr>
          <w:rFonts w:ascii="Times New Roman" w:hAnsi="Times New Roman" w:cs="Times New Roman"/>
        </w:rPr>
        <w:t xml:space="preserve"> the tetracycline class o</w:t>
      </w:r>
      <w:r w:rsidR="00C86A4E">
        <w:rPr>
          <w:rFonts w:ascii="Times New Roman" w:hAnsi="Times New Roman" w:cs="Times New Roman"/>
        </w:rPr>
        <w:t>f</w:t>
      </w:r>
      <w:r w:rsidR="007E2677">
        <w:rPr>
          <w:rFonts w:ascii="Times New Roman" w:hAnsi="Times New Roman" w:cs="Times New Roman"/>
        </w:rPr>
        <w:t xml:space="preserve"> antimicrobial compounds </w:t>
      </w:r>
      <w:r w:rsidR="00C86A4E">
        <w:rPr>
          <w:rFonts w:ascii="Times New Roman" w:hAnsi="Times New Roman" w:cs="Times New Roman"/>
        </w:rPr>
        <w:t>has been identified in “pristine environments” suggesting the presence of these elements</w:t>
      </w:r>
      <w:r w:rsidR="007E2677">
        <w:rPr>
          <w:rFonts w:ascii="Times New Roman" w:hAnsi="Times New Roman" w:cs="Times New Roman"/>
        </w:rPr>
        <w:t xml:space="preserve"> prior to the use of antimicrobial drugs in livestock production </w:t>
      </w:r>
      <w:r w:rsidR="007E2677">
        <w:rPr>
          <w:rFonts w:ascii="Times New Roman" w:hAnsi="Times New Roman" w:cs="Times New Roman"/>
        </w:rPr>
        <w:fldChar w:fldCharType="begin"/>
      </w:r>
      <w:r w:rsidR="007E2677">
        <w:rPr>
          <w:rFonts w:ascii="Times New Roman" w:hAnsi="Times New Roman" w:cs="Times New Roman"/>
        </w:rPr>
        <w:instrText xml:space="preserve"> ADDIN ZOTERO_ITEM CSL_CITATION {"citationID":"x2PUd1Zk","properties":{"formattedCitation":"(D\\uc0\\u8217{}Costa et al., 2011; Perron et al., 2015)","plainCitation":"(D’Costa et al., 2011; Perron et al., 2015)","noteIndex":0},"citationItems":[{"id":88,"uris":["http://zotero.org/users/2162098/items/D43FXQTF"],"uri":["http://zotero.org/users/2162098/items/D43FXQTF"],"itemData":{"id":88,"type":"article-journal","abstract":"The discovery of antibiotics more than 70 years ago initiated a period of drug innovation and implementation in human and animal health and agriculture. These discoveries were tempered in all cases by the emergence of resistant microbes. This history has been interpreted to mean that antibiotic resistance in pathogenic bacteria is a modern phenomenon; this view is reinforced by the fact that collections of microbes that predate the antibiotic era are highly susceptible to antibiotics. Here we report targeted metagenomic analyses of rigorously authenticated ancient DNA from 30,000-year-old Beringian permafrost sediments and the identification of a highly diverse collection of genes encoding resistance to β-lactam, tetracycline and glycopeptide antibiotics. Structure and function studies on the complete vancomycin resistance element VanA confirmed its similarity to modern variants. These results show conclusively that antibiotic resistance is a natural phenomenon that predates the modern selective pressure of clinical antibiotic use.","container-title":"Nature","DOI":"10.1038/nature10388","ISSN":"0028-0836","issue":"7365","journalAbbreviation":"Nature","language":"en","page":"457-461","source":"www.nature.com","title":"Antibiotic resistance is ancient","volume":"477","author":[{"family":"D’Costa","given":"Vanessa M."},{"family":"King","given":"Christine E."},{"family":"Kalan","given":"Lindsay"},{"family":"Morar","given":"Mariya"},{"family":"Sung","given":"Wilson W. L."},{"family":"Schwarz","given":"Carsten"},{"family":"Froese","given":"Duane"},{"family":"Zazula","given":"Grant"},{"family":"Calmels","given":"Fabrice"},{"family":"Debruyne","given":"Regis"},{"family":"Golding","given":"G. Brian"},{"family":"Poinar","given":"Hendrik N."},{"family":"Wright","given":"Gerard D."}],"issued":{"date-parts":[["2011",9,22]]}}},{"id":1857,"uris":["http://zotero.org/groups/359118/items/F4G522VI"],"uri":["http://zotero.org/groups/359118/items/F4G522VI"],"itemData":{"id":1857,"type":"article-journal","abstract":"Using functional metagenomics to study the resistomes of bacterial communities isolated from different layers of the Canadian high Arctic permafrost, we show that microbial communities harbored diverse resistance mechanisms at least 5,000 years ago. Among bacteria sampled from the ancient layers of a permafrost core, we isolated eight genes conferring clinical levels of resistance against aminoglycoside, β-lactam and tetracycline antibiotics that are naturally produced by microorganisms. Among these resistance genes, four also conferred resistance against amikacin, a modern semi-synthetic antibiotic that does not naturally occur in microorganisms. In bacteria sampled from the overlaying active layer, we isolated ten different genes conferring resistance to all six antibiotics tested in this study, including aminoglycoside, β-lactam and tetracycline variants that are naturally produced by microorganisms as well as semi-synthetic variants produced in the laboratory. On average, we found that resistance genes found in permafrost bacteria conferred lower levels of resistance against clinically relevant antibiotics than resistance genes sampled from the active layer. Our results demonstrate that antibiotic resistance genes were functionally diverse prior to the anthropogenic use of antibiotics, contributing to the evolution of natural reservoirs of resistance genes.","container-title":"PLoS ONE","DOI":"10.1371/journal.pone.0069533","ISSN":"1932-6203","issue":"3","journalAbbreviation":"PLoS One","note":"PMID: 25807523\nPMCID: PMC4373940","source":"PubMed Central","title":"Functional Characterization of Bacteria Isolated from Ancient Arctic Soil Exposes Diverse Resistance Mechanisms to Modern Antibiotics","URL":"http://www.ncbi.nlm.nih.gov/pmc/articles/PMC4373940/","volume":"10","author":[{"family":"Perron","given":"Gabriel G."},{"family":"Whyte","given":"Lyle"},{"family":"Turnbaugh","given":"Peter J."},{"family":"Goordial","given":"Jacqueline"},{"family":"Hanage","given":"William P."},{"family":"Dantas","given":"Gautam"},{"family":"Desai","given":"Michael M."}],"accessed":{"date-parts":[["2015",6,18]]},"issued":{"date-parts":[["2015",3,25]]}}}],"schema":"https://github.com/citation-style-language/schema/raw/master/csl-citation.json"} </w:instrText>
      </w:r>
      <w:r w:rsidR="007E2677">
        <w:rPr>
          <w:rFonts w:ascii="Times New Roman" w:hAnsi="Times New Roman" w:cs="Times New Roman"/>
        </w:rPr>
        <w:fldChar w:fldCharType="separate"/>
      </w:r>
      <w:r w:rsidR="007E2677" w:rsidRPr="007E2677">
        <w:rPr>
          <w:rFonts w:ascii="Times New Roman" w:hAnsi="Times New Roman" w:cs="Times New Roman"/>
        </w:rPr>
        <w:t>(D’Costa et al., 2011; Perron et al., 2015)</w:t>
      </w:r>
      <w:r w:rsidR="007E2677">
        <w:rPr>
          <w:rFonts w:ascii="Times New Roman" w:hAnsi="Times New Roman" w:cs="Times New Roman"/>
        </w:rPr>
        <w:fldChar w:fldCharType="end"/>
      </w:r>
      <w:r w:rsidR="007E2677">
        <w:rPr>
          <w:rFonts w:ascii="Times New Roman" w:hAnsi="Times New Roman" w:cs="Times New Roman"/>
        </w:rPr>
        <w:t>.</w:t>
      </w:r>
    </w:p>
    <w:p w:rsidR="001C630E" w:rsidRDefault="00635C94" w:rsidP="00635C94">
      <w:pPr>
        <w:pStyle w:val="Standard"/>
        <w:spacing w:line="480" w:lineRule="auto"/>
        <w:rPr>
          <w:rFonts w:ascii="Times New Roman" w:hAnsi="Times New Roman" w:cs="Times New Roman"/>
        </w:rPr>
      </w:pPr>
      <w:r>
        <w:rPr>
          <w:rFonts w:ascii="Times New Roman" w:hAnsi="Times New Roman" w:cs="Times New Roman"/>
        </w:rPr>
        <w:t xml:space="preserve"> </w:t>
      </w:r>
      <w:r w:rsidR="00C86A4E">
        <w:rPr>
          <w:rFonts w:ascii="Times New Roman" w:hAnsi="Times New Roman" w:cs="Times New Roman"/>
        </w:rPr>
        <w:tab/>
      </w:r>
      <w:r w:rsidR="005C7C99">
        <w:rPr>
          <w:rFonts w:ascii="Times New Roman" w:hAnsi="Times New Roman" w:cs="Times New Roman"/>
        </w:rPr>
        <w:t xml:space="preserve">A limited number of other studies have investigated the microbiome of meat products using 16S amplicon sequencing, and these also showed a predominance of Firmicutes and Proteobacteria phyla in beef samples </w:t>
      </w:r>
      <w:r w:rsidR="005C7C99">
        <w:fldChar w:fldCharType="begin"/>
      </w:r>
      <w:r w:rsidR="005C7C99">
        <w:rPr>
          <w:rFonts w:ascii="Times New Roman" w:hAnsi="Times New Roman" w:cs="Times New Roman"/>
        </w:rPr>
        <w:instrText>ADDIN ZOTERO_ITEM CSL_CITATION {"citationID":"gz0XO72d","properties":{"formattedCitation":"(Poirier et al., 2018; Weinroth et al., 2019)","plainCitation":"(Poirier et al., 2018; Weinroth et al., 2019)","noteIndex":0},"citationItems":[{"id":2666,"uris":["http://zotero.org/users/2162098/items/DVMAM4RW"],"uri":["http://zotero.org/users/2162098/items/DVMAM4RW"],"itemData":{"id":2666,"type":"article-journal","abstract":"Meat and seafood spoilage ecosystems harbor extensive bacterial genomic diversity that is mainly found within a small number of species but within a large number of strains with different spoilage metabolic potential. To decipher the intraspecies diversity of such microbiota, traditional metagenetic analysis using the 16S rRNA gene is inadequate. We therefore assessed the potential benefit of an alternative genetic marker, gyrB, which encodes the subunit B of DNA gyrase, a type II DNA topoisomerase. A comparison between 16S rDNA-based (V3-V4) amplicon sequencing and gyrB-based amplicon sequencing was carried out in five types of meat and seafood products, with five mock communities serving as quality controls. Our results revealed that bacterial richness in these mock communities and food samples was estimated with higher accuracy using gyrB than using16S rDNA. However, for Firmicutes species, 35% of putative gyrB reads were actually identified as sequences of a gyrB paralog, parE, which encodes subunit B of topoisomerase IV; we therefore constructed a reference database of published sequences of both gyrB and pare for use in all subsequent analyses. Despite this co-amplification, the deviation between relative sequencing quantification and absolute qPCR quantification was comparable to that observed for 16S rDNA for all the tested species. This confirms that gyrB can be used successfully alongside 16S rDNA to determine the species composition (richness and evenness) of food microbiota. The major benefit of gyrB sequencing is its potential for improving taxonomic assignment and for further investigating OTU richness at the subspecies level, thus allowing more accurate discrimination of samples. Indeed, 80% of the reads of the 16S rDNA dataset were represented by thirteen 16S rDNA-based OTUs that could not be assigned at the species-level. Instead, these same clades corresponded to 44 gyrB-based OTUs, which differentiated various lineages down to the subspecies level. The increased ability of gyrB-based analyses to track and trace phylogenetically different groups of strains will generate improved resolution and more reliable results for studies of the strains implicated in food processes.","container-title":"PLOS ONE","DOI":"10.1371/journal.pone.0204629","ISSN":"1932-6203","issue":"9","journalAbbreviation":"PLOS ONE","language":"en","page":"e0204629","source":"PLoS Journals","title":"Deciphering intra-species bacterial diversity of meat and seafood spoilage microbiota using gyrB amplicon sequencing: A comparative analysis with 16S rDNA V3-V4 amplicon sequencing","title-short":"Deciphering intra-species bacterial diversity of meat and seafood spoilage microbiota using gyrB amplicon sequencing","volume":"13","author":[{"family":"Poirier","given":"Simon"},{"family":"Rué","given":"Olivier"},{"family":"Peguilhan","given":"Raphaëlle"},{"family":"Coeuret","given":"Gwendoline"},{"family":"Zagorec","given":"Monique"},{"family":"Champomier-Vergès","given":"Marie-Christine"},{"family":"Loux","given":"Valentin"},{"family":"Chaillou","given":"Stéphane"}],"issued":{"date-parts":[["2018",9,25]]}}},{"id":2663,"uris":["http://zotero.org/users/2162098/items/24N5TMJV"],"uri":["http://zotero.org/users/2162098/items/24N5TMJV"],"itemData":{"id":2663,"type":"article-journal","abstract":"Ground beef makes up more than half of the beef consumed in the U.S. market. Although numerous studies have been conducted on microbial safety and shelf life of ground beef limited work has been done using a culture-independent approach. While past studies have allowed for the evaluation of a few organisms of interest, there is limited work on the microbial community associated with fresh ground beef. In order to have a more complete picture of the microbial ecology of the product, a culture-independent approach utilizing 16S rRNA gene amplicon sequencing was used. The objectives of this study were to characterize the fresh ground beef microbiome and the effect that antimicrobial interventions and antioxidants, applied to beef trim before grinding, and product storage have on community composition using 16S rRNA gene amplicon sequencing. Beef trimmings were treated with antimicrobials and an antioxidant. Samples were ground, loafed, and overwrapped before being packaged in modified-atmosphere packaging. Samples were in dark storage for 21 days followed by five days in retail display. Periodically during storage, samples were collected for microbiological analysis and DNA isolation. Due to low microbial biomass, only 52 of 210 samples were included in the final analysis. These samples represented two antimicrobial treatments (peroxyacetic acid, and a sulfuric acid and sodium sulfate blend) and a control, from day-15 of dark storage and day-5 of retail display. As sample age increased, so did the number of raw reads (P &lt; 0.001) and aerobic plate counts (P &lt; 0.001), which were correlated (r = 0.94, P = 0.017). Across all samples, lactic acid bacteria were most abundant followed by Enterobacteriaceae; several rare taxa were also identified (namely Geobacillus, Thermus, and Sporosarcina). Antimicrobial treatment altered the bacterial alpha (P &lt; 0.001) and beta (P = 0.001) diversity, while storage day altered alpha (P = 0.001) diversity. Enterobacteriaceae relative abundance differed (P &lt; 0.05) among treatments and was highest in control samples. In addition to confirming previously described dominant microbial differences in culture-dependent results, these data identified genera not typically associated with ground beef and allowed for study of shifts in the entire microbiome and not just a subset of indicator organisms.","container-title":"PLOS ONE","DOI":"10.1371/journal.pone.0217947","ISSN":"1932-6203","issue":"6","journalAbbreviation":"PLOS ONE","language":"en","page":"e0217947","source":"PLoS Journals","title":"Ground beef microbiome changes with antimicrobial decontamination interventions and product storage","volume":"14","author":[{"family":"Weinroth","given":"Margaret D."},{"family":"Britton","given":"Brianna C."},{"family":"McCullough","given":"Kathryn R."},{"family":"Martin","given":"Jennifer N."},{"family":"Geornaras","given":"Ifigenia"},{"family":"Knight","given":"Rob"},{"family":"Belk","given":"Keith E."},{"family":"Metcalf","given":"Jessica L."}],"issued":{"date-parts":[["2019",6,5]]}}}],"schema":"https://github.com/citation-style-language/schema/raw/master/csl-citation.json"}</w:instrText>
      </w:r>
      <w:r w:rsidR="005C7C99">
        <w:rPr>
          <w:rFonts w:ascii="Times New Roman" w:hAnsi="Times New Roman" w:cs="Times New Roman"/>
        </w:rPr>
        <w:fldChar w:fldCharType="separate"/>
      </w:r>
      <w:r w:rsidR="005C7C99">
        <w:rPr>
          <w:rFonts w:ascii="Times New Roman" w:hAnsi="Times New Roman" w:cs="Times New Roman"/>
        </w:rPr>
        <w:t>(Poirier et al., 2018; Weinroth et al., 2019)</w:t>
      </w:r>
      <w:bookmarkStart w:id="108" w:name="Bookmark352"/>
      <w:bookmarkStart w:id="109" w:name="Bookmark3111"/>
      <w:bookmarkStart w:id="110" w:name="Bookmark351"/>
      <w:r w:rsidR="005C7C99">
        <w:rPr>
          <w:rFonts w:ascii="Times New Roman" w:hAnsi="Times New Roman" w:cs="Times New Roman"/>
        </w:rPr>
        <w:fldChar w:fldCharType="end"/>
      </w:r>
      <w:bookmarkEnd w:id="108"/>
      <w:bookmarkEnd w:id="109"/>
      <w:bookmarkEnd w:id="110"/>
      <w:r w:rsidR="005C7C99">
        <w:rPr>
          <w:rFonts w:ascii="Times New Roman" w:hAnsi="Times New Roman" w:cs="Times New Roman"/>
        </w:rPr>
        <w:t xml:space="preserve">, as have studies investigating the microbiome of chicken and pork samples </w:t>
      </w:r>
      <w:r w:rsidR="005C7C99">
        <w:fldChar w:fldCharType="begin"/>
      </w:r>
      <w:r w:rsidR="005C7C99">
        <w:rPr>
          <w:rFonts w:ascii="Times New Roman" w:hAnsi="Times New Roman" w:cs="Times New Roman"/>
        </w:rPr>
        <w:instrText>ADDIN ZOTERO_ITEM CSL_CITATION {"citationID":"DVrPU7P4","properties":{"formattedCitation":"(Poirier et al., 2018; Lauritsen et al., 2019)","plainCitation":"(Poirier et al., 2018; Lauritsen et al., 2019)","noteIndex":0},"citationItems":[{"id":2666,"uris":["http://zotero.org/users/2162098/items/DVMAM4RW"],"uri":["http://zotero.org/users/2162098/items/DVMAM4RW"],"itemData":{"id":2666,"type":"article-journal","abstract":"Meat and seafood spoilage ecosystems harbor extensive bacterial genomic diversity that is mainly found within a small number of species but within a large number of strains with different spoilage metabolic potential. To decipher the intraspecies diversity of such microbiota, traditional metagenetic analysis using the 16S rRNA gene is inadequate. We therefore assessed the potential benefit of an alternative genetic marker, gyrB, which encodes the subunit B of DNA gyrase, a type II DNA topoisomerase. A comparison between 16S rDNA-based (V3-V4) amplicon sequencing and gyrB-based amplicon sequencing was carried out in five types of meat and seafood products, with five mock communities serving as quality controls. Our results revealed that bacterial richness in these mock communities and food samples was estimated with higher accuracy using gyrB than using16S rDNA. However, for Firmicutes species, 35% of putative gyrB reads were actually identified as sequences of a gyrB paralog, parE, which encodes subunit B of topoisomerase IV; we therefore constructed a reference database of published sequences of both gyrB and pare for use in all subsequent analyses. Despite this co-amplification, the deviation between relative sequencing quantification and absolute qPCR quantification was comparable to that observed for 16S rDNA for all the tested species. This confirms that gyrB can be used successfully alongside 16S rDNA to determine the species composition (richness and evenness) of food microbiota. The major benefit of gyrB sequencing is its potential for improving taxonomic assignment and for further investigating OTU richness at the subspecies level, thus allowing more accurate discrimination of samples. Indeed, 80% of the reads of the 16S rDNA dataset were represented by thirteen 16S rDNA-based OTUs that could not be assigned at the species-level. Instead, these same clades corresponded to 44 gyrB-based OTUs, which differentiated various lineages down to the subspecies level. The increased ability of gyrB-based analyses to track and trace phylogenetically different groups of strains will generate improved resolution and more reliable results for studies of the strains implicated in food processes.","container-title":"PLOS ONE","DOI":"10.1371/journal.pone.0204629","ISSN":"1932-6203","issue":"9","journalAbbreviation":"PLOS ONE","language":"en","page":"e0204629","source":"PLoS Journals","title":"Deciphering intra-species bacterial diversity of meat and seafood spoilage microbiota using gyrB amplicon sequencing: A comparative analysis with 16S rDNA V3-V4 amplicon sequencing","title-short":"Deciphering intra-species bacterial diversity of meat and seafood spoilage microbiota using gyrB amplicon sequencing","volume":"13","author":[{"family":"Poirier","given":"Simon"},{"family":"Rué","given":"Olivier"},{"family":"Peguilhan","given":"Raphaëlle"},{"family":"Coeuret","given":"Gwendoline"},{"family":"Zagorec","given":"Monique"},{"family":"Champomier-Vergès","given":"Marie-Christine"},{"family":"Loux","given":"Valentin"},{"family":"Chaillou","given":"Stéphane"}],"issued":{"date-parts":[["2018",9,25]]}}},{"id":2669,"uris":["http://zotero.org/users/2162098/items/HCV3JKB5"],"uri":["http://zotero.org/users/2162098/items/HCV3JKB5"],"itemData":{"id":2669,"type":"article-journal","abstract":"It is well established, that certain bacteria within the Brochothrix, Carnobacterium, Lactobacillus, Lactococcus, and Leuconostoc genera have an important role in the spoilage of chill stored poultry meat packaged in modified atmosphere. However, little is known about the role of microorganisms that are difficult to culture and the microbiota during poultry spoilage. We combined traditional cultivation and culture-independent 16S rRNA amplicon sequencing to investigate the microbiota encompassing putative bacteria of whole broiler meat, packaged in modified atmosphere, during and exceeding shelf-life. Samples were taken from 6 flocks during independent slaughter days. Additional samples were analysed from the production line. There was a significant difference in the microbial community structure of 80%O2/20%CO2 retail packaged broiler meat during different times of shelf-life, mainly due to an increase of species within the Brochothrix, Carnobacterium, Vagococcus, and Janthinobacterium genera. These genera were already detected four to eight days after slaughter. However, no significant difference between flocks with respect to the microbiota encompassing putative spoilage bacteria was observed when examined in retail packaged broilers, slaughtered at the same abattoir on different days. Our study also showed that lactic acid bacteria within the Vagococcus genus can constitute a dominating part of the later shelf-life microbiota in fresh whole broiler meat packaged in 80%O2/20%CO2 modified atmosphere. A single operational taxonomic unit (OTU) assigned as Janthinobacterium lividum, an occasional spoiler of meat products, was identified as a major part of the microbiota in late shelf life broiler meat and swab samples in the cooling facility at the slaughter house production line. The combination of traditional cultivation and culture-independent methods provided a great insight into the microbiota of broiler meat during shelf-life and identified a potential point of contamination in the production line for cold tolerant Janthinobacterium.","container-title":"International Journal of Food Microbiology","DOI":"10.1016/j.ijfoodmicro.2019.04.003","ISSN":"0168-1605","journalAbbreviation":"International Journal of Food Microbiology","language":"en","page":"14-21","source":"ScienceDirect","title":"Microbiota encompassing putative spoilage bacteria in retail packaged broiler meat and commercial broiler abattoir","volume":"300","author":[{"family":"Lauritsen","given":"Camilla Vester"},{"family":"Kjeldgaard","given":"Jette"},{"family":"Ingmer","given":"Hanne"},{"family":"Bisgaard","given":"Magne"},{"family":"Christensen","given":"Henrik"}],"issued":{"date-parts":[["2019",7,2]]}}}],"schema":"https://github.com/citation-style-language/schema/raw/master/csl-citation.json"}</w:instrText>
      </w:r>
      <w:r w:rsidR="005C7C99">
        <w:rPr>
          <w:rFonts w:ascii="Times New Roman" w:hAnsi="Times New Roman" w:cs="Times New Roman"/>
        </w:rPr>
        <w:fldChar w:fldCharType="separate"/>
      </w:r>
      <w:r w:rsidR="005C7C99">
        <w:rPr>
          <w:rFonts w:ascii="Times New Roman" w:hAnsi="Times New Roman" w:cs="Times New Roman"/>
        </w:rPr>
        <w:t>(Poirier et al., 2018; Lauritsen et al., 2019)</w:t>
      </w:r>
      <w:bookmarkStart w:id="111" w:name="Bookmark362"/>
      <w:bookmarkStart w:id="112" w:name="Bookmark3211"/>
      <w:bookmarkStart w:id="113" w:name="Bookmark361"/>
      <w:r w:rsidR="005C7C99">
        <w:rPr>
          <w:rFonts w:ascii="Times New Roman" w:hAnsi="Times New Roman" w:cs="Times New Roman"/>
        </w:rPr>
        <w:fldChar w:fldCharType="end"/>
      </w:r>
      <w:bookmarkEnd w:id="111"/>
      <w:bookmarkEnd w:id="112"/>
      <w:bookmarkEnd w:id="113"/>
      <w:r w:rsidR="005C7C99">
        <w:rPr>
          <w:rFonts w:ascii="Times New Roman" w:hAnsi="Times New Roman" w:cs="Times New Roman"/>
        </w:rPr>
        <w:t>. Interestingly, Photobacterium, a genus only recently described as being associated with meat products was identified</w:t>
      </w:r>
      <w:r w:rsidR="00240D39">
        <w:rPr>
          <w:rFonts w:ascii="Times New Roman" w:hAnsi="Times New Roman" w:cs="Times New Roman"/>
        </w:rPr>
        <w:t xml:space="preserve"> </w:t>
      </w:r>
      <w:r w:rsidR="005C7C99">
        <w:rPr>
          <w:rFonts w:ascii="Times New Roman" w:hAnsi="Times New Roman" w:cs="Times New Roman"/>
        </w:rPr>
        <w:t xml:space="preserve">making up more than </w:t>
      </w:r>
      <w:r w:rsidR="00EF3DB5">
        <w:rPr>
          <w:rFonts w:ascii="Times New Roman" w:hAnsi="Times New Roman" w:cs="Times New Roman"/>
        </w:rPr>
        <w:t>50</w:t>
      </w:r>
      <w:r w:rsidR="005C7C99">
        <w:rPr>
          <w:rFonts w:ascii="Times New Roman" w:hAnsi="Times New Roman" w:cs="Times New Roman"/>
        </w:rPr>
        <w:t>% of</w:t>
      </w:r>
      <w:r w:rsidR="00240D39">
        <w:rPr>
          <w:rFonts w:ascii="Times New Roman" w:hAnsi="Times New Roman" w:cs="Times New Roman"/>
        </w:rPr>
        <w:t xml:space="preserve"> the microbiome in 3 out of 4 CONV samples in chub </w:t>
      </w:r>
      <w:r w:rsidR="00240D39" w:rsidRPr="00524904">
        <w:rPr>
          <w:rFonts w:ascii="Times New Roman" w:hAnsi="Times New Roman" w:cs="Times New Roman"/>
        </w:rPr>
        <w:t>packaging</w:t>
      </w:r>
      <w:r w:rsidR="005C7C99" w:rsidRPr="00524904">
        <w:rPr>
          <w:rFonts w:ascii="Times New Roman" w:hAnsi="Times New Roman" w:cs="Times New Roman"/>
        </w:rPr>
        <w:t xml:space="preserve"> (Supplemental Figure </w:t>
      </w:r>
      <w:r w:rsidR="00524904" w:rsidRPr="00524904">
        <w:rPr>
          <w:rFonts w:ascii="Times New Roman" w:hAnsi="Times New Roman" w:cs="Times New Roman"/>
        </w:rPr>
        <w:t>4</w:t>
      </w:r>
      <w:r w:rsidR="005C7C99" w:rsidRPr="00524904">
        <w:rPr>
          <w:rFonts w:ascii="Times New Roman" w:hAnsi="Times New Roman" w:cs="Times New Roman"/>
        </w:rPr>
        <w:t>)</w:t>
      </w:r>
      <w:r w:rsidR="005C7C99" w:rsidRPr="00524904">
        <w:fldChar w:fldCharType="begin"/>
      </w:r>
      <w:r w:rsidR="005C7C99" w:rsidRPr="00524904">
        <w:rPr>
          <w:rFonts w:ascii="Times New Roman" w:hAnsi="Times New Roman" w:cs="Times New Roman"/>
        </w:rPr>
        <w:instrText>ADDIN ZOTERO_ITEM CSL_CITATION {"citationID":"efVUedgl","properties":{"formattedCitation":"(Hilgarth et al., 2018)","plainCitation":"(Hilgarth et al., 2018)","noteIndex":0},"citationItems":[{"id":2686,"uris":["http://zotero.org/users/2162098/items/5N6MX64X"],"uri":["http://zotero.org/users/2162098/items/5N6MX64X"],"itemData":{"id":2686,"type":"article-journal","abstract":"The genus Photobacterium comprises species of marine bacteria, commonly found in open-ocean and deep-sea environments. Some species (e.g. Photobacterium phosphoreum) are associated with fish spoilage. Recently, culture-independent studies have drawn attention to the presence of photobacteria on meat. This study employed a comparative isolation approach of Photobacterium spp. and aimed to develop an adapted isolation procedure for recovery from food samples, as demonstrated for different meats: Marine broth is used for resuspending and dilution of food samples, followed by aerobic cultivation on marine broth agar supplemented with meat extract and vancomycin at 15°C for 72 h. Identification of spoilage-associated microbiota was carried out via Matrix Assisted Laser Desorption/Ionization Time of Flight Mass Spectrometry using a database supplemented with additional mass spectrometry profiles of Photobacterium spp. This study provides evidence for the common abundance of multiple Photobacterium species in relevant quantities on various modified atmosphere packaged meats. Photobacterium carnosum was predominant on beef and chicken, while Photobacterium iliopiscarium represented the major species on pork and Photobacterium phosphoreum on salmon, respectively.\nSIGNIFICANCE AND IMPACT OF THE STUDY: This study demonstrates highly frequent isolation of multiple photobacteria (Photobacterium carnosum, Photobacterium phosphoreum, and Photobacterium iliopiscarium) from different modified-atmosphere packaged spoiled and unspoiled meats using an adapted isolation procedure. The abundance of photobacteria in high numbers provides evidence for the hitherto neglected importance and relevance of Photobacterium spp. to meat spoilage.","container-title":"Letters in Applied Microbiology","DOI":"10.1111/lam.12860","ISSN":"1472-765X","issue":"4","journalAbbreviation":"Lett. Appl. Microbiol.","language":"eng","note":"PMID: 29419881","page":"262-267","source":"PubMed","title":"An adapted isolation procedure reveals Photobacterium spp. as common spoilers on modified atmosphere packaged meats","volume":"66","author":[{"family":"Hilgarth","given":"M."},{"family":"Fuertes-Pèrez","given":"S."},{"family":"Ehrmann","given":"M."},{"family":"Vogel","given":"R. F."}],"issued":{"date-parts":[["2018",4]]}}}],"schema":"https://github.com/citation-style-language/schema/raw/master/csl-citation.json"}</w:instrText>
      </w:r>
      <w:r w:rsidR="005C7C99" w:rsidRPr="00524904">
        <w:rPr>
          <w:rFonts w:ascii="Times New Roman" w:hAnsi="Times New Roman" w:cs="Times New Roman"/>
        </w:rPr>
        <w:fldChar w:fldCharType="separate"/>
      </w:r>
      <w:r w:rsidR="005C7C99" w:rsidRPr="00524904">
        <w:rPr>
          <w:rFonts w:ascii="Times New Roman" w:hAnsi="Times New Roman" w:cs="Times New Roman"/>
        </w:rPr>
        <w:t>(Hilgarth et al., 2018)</w:t>
      </w:r>
      <w:bookmarkStart w:id="114" w:name="Bookmark371"/>
      <w:bookmarkStart w:id="115" w:name="Bookmark33111"/>
      <w:bookmarkStart w:id="116" w:name="Bookmark372"/>
      <w:r w:rsidR="005C7C99" w:rsidRPr="00524904">
        <w:rPr>
          <w:rFonts w:ascii="Times New Roman" w:hAnsi="Times New Roman" w:cs="Times New Roman"/>
        </w:rPr>
        <w:fldChar w:fldCharType="end"/>
      </w:r>
      <w:bookmarkEnd w:id="114"/>
      <w:bookmarkEnd w:id="115"/>
      <w:bookmarkEnd w:id="116"/>
      <w:r w:rsidR="005C7C99">
        <w:rPr>
          <w:rFonts w:ascii="Times New Roman" w:hAnsi="Times New Roman" w:cs="Times New Roman"/>
        </w:rPr>
        <w:t>.</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While there was no significant separation between the overall resistome composition at the AMR class level for products with different AMR exposure claims (Figure </w:t>
      </w:r>
      <w:r w:rsidR="00524904">
        <w:rPr>
          <w:rFonts w:ascii="Times New Roman" w:hAnsi="Times New Roman" w:cs="Times New Roman"/>
        </w:rPr>
        <w:t>2</w:t>
      </w:r>
      <w:r>
        <w:rPr>
          <w:rFonts w:ascii="Times New Roman" w:hAnsi="Times New Roman" w:cs="Times New Roman"/>
        </w:rPr>
        <w:t xml:space="preserve">), there were some significant differences between RWA and CONV products for individual taxa of interest. For example, CONV samples had a significantly higher relative abundance of the mechanism, tetracycline resistance major facilitator superfamily (MFS) efflux pump despite there being no significant differences in the relative abundance of hits that mapped to the higher taxonomical </w:t>
      </w:r>
      <w:r>
        <w:rPr>
          <w:rFonts w:ascii="Times New Roman" w:hAnsi="Times New Roman" w:cs="Times New Roman"/>
        </w:rPr>
        <w:lastRenderedPageBreak/>
        <w:t>level of resistance to tetracyclines as a drug class. This suggests that phenotypic testing of AMR and metagenomic analysis at the broad classification of drug class could miss differences that become apparent when analyzing data at lower taxonomic levels (e.g., mechanism or gene group) using sequence-based approaches.</w:t>
      </w:r>
      <w:r w:rsidR="00347D2C">
        <w:rPr>
          <w:rFonts w:ascii="Times New Roman" w:hAnsi="Times New Roman" w:cs="Times New Roman"/>
        </w:rPr>
        <w:t xml:space="preserve"> This has implications with regard to the potential for selection of specific genes or bacterial clones as a result of AMD exposures and should be further explored. Further, this must be balanced with the limitation that</w:t>
      </w:r>
      <w:r w:rsidR="004D1796">
        <w:rPr>
          <w:rFonts w:ascii="Times New Roman" w:hAnsi="Times New Roman" w:cs="Times New Roman"/>
        </w:rPr>
        <w:t xml:space="preserve"> by describing the DNA in a sample,</w:t>
      </w:r>
      <w:r w:rsidR="00347D2C">
        <w:rPr>
          <w:rFonts w:ascii="Times New Roman" w:hAnsi="Times New Roman" w:cs="Times New Roman"/>
        </w:rPr>
        <w:t xml:space="preserve"> metagenomic sequencing</w:t>
      </w:r>
      <w:r w:rsidR="004D1796">
        <w:rPr>
          <w:rFonts w:ascii="Times New Roman" w:hAnsi="Times New Roman" w:cs="Times New Roman"/>
        </w:rPr>
        <w:t xml:space="preserve"> only</w:t>
      </w:r>
      <w:r w:rsidR="00347D2C">
        <w:rPr>
          <w:rFonts w:ascii="Times New Roman" w:hAnsi="Times New Roman" w:cs="Times New Roman"/>
        </w:rPr>
        <w:t xml:space="preserve"> reports the “potential” resistome</w:t>
      </w:r>
      <w:r w:rsidR="004D1796">
        <w:rPr>
          <w:rFonts w:ascii="Times New Roman" w:hAnsi="Times New Roman" w:cs="Times New Roman"/>
        </w:rPr>
        <w:t xml:space="preserve"> function in a microbial population</w:t>
      </w:r>
      <w:r w:rsidR="00347D2C">
        <w:rPr>
          <w:rFonts w:ascii="Times New Roman" w:hAnsi="Times New Roman" w:cs="Times New Roman"/>
        </w:rPr>
        <w:t xml:space="preserve"> and </w:t>
      </w:r>
      <w:r w:rsidR="004D1796">
        <w:rPr>
          <w:rFonts w:ascii="Times New Roman" w:hAnsi="Times New Roman" w:cs="Times New Roman"/>
        </w:rPr>
        <w:t>cannot yet be</w:t>
      </w:r>
      <w:r w:rsidR="00347D2C">
        <w:rPr>
          <w:rFonts w:ascii="Times New Roman" w:hAnsi="Times New Roman" w:cs="Times New Roman"/>
        </w:rPr>
        <w:t xml:space="preserve"> directly </w:t>
      </w:r>
      <w:r w:rsidR="004D1796">
        <w:rPr>
          <w:rFonts w:ascii="Times New Roman" w:hAnsi="Times New Roman" w:cs="Times New Roman"/>
        </w:rPr>
        <w:t>linked</w:t>
      </w:r>
      <w:r w:rsidR="00347D2C">
        <w:rPr>
          <w:rFonts w:ascii="Times New Roman" w:hAnsi="Times New Roman" w:cs="Times New Roman"/>
        </w:rPr>
        <w:t xml:space="preserve"> with phenotypic function</w:t>
      </w:r>
      <w:r w:rsidR="004D1796">
        <w:rPr>
          <w:rFonts w:ascii="Times New Roman" w:hAnsi="Times New Roman" w:cs="Times New Roman"/>
        </w:rPr>
        <w:t xml:space="preserve"> in pathogenic bacteria</w:t>
      </w:r>
      <w:r w:rsidR="00347D2C">
        <w:rPr>
          <w:rFonts w:ascii="Times New Roman" w:hAnsi="Times New Roman" w:cs="Times New Roman"/>
        </w:rPr>
        <w:t xml:space="preserve">. </w:t>
      </w:r>
      <w:r>
        <w:rPr>
          <w:rFonts w:ascii="Times New Roman" w:hAnsi="Times New Roman" w:cs="Times New Roman"/>
        </w:rPr>
        <w:t>Understanding the effects of AMD use in the context of beef production systems requires that these results be carefully interpreted in order to appropriately evaluate risks to human and animal health.</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ab/>
        <w:t xml:space="preserve">The ground beef samples in this study were purchased from 6 different retail stores </w:t>
      </w:r>
      <w:r w:rsidR="00B37548">
        <w:rPr>
          <w:rFonts w:ascii="Times New Roman" w:hAnsi="Times New Roman" w:cs="Times New Roman"/>
        </w:rPr>
        <w:t>to</w:t>
      </w:r>
      <w:r>
        <w:rPr>
          <w:rFonts w:ascii="Times New Roman" w:hAnsi="Times New Roman" w:cs="Times New Roman"/>
        </w:rPr>
        <w:t xml:space="preserve"> provide a diversely representative source of products, however, this study was not designed to test the effect of handling at the store. Nonetheless, our results suggest that the handling of ground beef products by the </w:t>
      </w:r>
      <w:r w:rsidRPr="00E4305A">
        <w:rPr>
          <w:rFonts w:ascii="Times New Roman" w:hAnsi="Times New Roman" w:cs="Times New Roman"/>
          <w:color w:val="auto"/>
        </w:rPr>
        <w:t>retail store</w:t>
      </w:r>
      <w:r w:rsidR="00EF1AEE">
        <w:rPr>
          <w:rFonts w:ascii="Times New Roman" w:hAnsi="Times New Roman" w:cs="Times New Roman"/>
          <w:color w:val="auto"/>
        </w:rPr>
        <w:t xml:space="preserve">, </w:t>
      </w:r>
      <w:r>
        <w:rPr>
          <w:rFonts w:ascii="Times New Roman" w:hAnsi="Times New Roman" w:cs="Times New Roman"/>
        </w:rPr>
        <w:t>could potentially influence the microbiome</w:t>
      </w:r>
      <w:r w:rsidR="00E4305A">
        <w:rPr>
          <w:rFonts w:ascii="Times New Roman" w:hAnsi="Times New Roman" w:cs="Times New Roman"/>
        </w:rPr>
        <w:t xml:space="preserve"> and resistome</w:t>
      </w:r>
      <w:r>
        <w:rPr>
          <w:rFonts w:ascii="Times New Roman" w:hAnsi="Times New Roman" w:cs="Times New Roman"/>
        </w:rPr>
        <w:t xml:space="preserve"> of retail ground beef products.</w:t>
      </w:r>
      <w:r w:rsidR="00EA04A2">
        <w:rPr>
          <w:rFonts w:ascii="Times New Roman" w:hAnsi="Times New Roman" w:cs="Times New Roman"/>
        </w:rPr>
        <w:t xml:space="preserve"> Further, t</w:t>
      </w:r>
      <w:r w:rsidR="00E4305A">
        <w:rPr>
          <w:rFonts w:ascii="Times New Roman" w:hAnsi="Times New Roman" w:cs="Times New Roman"/>
        </w:rPr>
        <w:t>he</w:t>
      </w:r>
      <w:r>
        <w:rPr>
          <w:rFonts w:ascii="Times New Roman" w:hAnsi="Times New Roman" w:cs="Times New Roman"/>
        </w:rPr>
        <w:t xml:space="preserve"> </w:t>
      </w:r>
      <w:r w:rsidR="00EA04A2">
        <w:rPr>
          <w:rFonts w:ascii="Times New Roman" w:hAnsi="Times New Roman" w:cs="Times New Roman"/>
        </w:rPr>
        <w:t xml:space="preserve">type of </w:t>
      </w:r>
      <w:r>
        <w:rPr>
          <w:rFonts w:ascii="Times New Roman" w:hAnsi="Times New Roman" w:cs="Times New Roman"/>
        </w:rPr>
        <w:t xml:space="preserve">packaging </w:t>
      </w:r>
      <w:r w:rsidR="00EF1AEE">
        <w:rPr>
          <w:rFonts w:ascii="Times New Roman" w:hAnsi="Times New Roman" w:cs="Times New Roman"/>
        </w:rPr>
        <w:t xml:space="preserve">was associated with greater differences in </w:t>
      </w:r>
      <w:r w:rsidR="00EF3DB5">
        <w:rPr>
          <w:rFonts w:ascii="Times New Roman" w:hAnsi="Times New Roman" w:cs="Times New Roman"/>
        </w:rPr>
        <w:t xml:space="preserve">the microbiome </w:t>
      </w:r>
      <w:r w:rsidR="00240D39">
        <w:rPr>
          <w:rFonts w:ascii="Times New Roman" w:hAnsi="Times New Roman" w:cs="Times New Roman"/>
        </w:rPr>
        <w:t>as</w:t>
      </w:r>
      <w:r>
        <w:rPr>
          <w:rFonts w:ascii="Times New Roman" w:hAnsi="Times New Roman" w:cs="Times New Roman"/>
        </w:rPr>
        <w:t xml:space="preserve"> we </w:t>
      </w:r>
      <w:r w:rsidR="00EA04A2">
        <w:rPr>
          <w:rFonts w:ascii="Times New Roman" w:hAnsi="Times New Roman" w:cs="Times New Roman"/>
        </w:rPr>
        <w:t>observed</w:t>
      </w:r>
      <w:r>
        <w:rPr>
          <w:rFonts w:ascii="Times New Roman" w:hAnsi="Times New Roman" w:cs="Times New Roman"/>
        </w:rPr>
        <w:t xml:space="preserve"> an overabundance of the bacteria</w:t>
      </w:r>
      <w:r w:rsidR="00EA04A2">
        <w:rPr>
          <w:rFonts w:ascii="Times New Roman" w:hAnsi="Times New Roman" w:cs="Times New Roman"/>
        </w:rPr>
        <w:t>l phyla</w:t>
      </w:r>
      <w:r>
        <w:rPr>
          <w:rFonts w:ascii="Times New Roman" w:hAnsi="Times New Roman" w:cs="Times New Roman"/>
        </w:rPr>
        <w:t xml:space="preserve">, </w:t>
      </w:r>
      <w:r w:rsidR="00EA04A2">
        <w:rPr>
          <w:rFonts w:ascii="Times New Roman" w:hAnsi="Times New Roman" w:cs="Times New Roman"/>
        </w:rPr>
        <w:t>Protobacteria</w:t>
      </w:r>
      <w:r>
        <w:rPr>
          <w:rFonts w:ascii="Times New Roman" w:hAnsi="Times New Roman" w:cs="Times New Roman"/>
        </w:rPr>
        <w:t xml:space="preserve">, in chub packaging </w:t>
      </w:r>
      <w:r w:rsidR="00EA04A2">
        <w:rPr>
          <w:rFonts w:ascii="Times New Roman" w:hAnsi="Times New Roman" w:cs="Times New Roman"/>
        </w:rPr>
        <w:t xml:space="preserve">compared to other packaging types (Supplemental Figure </w:t>
      </w:r>
      <w:r w:rsidR="00524904">
        <w:rPr>
          <w:rFonts w:ascii="Times New Roman" w:hAnsi="Times New Roman" w:cs="Times New Roman"/>
        </w:rPr>
        <w:t>4</w:t>
      </w:r>
      <w:r w:rsidR="00EA04A2">
        <w:rPr>
          <w:rFonts w:ascii="Times New Roman" w:hAnsi="Times New Roman" w:cs="Times New Roman"/>
        </w:rPr>
        <w:t xml:space="preserve">), </w:t>
      </w:r>
      <w:r w:rsidR="00240D39">
        <w:rPr>
          <w:rFonts w:ascii="Times New Roman" w:hAnsi="Times New Roman" w:cs="Times New Roman"/>
        </w:rPr>
        <w:t xml:space="preserve"> but </w:t>
      </w:r>
      <w:r w:rsidR="004E1847">
        <w:rPr>
          <w:rFonts w:ascii="Times New Roman" w:hAnsi="Times New Roman" w:cs="Times New Roman"/>
        </w:rPr>
        <w:t xml:space="preserve">the </w:t>
      </w:r>
      <w:r w:rsidR="00240D39">
        <w:rPr>
          <w:rFonts w:ascii="Times New Roman" w:hAnsi="Times New Roman" w:cs="Times New Roman"/>
        </w:rPr>
        <w:t>resistome</w:t>
      </w:r>
      <w:r w:rsidR="004E1847">
        <w:rPr>
          <w:rFonts w:ascii="Times New Roman" w:hAnsi="Times New Roman" w:cs="Times New Roman"/>
        </w:rPr>
        <w:t xml:space="preserve"> composition did not appear to be </w:t>
      </w:r>
      <w:r w:rsidR="00240D39">
        <w:rPr>
          <w:rFonts w:ascii="Times New Roman" w:hAnsi="Times New Roman" w:cs="Times New Roman"/>
        </w:rPr>
        <w:t>distinct</w:t>
      </w:r>
      <w:r w:rsidR="004E1847">
        <w:rPr>
          <w:rFonts w:ascii="Times New Roman" w:hAnsi="Times New Roman" w:cs="Times New Roman"/>
        </w:rPr>
        <w:t xml:space="preserve"> in chub packaging samples </w:t>
      </w:r>
      <w:r w:rsidR="003449DD">
        <w:rPr>
          <w:rFonts w:ascii="Times New Roman" w:hAnsi="Times New Roman" w:cs="Times New Roman"/>
        </w:rPr>
        <w:t xml:space="preserve">(Supplemental Figure </w:t>
      </w:r>
      <w:r w:rsidR="00524904">
        <w:rPr>
          <w:rFonts w:ascii="Times New Roman" w:hAnsi="Times New Roman" w:cs="Times New Roman"/>
        </w:rPr>
        <w:t>5</w:t>
      </w:r>
      <w:r w:rsidR="003449DD">
        <w:rPr>
          <w:rFonts w:ascii="Times New Roman" w:hAnsi="Times New Roman" w:cs="Times New Roman"/>
        </w:rPr>
        <w:t>).</w:t>
      </w:r>
      <w:r w:rsidR="004E1847">
        <w:rPr>
          <w:rFonts w:ascii="Times New Roman" w:hAnsi="Times New Roman" w:cs="Times New Roman"/>
        </w:rPr>
        <w:t xml:space="preserve"> </w:t>
      </w:r>
      <w:r>
        <w:rPr>
          <w:rFonts w:ascii="Times New Roman" w:hAnsi="Times New Roman" w:cs="Times New Roman"/>
        </w:rPr>
        <w:t xml:space="preserve">There were also no major differences in the resistomes of replicate samples obtained from the same packages. These findings suggest that microbial populations are homogenized and relatively evenly distributed within single batches of ground beef, as might be expected from production methods. However, further comparisons within and between regions </w:t>
      </w:r>
      <w:r>
        <w:rPr>
          <w:rFonts w:ascii="Times New Roman" w:hAnsi="Times New Roman" w:cs="Times New Roman"/>
        </w:rPr>
        <w:lastRenderedPageBreak/>
        <w:t xml:space="preserve">are needed to further evaluate the expected variation in microbiome and resistome composition. Future investigations are also warranted regarding the effects of different product handling protocols (e.g. holding temperatures, product age, packaging, product handling before and after arriving at retail stores, etc) to identify </w:t>
      </w:r>
      <w:r w:rsidR="00347D2C">
        <w:rPr>
          <w:rFonts w:ascii="Times New Roman" w:hAnsi="Times New Roman" w:cs="Times New Roman"/>
        </w:rPr>
        <w:t>possible</w:t>
      </w:r>
      <w:r>
        <w:rPr>
          <w:rFonts w:ascii="Times New Roman" w:hAnsi="Times New Roman" w:cs="Times New Roman"/>
        </w:rPr>
        <w:t xml:space="preserve"> drivers of microbiome changes.</w:t>
      </w:r>
      <w:bookmarkStart w:id="117" w:name="__Fieldmark__12985_2875450830"/>
      <w:bookmarkStart w:id="118" w:name="__Fieldmark__3421_2727157154"/>
      <w:bookmarkEnd w:id="117"/>
      <w:bookmarkEnd w:id="118"/>
      <w:r>
        <w:rPr>
          <w:rFonts w:ascii="Times New Roman" w:hAnsi="Times New Roman" w:cs="Times New Roman"/>
        </w:rPr>
        <w:t xml:space="preserve"> </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ab/>
        <w:t>Metagenomic sequencing is a promising tool for characterizing the microbiome and resistome in retail ground beef products and has potential to be used for tracing individual sequence variants through the food chain. Nonetheless, innovative methods are needed to reduce sequencing cost and improve sequencing depth to get a more detailed perspective of the resistome on ground beef. Importantly, results from metagenomic sequencing must be carefully considered in parallel with traditional methods to better characterize the risk of AMR in retail products.</w:t>
      </w:r>
    </w:p>
    <w:p w:rsidR="001C630E" w:rsidRDefault="005C7C99">
      <w:pPr>
        <w:pStyle w:val="Standard"/>
        <w:tabs>
          <w:tab w:val="left" w:pos="720"/>
        </w:tabs>
        <w:spacing w:line="480" w:lineRule="auto"/>
        <w:rPr>
          <w:rFonts w:ascii="Times New Roman" w:hAnsi="Times New Roman" w:cs="Times New Roman"/>
          <w:b/>
          <w:bCs/>
        </w:rPr>
      </w:pPr>
      <w:r>
        <w:rPr>
          <w:rFonts w:ascii="Times New Roman" w:hAnsi="Times New Roman" w:cs="Times New Roman"/>
          <w:b/>
          <w:bCs/>
        </w:rPr>
        <w:t>DATA AVAILABILITY</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The ground beef metagenomic sequencing dataset is available from National Center for Biotechnology Information’s GenBank database under the BioProject number PRJNA608954.</w:t>
      </w:r>
    </w:p>
    <w:p w:rsidR="001C630E" w:rsidRDefault="005C7C99">
      <w:pPr>
        <w:pStyle w:val="Standard"/>
        <w:tabs>
          <w:tab w:val="left" w:pos="720"/>
        </w:tabs>
        <w:spacing w:line="480" w:lineRule="auto"/>
        <w:rPr>
          <w:rFonts w:ascii="Times New Roman" w:hAnsi="Times New Roman" w:cs="Times New Roman"/>
          <w:b/>
          <w:bCs/>
        </w:rPr>
      </w:pPr>
      <w:r>
        <w:rPr>
          <w:rFonts w:ascii="Times New Roman" w:hAnsi="Times New Roman" w:cs="Times New Roman"/>
          <w:b/>
          <w:bCs/>
        </w:rPr>
        <w:t>SUPPLEMENTAL FILES</w:t>
      </w:r>
    </w:p>
    <w:p w:rsidR="00754FFE" w:rsidRDefault="00754FFE" w:rsidP="00754FFE">
      <w:pPr>
        <w:tabs>
          <w:tab w:val="left" w:pos="720"/>
        </w:tabs>
        <w:spacing w:line="480" w:lineRule="auto"/>
        <w:contextualSpacing/>
        <w:rPr>
          <w:rFonts w:ascii="Times New Roman" w:hAnsi="Times New Roman" w:cs="Times New Roman"/>
          <w:sz w:val="24"/>
          <w:szCs w:val="24"/>
        </w:rPr>
      </w:pPr>
    </w:p>
    <w:p w:rsidR="00754FFE" w:rsidRPr="00841E66" w:rsidRDefault="00754FFE" w:rsidP="00754FFE">
      <w:pPr>
        <w:tabs>
          <w:tab w:val="left" w:pos="720"/>
        </w:tabs>
        <w:spacing w:line="480" w:lineRule="auto"/>
        <w:contextualSpacing/>
        <w:rPr>
          <w:rFonts w:ascii="Times New Roman" w:eastAsia="Times New Roman" w:hAnsi="Times New Roman" w:cs="Times New Roman"/>
          <w:sz w:val="24"/>
          <w:szCs w:val="24"/>
        </w:rPr>
      </w:pPr>
      <w:r w:rsidRPr="00754FFE">
        <w:rPr>
          <w:rFonts w:ascii="Times New Roman" w:hAnsi="Times New Roman" w:cs="Times New Roman"/>
          <w:sz w:val="24"/>
          <w:szCs w:val="24"/>
        </w:rPr>
        <w:t>Supplemental Figure 1.</w:t>
      </w:r>
      <w:r w:rsidRPr="00754FFE">
        <w:rPr>
          <w:rFonts w:ascii="Times New Roman" w:hAnsi="Times New Roman" w:cs="Times New Roman"/>
          <w:b/>
          <w:sz w:val="24"/>
          <w:szCs w:val="24"/>
        </w:rPr>
        <w:t xml:space="preserve"> </w:t>
      </w:r>
      <w:r w:rsidRPr="00754FFE">
        <w:rPr>
          <w:rFonts w:ascii="Times New Roman" w:eastAsia="Times New Roman" w:hAnsi="Times New Roman" w:cs="Times New Roman"/>
          <w:sz w:val="24"/>
          <w:szCs w:val="24"/>
        </w:rPr>
        <w:t xml:space="preserve">Ordination comparing resistome composition at the AMR drug class level, using non-metric multidimensional scaling (NMDS), between biological replicates from </w:t>
      </w:r>
      <w:r w:rsidRPr="00841E66">
        <w:rPr>
          <w:rFonts w:ascii="Times New Roman" w:eastAsia="Times New Roman" w:hAnsi="Times New Roman" w:cs="Times New Roman"/>
          <w:sz w:val="24"/>
          <w:szCs w:val="24"/>
        </w:rPr>
        <w:t xml:space="preserve">the same ground beef product are grouped by color.   </w:t>
      </w:r>
    </w:p>
    <w:p w:rsidR="00841E66" w:rsidRPr="00841E66" w:rsidRDefault="00841E66" w:rsidP="00841E66">
      <w:pPr>
        <w:tabs>
          <w:tab w:val="left" w:pos="720"/>
        </w:tabs>
        <w:spacing w:line="480" w:lineRule="auto"/>
        <w:contextualSpacing/>
        <w:rPr>
          <w:rFonts w:ascii="Times New Roman" w:eastAsia="Times New Roman" w:hAnsi="Times New Roman" w:cs="Times New Roman"/>
          <w:sz w:val="24"/>
          <w:szCs w:val="24"/>
        </w:rPr>
      </w:pPr>
      <w:r w:rsidRPr="00841E66">
        <w:rPr>
          <w:rFonts w:ascii="Times New Roman" w:hAnsi="Times New Roman" w:cs="Times New Roman"/>
          <w:sz w:val="24"/>
          <w:szCs w:val="24"/>
        </w:rPr>
        <w:t xml:space="preserve">Supplemental Figure </w:t>
      </w:r>
      <w:r>
        <w:rPr>
          <w:rFonts w:ascii="Times New Roman" w:hAnsi="Times New Roman" w:cs="Times New Roman"/>
          <w:sz w:val="24"/>
          <w:szCs w:val="24"/>
        </w:rPr>
        <w:t>2</w:t>
      </w:r>
      <w:r w:rsidRPr="00841E66">
        <w:rPr>
          <w:rFonts w:ascii="Times New Roman" w:hAnsi="Times New Roman" w:cs="Times New Roman"/>
          <w:sz w:val="24"/>
          <w:szCs w:val="24"/>
        </w:rPr>
        <w:t>.</w:t>
      </w:r>
      <w:r w:rsidRPr="00841E66">
        <w:rPr>
          <w:rFonts w:ascii="Times New Roman" w:hAnsi="Times New Roman" w:cs="Times New Roman"/>
          <w:b/>
          <w:sz w:val="24"/>
          <w:szCs w:val="24"/>
        </w:rPr>
        <w:t xml:space="preserve"> </w:t>
      </w:r>
      <w:r w:rsidRPr="00841E66">
        <w:rPr>
          <w:rFonts w:ascii="Times New Roman" w:eastAsia="Times New Roman" w:hAnsi="Times New Roman" w:cs="Times New Roman"/>
          <w:sz w:val="24"/>
          <w:szCs w:val="24"/>
        </w:rPr>
        <w:t xml:space="preserve">Ordination comparing resistome composition at the AMR </w:t>
      </w:r>
      <w:r>
        <w:rPr>
          <w:rFonts w:ascii="Times New Roman" w:eastAsia="Times New Roman" w:hAnsi="Times New Roman" w:cs="Times New Roman"/>
          <w:sz w:val="24"/>
          <w:szCs w:val="24"/>
        </w:rPr>
        <w:t xml:space="preserve">mechanism </w:t>
      </w:r>
      <w:r w:rsidRPr="00841E66">
        <w:rPr>
          <w:rFonts w:ascii="Times New Roman" w:eastAsia="Times New Roman" w:hAnsi="Times New Roman" w:cs="Times New Roman"/>
          <w:sz w:val="24"/>
          <w:szCs w:val="24"/>
        </w:rPr>
        <w:t xml:space="preserve">level, using non-metric multidimensional scaling (NMDS), between </w:t>
      </w:r>
      <w:r>
        <w:rPr>
          <w:rFonts w:ascii="Times New Roman" w:eastAsia="Times New Roman" w:hAnsi="Times New Roman" w:cs="Times New Roman"/>
          <w:sz w:val="24"/>
          <w:szCs w:val="24"/>
        </w:rPr>
        <w:t>CONV and RWA samples.</w:t>
      </w:r>
    </w:p>
    <w:p w:rsidR="001C630E" w:rsidRPr="00841E66" w:rsidRDefault="005C7C99" w:rsidP="00841E66">
      <w:pPr>
        <w:tabs>
          <w:tab w:val="left" w:pos="720"/>
        </w:tabs>
        <w:spacing w:line="480" w:lineRule="auto"/>
        <w:contextualSpacing/>
        <w:rPr>
          <w:rFonts w:ascii="Times New Roman" w:eastAsia="Times New Roman" w:hAnsi="Times New Roman" w:cs="Times New Roman"/>
          <w:sz w:val="24"/>
          <w:szCs w:val="24"/>
        </w:rPr>
      </w:pPr>
      <w:r w:rsidRPr="00841E66">
        <w:rPr>
          <w:rFonts w:ascii="Times New Roman" w:hAnsi="Times New Roman" w:cs="Times New Roman"/>
          <w:sz w:val="24"/>
          <w:szCs w:val="24"/>
        </w:rPr>
        <w:t xml:space="preserve">Supplemental Figure </w:t>
      </w:r>
      <w:r w:rsidR="00754FFE" w:rsidRPr="00841E66">
        <w:rPr>
          <w:rFonts w:ascii="Times New Roman" w:hAnsi="Times New Roman" w:cs="Times New Roman"/>
          <w:sz w:val="24"/>
          <w:szCs w:val="24"/>
        </w:rPr>
        <w:t>3</w:t>
      </w:r>
      <w:r w:rsidRPr="00841E66">
        <w:rPr>
          <w:rFonts w:ascii="Times New Roman" w:hAnsi="Times New Roman" w:cs="Times New Roman"/>
          <w:sz w:val="24"/>
          <w:szCs w:val="24"/>
        </w:rPr>
        <w:t>. Heatmap of the number of samples with counts for “clinically important genes” on the y-axis, by sample packaging type on the x-axis.</w:t>
      </w:r>
    </w:p>
    <w:p w:rsidR="001C630E" w:rsidRDefault="005C7C99" w:rsidP="00F007AB">
      <w:pPr>
        <w:pStyle w:val="Standard"/>
        <w:tabs>
          <w:tab w:val="left" w:pos="720"/>
        </w:tabs>
        <w:spacing w:line="480" w:lineRule="auto"/>
        <w:rPr>
          <w:rFonts w:ascii="Times New Roman" w:hAnsi="Times New Roman" w:cs="Times New Roman"/>
        </w:rPr>
      </w:pPr>
      <w:r w:rsidRPr="00841E66">
        <w:rPr>
          <w:rFonts w:ascii="Times New Roman" w:hAnsi="Times New Roman" w:cs="Times New Roman"/>
        </w:rPr>
        <w:lastRenderedPageBreak/>
        <w:t xml:space="preserve">Supplemental Figure </w:t>
      </w:r>
      <w:r w:rsidR="00754FFE" w:rsidRPr="00841E66">
        <w:rPr>
          <w:rFonts w:ascii="Times New Roman" w:hAnsi="Times New Roman" w:cs="Times New Roman"/>
        </w:rPr>
        <w:t>4</w:t>
      </w:r>
      <w:r w:rsidRPr="00841E66">
        <w:rPr>
          <w:rFonts w:ascii="Times New Roman" w:hAnsi="Times New Roman" w:cs="Times New Roman"/>
        </w:rPr>
        <w:t xml:space="preserve">. Stacked bar graph of the microbiome composition at the </w:t>
      </w:r>
      <w:r w:rsidR="00754FFE" w:rsidRPr="00841E66">
        <w:rPr>
          <w:rFonts w:ascii="Times New Roman" w:hAnsi="Times New Roman" w:cs="Times New Roman"/>
        </w:rPr>
        <w:t>genus</w:t>
      </w:r>
      <w:r w:rsidRPr="00841E66">
        <w:rPr>
          <w:rFonts w:ascii="Times New Roman" w:hAnsi="Times New Roman" w:cs="Times New Roman"/>
        </w:rPr>
        <w:t xml:space="preserve"> level with samples on the x-axis and relative abundance</w:t>
      </w:r>
      <w:r>
        <w:rPr>
          <w:rFonts w:ascii="Times New Roman" w:hAnsi="Times New Roman" w:cs="Times New Roman"/>
        </w:rPr>
        <w:t xml:space="preserve"> on the y-axis, by packaging type.</w:t>
      </w:r>
    </w:p>
    <w:p w:rsidR="0011701F" w:rsidRDefault="0011701F" w:rsidP="00F007AB">
      <w:pPr>
        <w:pStyle w:val="Standard"/>
        <w:tabs>
          <w:tab w:val="left" w:pos="720"/>
        </w:tabs>
        <w:spacing w:line="480" w:lineRule="auto"/>
        <w:rPr>
          <w:rFonts w:ascii="Times New Roman" w:hAnsi="Times New Roman" w:cs="Times New Roman"/>
        </w:rPr>
      </w:pPr>
      <w:r>
        <w:rPr>
          <w:rFonts w:ascii="Times New Roman" w:hAnsi="Times New Roman" w:cs="Times New Roman"/>
        </w:rPr>
        <w:t>Supplemental Figure 5. NMDS ordination of the microbiome</w:t>
      </w:r>
      <w:r w:rsidR="0082155F">
        <w:rPr>
          <w:rFonts w:ascii="Times New Roman" w:hAnsi="Times New Roman" w:cs="Times New Roman"/>
        </w:rPr>
        <w:t xml:space="preserve"> by retail store</w:t>
      </w:r>
      <w:r>
        <w:rPr>
          <w:rFonts w:ascii="Times New Roman" w:hAnsi="Times New Roman" w:cs="Times New Roman"/>
        </w:rPr>
        <w:t xml:space="preserve"> at all levels.</w:t>
      </w:r>
    </w:p>
    <w:p w:rsidR="00754FFE" w:rsidRDefault="00754FFE" w:rsidP="00F007AB">
      <w:pPr>
        <w:pStyle w:val="Standard"/>
        <w:tabs>
          <w:tab w:val="left" w:pos="720"/>
        </w:tabs>
        <w:spacing w:line="480" w:lineRule="auto"/>
        <w:rPr>
          <w:rFonts w:ascii="Times New Roman" w:hAnsi="Times New Roman" w:cs="Times New Roman"/>
        </w:rPr>
      </w:pPr>
      <w:r>
        <w:rPr>
          <w:rFonts w:ascii="Times New Roman" w:hAnsi="Times New Roman" w:cs="Times New Roman"/>
        </w:rPr>
        <w:t xml:space="preserve">Supplemental Figure </w:t>
      </w:r>
      <w:r w:rsidR="0011701F">
        <w:rPr>
          <w:rFonts w:ascii="Times New Roman" w:hAnsi="Times New Roman" w:cs="Times New Roman"/>
        </w:rPr>
        <w:t>6</w:t>
      </w:r>
      <w:r>
        <w:rPr>
          <w:rFonts w:ascii="Times New Roman" w:hAnsi="Times New Roman" w:cs="Times New Roman"/>
        </w:rPr>
        <w:t>. Stacked bar graph of the microbiome composition at the phylum level with samples on the x-axis and relative abundance on the y-axis, by packaging type.</w:t>
      </w:r>
    </w:p>
    <w:p w:rsidR="00782F5E" w:rsidRDefault="00782F5E" w:rsidP="00782F5E">
      <w:pPr>
        <w:pStyle w:val="Standard"/>
        <w:tabs>
          <w:tab w:val="left" w:pos="720"/>
        </w:tabs>
        <w:spacing w:line="480" w:lineRule="auto"/>
        <w:rPr>
          <w:rFonts w:ascii="Times New Roman" w:hAnsi="Times New Roman" w:cs="Times New Roman"/>
        </w:rPr>
      </w:pPr>
      <w:r>
        <w:rPr>
          <w:rFonts w:ascii="Times New Roman" w:hAnsi="Times New Roman" w:cs="Times New Roman"/>
        </w:rPr>
        <w:t xml:space="preserve">Supplemental Figure </w:t>
      </w:r>
      <w:r w:rsidR="0011701F">
        <w:rPr>
          <w:rFonts w:ascii="Times New Roman" w:hAnsi="Times New Roman" w:cs="Times New Roman"/>
        </w:rPr>
        <w:t>7</w:t>
      </w:r>
      <w:r>
        <w:rPr>
          <w:rFonts w:ascii="Times New Roman" w:hAnsi="Times New Roman" w:cs="Times New Roman"/>
        </w:rPr>
        <w:t>. Stacked bar graph of the resistome composition at the class level with samples on the x-axis and relative abundance on the y-axis, by packaging type.</w:t>
      </w:r>
    </w:p>
    <w:p w:rsidR="00782F5E" w:rsidRDefault="00782F5E">
      <w:pPr>
        <w:pStyle w:val="Standard"/>
        <w:tabs>
          <w:tab w:val="left" w:pos="720"/>
          <w:tab w:val="left" w:pos="4215"/>
        </w:tabs>
        <w:spacing w:line="480" w:lineRule="auto"/>
        <w:rPr>
          <w:rFonts w:ascii="Times New Roman" w:hAnsi="Times New Roman" w:cs="Times New Roman"/>
        </w:rPr>
      </w:pPr>
    </w:p>
    <w:p w:rsidR="001C630E" w:rsidRDefault="005C7C99">
      <w:pPr>
        <w:pStyle w:val="Standard"/>
        <w:tabs>
          <w:tab w:val="left" w:pos="720"/>
          <w:tab w:val="left" w:pos="4215"/>
        </w:tabs>
        <w:spacing w:line="480" w:lineRule="auto"/>
        <w:rPr>
          <w:rFonts w:ascii="Times New Roman" w:hAnsi="Times New Roman" w:cs="Times New Roman"/>
        </w:rPr>
      </w:pPr>
      <w:r>
        <w:rPr>
          <w:rFonts w:ascii="Times New Roman" w:hAnsi="Times New Roman" w:cs="Times New Roman"/>
        </w:rPr>
        <w:t>Supplemental File 1. Excel spreadsheet containing metadata for the 16 microbiome samples and 32 resistome samples.</w:t>
      </w:r>
      <w:r>
        <w:rPr>
          <w:rFonts w:ascii="Times New Roman" w:hAnsi="Times New Roman" w:cs="Times New Roman"/>
        </w:rPr>
        <w:tab/>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 xml:space="preserve">Supplemental File </w:t>
      </w:r>
      <w:r w:rsidR="00841E66">
        <w:rPr>
          <w:rFonts w:ascii="Times New Roman" w:hAnsi="Times New Roman" w:cs="Times New Roman"/>
        </w:rPr>
        <w:t>2</w:t>
      </w:r>
      <w:r>
        <w:rPr>
          <w:rFonts w:ascii="Times New Roman" w:hAnsi="Times New Roman" w:cs="Times New Roman"/>
        </w:rPr>
        <w:t>. Excel spreadsheet containing the resistome raw count matrix.</w:t>
      </w:r>
    </w:p>
    <w:p w:rsidR="00841E66" w:rsidRDefault="00841E66">
      <w:pPr>
        <w:pStyle w:val="Standard"/>
        <w:tabs>
          <w:tab w:val="left" w:pos="720"/>
        </w:tabs>
        <w:spacing w:line="480" w:lineRule="auto"/>
        <w:rPr>
          <w:rFonts w:ascii="Times New Roman" w:hAnsi="Times New Roman" w:cs="Times New Roman"/>
        </w:rPr>
      </w:pPr>
      <w:r>
        <w:rPr>
          <w:rFonts w:ascii="Times New Roman" w:hAnsi="Times New Roman" w:cs="Times New Roman"/>
        </w:rPr>
        <w:t>Supplemental File 3. Excel spreadsheet containing results for ANOSIM and Wilcoxon statistical comparisons between sample groups.</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Supplemental File 4. Excel spreadsheet containing results from differential resistome feature abundance testing using a zero-inflated Gaussian (ZIG) model.</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Supplemental File 5. Excel spreadsheet containing the microbiome raw count matrix.</w:t>
      </w:r>
    </w:p>
    <w:p w:rsidR="001C630E" w:rsidRDefault="005C7C99">
      <w:pPr>
        <w:pStyle w:val="Standard"/>
        <w:tabs>
          <w:tab w:val="left" w:pos="720"/>
        </w:tabs>
        <w:spacing w:line="480" w:lineRule="auto"/>
        <w:rPr>
          <w:rFonts w:ascii="Times New Roman" w:hAnsi="Times New Roman" w:cs="Times New Roman"/>
        </w:rPr>
      </w:pPr>
      <w:r>
        <w:rPr>
          <w:rFonts w:ascii="Times New Roman" w:hAnsi="Times New Roman" w:cs="Times New Roman"/>
        </w:rPr>
        <w:t>Supplemental File 6. Excel spreadsheet containing results from differential microbiome feature abundance testing using a zero-inflated Gaussian (ZIG) model.</w:t>
      </w:r>
    </w:p>
    <w:p w:rsidR="001C630E" w:rsidRDefault="005C7C99">
      <w:pPr>
        <w:pStyle w:val="Standard"/>
        <w:tabs>
          <w:tab w:val="left" w:pos="720"/>
        </w:tabs>
        <w:spacing w:line="480" w:lineRule="auto"/>
        <w:rPr>
          <w:rFonts w:ascii="Times New Roman" w:hAnsi="Times New Roman" w:cs="Times New Roman"/>
        </w:rPr>
      </w:pPr>
      <w:r>
        <w:br w:type="page"/>
      </w:r>
    </w:p>
    <w:p w:rsidR="001C630E" w:rsidRDefault="005C7C99">
      <w:pPr>
        <w:suppressAutoHyphens w:val="0"/>
        <w:rPr>
          <w:rFonts w:ascii="Times New Roman" w:hAnsi="Times New Roman" w:cs="Times New Roman"/>
          <w:b/>
          <w:bCs/>
          <w:sz w:val="24"/>
          <w:szCs w:val="24"/>
        </w:rPr>
      </w:pPr>
      <w:r>
        <w:rPr>
          <w:rFonts w:ascii="Times New Roman" w:hAnsi="Times New Roman" w:cs="Times New Roman"/>
          <w:b/>
          <w:bCs/>
          <w:sz w:val="24"/>
          <w:szCs w:val="24"/>
        </w:rPr>
        <w:lastRenderedPageBreak/>
        <w:t>TABLES</w:t>
      </w:r>
    </w:p>
    <w:p w:rsidR="001C630E" w:rsidRDefault="001C630E">
      <w:pPr>
        <w:suppressAutoHyphens w:val="0"/>
        <w:rPr>
          <w:rFonts w:ascii="Times New Roman" w:hAnsi="Times New Roman" w:cs="Times New Roman"/>
          <w:b/>
          <w:bCs/>
          <w:sz w:val="24"/>
          <w:szCs w:val="24"/>
        </w:rPr>
      </w:pPr>
    </w:p>
    <w:tbl>
      <w:tblPr>
        <w:tblW w:w="9701" w:type="dxa"/>
        <w:tblInd w:w="108" w:type="dxa"/>
        <w:tblLook w:val="04A0" w:firstRow="1" w:lastRow="0" w:firstColumn="1" w:lastColumn="0" w:noHBand="0" w:noVBand="1"/>
      </w:tblPr>
      <w:tblGrid>
        <w:gridCol w:w="3260"/>
        <w:gridCol w:w="920"/>
        <w:gridCol w:w="932"/>
        <w:gridCol w:w="916"/>
        <w:gridCol w:w="916"/>
        <w:gridCol w:w="916"/>
        <w:gridCol w:w="916"/>
        <w:gridCol w:w="925"/>
      </w:tblGrid>
      <w:tr w:rsidR="009D5B0A" w:rsidRPr="009D5B0A" w:rsidTr="009D5B0A">
        <w:trPr>
          <w:trHeight w:val="300"/>
        </w:trPr>
        <w:tc>
          <w:tcPr>
            <w:tcW w:w="3260" w:type="dxa"/>
            <w:tcBorders>
              <w:top w:val="nil"/>
              <w:left w:val="nil"/>
              <w:bottom w:val="nil"/>
              <w:right w:val="nil"/>
            </w:tcBorders>
            <w:shd w:val="clear" w:color="FFFFCC" w:fill="FFFFFF"/>
            <w:noWrap/>
            <w:vAlign w:val="bottom"/>
            <w:hideMark/>
          </w:tcPr>
          <w:p w:rsidR="009D5B0A" w:rsidRPr="009D5B0A" w:rsidRDefault="009D5B0A" w:rsidP="009D5B0A">
            <w:pPr>
              <w:suppressAutoHyphens w:val="0"/>
              <w:rPr>
                <w:rFonts w:eastAsia="Times New Roman" w:cs="Calibri"/>
                <w:color w:val="000000"/>
                <w:lang w:eastAsia="en-US"/>
              </w:rPr>
            </w:pPr>
            <w:r w:rsidRPr="009D5B0A">
              <w:rPr>
                <w:rFonts w:eastAsia="Times New Roman" w:cs="Calibri"/>
                <w:color w:val="000000"/>
                <w:lang w:eastAsia="en-US"/>
              </w:rPr>
              <w:t> </w:t>
            </w:r>
          </w:p>
        </w:tc>
        <w:tc>
          <w:tcPr>
            <w:tcW w:w="920" w:type="dxa"/>
            <w:tcBorders>
              <w:top w:val="nil"/>
              <w:left w:val="nil"/>
              <w:bottom w:val="nil"/>
              <w:right w:val="nil"/>
            </w:tcBorders>
            <w:shd w:val="clear" w:color="FFFFCC" w:fill="FFFFFF"/>
            <w:noWrap/>
            <w:vAlign w:val="bottom"/>
            <w:hideMark/>
          </w:tcPr>
          <w:p w:rsidR="009D5B0A" w:rsidRPr="009D5B0A" w:rsidRDefault="009D5B0A" w:rsidP="009D5B0A">
            <w:pPr>
              <w:suppressAutoHyphens w:val="0"/>
              <w:rPr>
                <w:rFonts w:eastAsia="Times New Roman" w:cs="Calibri"/>
                <w:color w:val="000000"/>
                <w:lang w:eastAsia="en-US"/>
              </w:rPr>
            </w:pPr>
            <w:r w:rsidRPr="009D5B0A">
              <w:rPr>
                <w:rFonts w:eastAsia="Times New Roman" w:cs="Calibri"/>
                <w:color w:val="000000"/>
                <w:lang w:eastAsia="en-US"/>
              </w:rPr>
              <w:t> </w:t>
            </w:r>
          </w:p>
        </w:tc>
        <w:tc>
          <w:tcPr>
            <w:tcW w:w="5521" w:type="dxa"/>
            <w:gridSpan w:val="6"/>
            <w:tcBorders>
              <w:top w:val="nil"/>
              <w:left w:val="nil"/>
              <w:bottom w:val="single" w:sz="4" w:space="0" w:color="auto"/>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Taxonomic Rank</w:t>
            </w:r>
          </w:p>
        </w:tc>
      </w:tr>
      <w:tr w:rsidR="009D5B0A" w:rsidRPr="009D5B0A" w:rsidTr="009D5B0A">
        <w:trPr>
          <w:trHeight w:val="300"/>
        </w:trPr>
        <w:tc>
          <w:tcPr>
            <w:tcW w:w="3260" w:type="dxa"/>
            <w:tcBorders>
              <w:top w:val="single" w:sz="4" w:space="0" w:color="auto"/>
              <w:left w:val="nil"/>
              <w:bottom w:val="single" w:sz="4" w:space="0" w:color="auto"/>
              <w:right w:val="nil"/>
            </w:tcBorders>
            <w:shd w:val="clear" w:color="FFFFCC" w:fill="FFFFFF"/>
            <w:noWrap/>
            <w:vAlign w:val="bottom"/>
            <w:hideMark/>
          </w:tcPr>
          <w:p w:rsidR="009D5B0A" w:rsidRPr="009D5B0A" w:rsidRDefault="009D5B0A" w:rsidP="009D5B0A">
            <w:pPr>
              <w:suppressAutoHyphens w:val="0"/>
              <w:rPr>
                <w:rFonts w:eastAsia="Times New Roman" w:cs="Calibri"/>
                <w:color w:val="000000"/>
                <w:lang w:eastAsia="en-US"/>
              </w:rPr>
            </w:pPr>
            <w:r w:rsidRPr="009D5B0A">
              <w:rPr>
                <w:rFonts w:eastAsia="Times New Roman" w:cs="Calibri"/>
                <w:color w:val="000000"/>
                <w:lang w:eastAsia="en-US"/>
              </w:rPr>
              <w:t>Treatment group</w:t>
            </w:r>
          </w:p>
        </w:tc>
        <w:tc>
          <w:tcPr>
            <w:tcW w:w="920" w:type="dxa"/>
            <w:tcBorders>
              <w:top w:val="single" w:sz="4" w:space="0" w:color="auto"/>
              <w:left w:val="nil"/>
              <w:bottom w:val="single" w:sz="4" w:space="0" w:color="auto"/>
              <w:right w:val="nil"/>
            </w:tcBorders>
            <w:shd w:val="clear" w:color="FFFFCC" w:fill="FFFFFF"/>
            <w:noWrap/>
            <w:vAlign w:val="bottom"/>
            <w:hideMark/>
          </w:tcPr>
          <w:p w:rsidR="009D5B0A" w:rsidRPr="009D5B0A" w:rsidRDefault="009D5B0A" w:rsidP="009D5B0A">
            <w:pPr>
              <w:suppressAutoHyphens w:val="0"/>
              <w:rPr>
                <w:rFonts w:eastAsia="Times New Roman" w:cs="Calibri"/>
                <w:color w:val="000000"/>
                <w:lang w:eastAsia="en-US"/>
              </w:rPr>
            </w:pPr>
            <w:r w:rsidRPr="009D5B0A">
              <w:rPr>
                <w:rFonts w:eastAsia="Times New Roman" w:cs="Calibri"/>
                <w:color w:val="000000"/>
                <w:lang w:eastAsia="en-US"/>
              </w:rPr>
              <w:t>Domain</w:t>
            </w:r>
          </w:p>
        </w:tc>
        <w:tc>
          <w:tcPr>
            <w:tcW w:w="932" w:type="dxa"/>
            <w:tcBorders>
              <w:top w:val="nil"/>
              <w:left w:val="nil"/>
              <w:bottom w:val="single" w:sz="4" w:space="0" w:color="auto"/>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Phylum</w:t>
            </w:r>
          </w:p>
        </w:tc>
        <w:tc>
          <w:tcPr>
            <w:tcW w:w="916" w:type="dxa"/>
            <w:tcBorders>
              <w:top w:val="nil"/>
              <w:left w:val="nil"/>
              <w:bottom w:val="single" w:sz="4" w:space="0" w:color="auto"/>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Class</w:t>
            </w:r>
          </w:p>
        </w:tc>
        <w:tc>
          <w:tcPr>
            <w:tcW w:w="916" w:type="dxa"/>
            <w:tcBorders>
              <w:top w:val="nil"/>
              <w:left w:val="nil"/>
              <w:bottom w:val="single" w:sz="4" w:space="0" w:color="auto"/>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Order</w:t>
            </w:r>
          </w:p>
        </w:tc>
        <w:tc>
          <w:tcPr>
            <w:tcW w:w="916" w:type="dxa"/>
            <w:tcBorders>
              <w:top w:val="nil"/>
              <w:left w:val="nil"/>
              <w:bottom w:val="single" w:sz="4" w:space="0" w:color="auto"/>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Family</w:t>
            </w:r>
          </w:p>
        </w:tc>
        <w:tc>
          <w:tcPr>
            <w:tcW w:w="916" w:type="dxa"/>
            <w:tcBorders>
              <w:top w:val="nil"/>
              <w:left w:val="nil"/>
              <w:bottom w:val="single" w:sz="4" w:space="0" w:color="auto"/>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Genus</w:t>
            </w:r>
          </w:p>
        </w:tc>
        <w:tc>
          <w:tcPr>
            <w:tcW w:w="925" w:type="dxa"/>
            <w:tcBorders>
              <w:top w:val="nil"/>
              <w:left w:val="nil"/>
              <w:bottom w:val="single" w:sz="4" w:space="0" w:color="auto"/>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Species</w:t>
            </w:r>
          </w:p>
        </w:tc>
      </w:tr>
      <w:tr w:rsidR="009D5B0A" w:rsidRPr="009D5B0A" w:rsidTr="009D5B0A">
        <w:trPr>
          <w:trHeight w:val="375"/>
        </w:trPr>
        <w:tc>
          <w:tcPr>
            <w:tcW w:w="3260" w:type="dxa"/>
            <w:tcBorders>
              <w:top w:val="nil"/>
              <w:left w:val="nil"/>
              <w:bottom w:val="nil"/>
              <w:right w:val="nil"/>
            </w:tcBorders>
            <w:shd w:val="clear" w:color="FFFFCC" w:fill="FFFFFF"/>
            <w:vAlign w:val="bottom"/>
            <w:hideMark/>
          </w:tcPr>
          <w:p w:rsidR="009D5B0A" w:rsidRPr="009D5B0A" w:rsidRDefault="009D5B0A" w:rsidP="009D5B0A">
            <w:pPr>
              <w:suppressAutoHyphens w:val="0"/>
              <w:rPr>
                <w:rFonts w:eastAsia="Times New Roman" w:cs="Calibri"/>
                <w:color w:val="000000"/>
                <w:lang w:eastAsia="en-US"/>
              </w:rPr>
            </w:pPr>
            <w:r w:rsidRPr="009D5B0A">
              <w:rPr>
                <w:rFonts w:eastAsia="Times New Roman" w:cs="Calibri"/>
                <w:color w:val="000000"/>
                <w:lang w:eastAsia="en-US"/>
              </w:rPr>
              <w:t>Raised without antibiotics (RWA)</w:t>
            </w:r>
          </w:p>
        </w:tc>
        <w:tc>
          <w:tcPr>
            <w:tcW w:w="920" w:type="dxa"/>
            <w:tcBorders>
              <w:top w:val="nil"/>
              <w:left w:val="nil"/>
              <w:bottom w:val="nil"/>
              <w:right w:val="nil"/>
            </w:tcBorders>
            <w:shd w:val="clear" w:color="FFFFCC" w:fill="FFFFFF"/>
            <w:vAlign w:val="bottom"/>
            <w:hideMark/>
          </w:tcPr>
          <w:p w:rsidR="009D5B0A" w:rsidRPr="009D5B0A" w:rsidRDefault="009D5B0A" w:rsidP="009D5B0A">
            <w:pPr>
              <w:suppressAutoHyphens w:val="0"/>
              <w:jc w:val="right"/>
              <w:rPr>
                <w:rFonts w:eastAsia="Times New Roman" w:cs="Calibri"/>
                <w:color w:val="000000"/>
                <w:lang w:eastAsia="en-US"/>
              </w:rPr>
            </w:pPr>
            <w:r w:rsidRPr="009D5B0A">
              <w:rPr>
                <w:rFonts w:eastAsia="Times New Roman" w:cs="Calibri"/>
                <w:color w:val="000000"/>
                <w:lang w:eastAsia="en-US"/>
              </w:rPr>
              <w:t>100%</w:t>
            </w:r>
          </w:p>
        </w:tc>
        <w:tc>
          <w:tcPr>
            <w:tcW w:w="932" w:type="dxa"/>
            <w:tcBorders>
              <w:top w:val="nil"/>
              <w:left w:val="nil"/>
              <w:bottom w:val="nil"/>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85.34%</w:t>
            </w:r>
          </w:p>
        </w:tc>
        <w:tc>
          <w:tcPr>
            <w:tcW w:w="916" w:type="dxa"/>
            <w:tcBorders>
              <w:top w:val="nil"/>
              <w:left w:val="nil"/>
              <w:bottom w:val="nil"/>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85.34%</w:t>
            </w:r>
          </w:p>
        </w:tc>
        <w:tc>
          <w:tcPr>
            <w:tcW w:w="916" w:type="dxa"/>
            <w:tcBorders>
              <w:top w:val="nil"/>
              <w:left w:val="nil"/>
              <w:bottom w:val="nil"/>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85.33%</w:t>
            </w:r>
          </w:p>
        </w:tc>
        <w:tc>
          <w:tcPr>
            <w:tcW w:w="916" w:type="dxa"/>
            <w:tcBorders>
              <w:top w:val="nil"/>
              <w:left w:val="nil"/>
              <w:bottom w:val="nil"/>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81.70%</w:t>
            </w:r>
          </w:p>
        </w:tc>
        <w:tc>
          <w:tcPr>
            <w:tcW w:w="916" w:type="dxa"/>
            <w:tcBorders>
              <w:top w:val="nil"/>
              <w:left w:val="nil"/>
              <w:bottom w:val="nil"/>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75.63%</w:t>
            </w:r>
          </w:p>
        </w:tc>
        <w:tc>
          <w:tcPr>
            <w:tcW w:w="925" w:type="dxa"/>
            <w:tcBorders>
              <w:top w:val="nil"/>
              <w:left w:val="nil"/>
              <w:bottom w:val="nil"/>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73.51%</w:t>
            </w:r>
          </w:p>
        </w:tc>
      </w:tr>
      <w:tr w:rsidR="009D5B0A" w:rsidRPr="009D5B0A" w:rsidTr="009D5B0A">
        <w:trPr>
          <w:trHeight w:val="300"/>
        </w:trPr>
        <w:tc>
          <w:tcPr>
            <w:tcW w:w="3260" w:type="dxa"/>
            <w:tcBorders>
              <w:top w:val="nil"/>
              <w:left w:val="nil"/>
              <w:bottom w:val="nil"/>
              <w:right w:val="nil"/>
            </w:tcBorders>
            <w:shd w:val="clear" w:color="FFFFCC" w:fill="FFFFFF"/>
            <w:noWrap/>
            <w:vAlign w:val="bottom"/>
            <w:hideMark/>
          </w:tcPr>
          <w:p w:rsidR="009D5B0A" w:rsidRPr="009D5B0A" w:rsidRDefault="009D5B0A" w:rsidP="009D5B0A">
            <w:pPr>
              <w:suppressAutoHyphens w:val="0"/>
              <w:rPr>
                <w:rFonts w:eastAsia="Times New Roman" w:cs="Calibri"/>
                <w:color w:val="000000"/>
                <w:lang w:eastAsia="en-US"/>
              </w:rPr>
            </w:pPr>
            <w:r w:rsidRPr="009D5B0A">
              <w:rPr>
                <w:rFonts w:eastAsia="Times New Roman" w:cs="Calibri"/>
                <w:color w:val="000000"/>
                <w:lang w:eastAsia="en-US"/>
              </w:rPr>
              <w:t>Conventional (CONV)</w:t>
            </w:r>
          </w:p>
        </w:tc>
        <w:tc>
          <w:tcPr>
            <w:tcW w:w="920" w:type="dxa"/>
            <w:tcBorders>
              <w:top w:val="nil"/>
              <w:left w:val="nil"/>
              <w:bottom w:val="nil"/>
              <w:right w:val="nil"/>
            </w:tcBorders>
            <w:shd w:val="clear" w:color="FFFFCC" w:fill="FFFFFF"/>
            <w:noWrap/>
            <w:vAlign w:val="bottom"/>
            <w:hideMark/>
          </w:tcPr>
          <w:p w:rsidR="009D5B0A" w:rsidRPr="009D5B0A" w:rsidRDefault="009D5B0A" w:rsidP="009D5B0A">
            <w:pPr>
              <w:suppressAutoHyphens w:val="0"/>
              <w:jc w:val="right"/>
              <w:rPr>
                <w:rFonts w:eastAsia="Times New Roman" w:cs="Calibri"/>
                <w:color w:val="000000"/>
                <w:lang w:eastAsia="en-US"/>
              </w:rPr>
            </w:pPr>
            <w:r w:rsidRPr="009D5B0A">
              <w:rPr>
                <w:rFonts w:eastAsia="Times New Roman" w:cs="Calibri"/>
                <w:color w:val="000000"/>
                <w:lang w:eastAsia="en-US"/>
              </w:rPr>
              <w:t>100%</w:t>
            </w:r>
          </w:p>
        </w:tc>
        <w:tc>
          <w:tcPr>
            <w:tcW w:w="932" w:type="dxa"/>
            <w:tcBorders>
              <w:top w:val="nil"/>
              <w:left w:val="nil"/>
              <w:bottom w:val="nil"/>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89.88%</w:t>
            </w:r>
          </w:p>
        </w:tc>
        <w:tc>
          <w:tcPr>
            <w:tcW w:w="916" w:type="dxa"/>
            <w:tcBorders>
              <w:top w:val="nil"/>
              <w:left w:val="nil"/>
              <w:bottom w:val="nil"/>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89.88%</w:t>
            </w:r>
          </w:p>
        </w:tc>
        <w:tc>
          <w:tcPr>
            <w:tcW w:w="916" w:type="dxa"/>
            <w:tcBorders>
              <w:top w:val="nil"/>
              <w:left w:val="nil"/>
              <w:bottom w:val="nil"/>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89.87%</w:t>
            </w:r>
          </w:p>
        </w:tc>
        <w:tc>
          <w:tcPr>
            <w:tcW w:w="916" w:type="dxa"/>
            <w:tcBorders>
              <w:top w:val="nil"/>
              <w:left w:val="nil"/>
              <w:bottom w:val="nil"/>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88.20%</w:t>
            </w:r>
          </w:p>
        </w:tc>
        <w:tc>
          <w:tcPr>
            <w:tcW w:w="916" w:type="dxa"/>
            <w:tcBorders>
              <w:top w:val="nil"/>
              <w:left w:val="nil"/>
              <w:bottom w:val="nil"/>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82.83%</w:t>
            </w:r>
          </w:p>
        </w:tc>
        <w:tc>
          <w:tcPr>
            <w:tcW w:w="925" w:type="dxa"/>
            <w:tcBorders>
              <w:top w:val="nil"/>
              <w:left w:val="nil"/>
              <w:bottom w:val="nil"/>
              <w:right w:val="nil"/>
            </w:tcBorders>
            <w:shd w:val="clear" w:color="FFFFCC" w:fill="FFFFFF"/>
            <w:noWrap/>
            <w:vAlign w:val="bottom"/>
            <w:hideMark/>
          </w:tcPr>
          <w:p w:rsidR="009D5B0A" w:rsidRPr="009D5B0A" w:rsidRDefault="009D5B0A" w:rsidP="009D5B0A">
            <w:pPr>
              <w:suppressAutoHyphens w:val="0"/>
              <w:jc w:val="center"/>
              <w:rPr>
                <w:rFonts w:eastAsia="Times New Roman" w:cs="Calibri"/>
                <w:color w:val="000000"/>
                <w:lang w:eastAsia="en-US"/>
              </w:rPr>
            </w:pPr>
            <w:r w:rsidRPr="009D5B0A">
              <w:rPr>
                <w:rFonts w:eastAsia="Times New Roman" w:cs="Calibri"/>
                <w:color w:val="000000"/>
                <w:lang w:eastAsia="en-US"/>
              </w:rPr>
              <w:t>50.55%</w:t>
            </w:r>
          </w:p>
        </w:tc>
      </w:tr>
    </w:tbl>
    <w:p w:rsidR="009D5B0A" w:rsidRDefault="009D5B0A">
      <w:pPr>
        <w:suppressAutoHyphens w:val="0"/>
        <w:rPr>
          <w:rFonts w:ascii="Times New Roman" w:hAnsi="Times New Roman" w:cs="Times New Roman"/>
          <w:b/>
          <w:bCs/>
          <w:sz w:val="24"/>
          <w:szCs w:val="24"/>
        </w:rPr>
      </w:pPr>
    </w:p>
    <w:p w:rsidR="001C630E" w:rsidRDefault="005C7C99">
      <w:pPr>
        <w:suppressAutoHyphens w:val="0"/>
        <w:rPr>
          <w:rFonts w:ascii="Times New Roman" w:hAnsi="Times New Roman" w:cs="Times New Roman"/>
          <w:b/>
          <w:bCs/>
          <w:sz w:val="24"/>
          <w:szCs w:val="24"/>
        </w:rPr>
      </w:pPr>
      <w:r>
        <w:rPr>
          <w:rFonts w:ascii="Times New Roman" w:hAnsi="Times New Roman" w:cs="Times New Roman"/>
          <w:sz w:val="24"/>
          <w:szCs w:val="24"/>
        </w:rPr>
        <w:t>Table 1. Table of the percentage of 16S rRNA sequencing reads classified taxonomically to each Linnaean level, by treatment group (CONV vs RWA).</w:t>
      </w:r>
      <w:r>
        <w:br w:type="page"/>
      </w:r>
    </w:p>
    <w:p w:rsidR="001C630E" w:rsidRDefault="005C7C99">
      <w:pPr>
        <w:tabs>
          <w:tab w:val="left" w:pos="720"/>
        </w:tabs>
        <w:contextualSpacing/>
        <w:rPr>
          <w:rFonts w:ascii="Times New Roman" w:hAnsi="Times New Roman" w:cs="Times New Roman"/>
          <w:b/>
          <w:bCs/>
          <w:sz w:val="24"/>
          <w:szCs w:val="24"/>
        </w:rPr>
      </w:pPr>
      <w:r>
        <w:rPr>
          <w:rFonts w:ascii="Times New Roman" w:hAnsi="Times New Roman" w:cs="Times New Roman"/>
          <w:b/>
          <w:bCs/>
          <w:sz w:val="24"/>
          <w:szCs w:val="24"/>
        </w:rPr>
        <w:lastRenderedPageBreak/>
        <w:t>FIGURES</w:t>
      </w:r>
    </w:p>
    <w:p w:rsidR="001C630E" w:rsidRDefault="00FA34C9">
      <w:pPr>
        <w:tabs>
          <w:tab w:val="left" w:pos="720"/>
        </w:tabs>
        <w:contextualSpacing/>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349250</wp:posOffset>
            </wp:positionV>
            <wp:extent cx="6332220" cy="42773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2220" cy="427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630E" w:rsidRDefault="001C630E">
      <w:pPr>
        <w:tabs>
          <w:tab w:val="left" w:pos="720"/>
        </w:tabs>
        <w:contextualSpacing/>
        <w:rPr>
          <w:rFonts w:ascii="Times New Roman" w:hAnsi="Times New Roman" w:cs="Times New Roman"/>
          <w:sz w:val="24"/>
          <w:szCs w:val="24"/>
        </w:rPr>
      </w:pPr>
    </w:p>
    <w:p w:rsidR="001C630E" w:rsidRDefault="001C630E">
      <w:pPr>
        <w:tabs>
          <w:tab w:val="left" w:pos="720"/>
        </w:tabs>
        <w:contextualSpacing/>
        <w:rPr>
          <w:rFonts w:ascii="Times New Roman" w:hAnsi="Times New Roman" w:cs="Times New Roman"/>
          <w:sz w:val="24"/>
          <w:szCs w:val="24"/>
        </w:rPr>
      </w:pPr>
    </w:p>
    <w:p w:rsidR="001C630E" w:rsidRDefault="005C7C99">
      <w:pPr>
        <w:tabs>
          <w:tab w:val="left" w:pos="720"/>
        </w:tabs>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0A5F14">
        <w:rPr>
          <w:rFonts w:ascii="Times New Roman" w:hAnsi="Times New Roman" w:cs="Times New Roman"/>
          <w:sz w:val="24"/>
          <w:szCs w:val="24"/>
        </w:rPr>
        <w:t>1</w:t>
      </w:r>
      <w:r>
        <w:rPr>
          <w:rFonts w:ascii="Times New Roman" w:hAnsi="Times New Roman" w:cs="Times New Roman"/>
          <w:sz w:val="24"/>
          <w:szCs w:val="24"/>
        </w:rPr>
        <w:t>. Stacked bar graphs showing the A) resistome composition and B) microbiome composition of ground beef samples in this study. Individual ground beef samples are on the x-axis and relative abundance proportions are on the y-axis. A) Resistome composition at the AMR drug class level for all 16 CONV and RWA ground beef samples in the study, including biological replicates (N=32). B) Microbiome composition at the phylum level for all 16 ground beef samples, with phyla composing less than 1% of all microbiome counts labeled as “Low Abundance Phyla.</w:t>
      </w:r>
    </w:p>
    <w:p w:rsidR="001C630E" w:rsidRDefault="001C630E">
      <w:pPr>
        <w:tabs>
          <w:tab w:val="left" w:pos="720"/>
        </w:tabs>
        <w:contextualSpacing/>
        <w:rPr>
          <w:rFonts w:ascii="Times New Roman" w:hAnsi="Times New Roman" w:cs="Times New Roman"/>
          <w:sz w:val="24"/>
          <w:szCs w:val="24"/>
        </w:rPr>
      </w:pPr>
    </w:p>
    <w:p w:rsidR="001C630E" w:rsidRDefault="001C630E">
      <w:pPr>
        <w:tabs>
          <w:tab w:val="left" w:pos="720"/>
        </w:tabs>
        <w:contextualSpacing/>
        <w:rPr>
          <w:rFonts w:ascii="Times New Roman" w:hAnsi="Times New Roman" w:cs="Times New Roman"/>
          <w:sz w:val="24"/>
          <w:szCs w:val="24"/>
        </w:rPr>
      </w:pPr>
    </w:p>
    <w:p w:rsidR="001C630E" w:rsidRDefault="001C630E">
      <w:pPr>
        <w:tabs>
          <w:tab w:val="left" w:pos="720"/>
        </w:tabs>
        <w:contextualSpacing/>
        <w:rPr>
          <w:rFonts w:ascii="Times New Roman" w:hAnsi="Times New Roman" w:cs="Times New Roman"/>
          <w:sz w:val="24"/>
          <w:szCs w:val="24"/>
        </w:rPr>
      </w:pPr>
    </w:p>
    <w:p w:rsidR="001C630E" w:rsidRDefault="001C630E">
      <w:pPr>
        <w:tabs>
          <w:tab w:val="left" w:pos="720"/>
        </w:tabs>
        <w:contextualSpacing/>
        <w:rPr>
          <w:rFonts w:ascii="Times New Roman" w:hAnsi="Times New Roman" w:cs="Times New Roman"/>
          <w:sz w:val="24"/>
          <w:szCs w:val="24"/>
        </w:rPr>
      </w:pPr>
    </w:p>
    <w:p w:rsidR="001C630E" w:rsidRDefault="001C630E">
      <w:pPr>
        <w:tabs>
          <w:tab w:val="left" w:pos="720"/>
        </w:tabs>
        <w:contextualSpacing/>
        <w:rPr>
          <w:rFonts w:ascii="Times New Roman" w:hAnsi="Times New Roman" w:cs="Times New Roman"/>
          <w:sz w:val="24"/>
          <w:szCs w:val="24"/>
        </w:rPr>
      </w:pPr>
    </w:p>
    <w:p w:rsidR="001C630E" w:rsidRDefault="001C630E">
      <w:pPr>
        <w:tabs>
          <w:tab w:val="left" w:pos="720"/>
        </w:tabs>
        <w:contextualSpacing/>
        <w:rPr>
          <w:rFonts w:ascii="Times New Roman" w:hAnsi="Times New Roman" w:cs="Times New Roman"/>
          <w:sz w:val="24"/>
          <w:szCs w:val="24"/>
        </w:rPr>
      </w:pPr>
    </w:p>
    <w:p w:rsidR="001C630E" w:rsidRDefault="005C7C99">
      <w:pPr>
        <w:tabs>
          <w:tab w:val="left" w:pos="720"/>
        </w:tabs>
        <w:contextualSpacing/>
        <w:rPr>
          <w:rFonts w:ascii="Times New Roman" w:hAnsi="Times New Roman" w:cs="Times New Roman"/>
          <w:sz w:val="24"/>
          <w:szCs w:val="24"/>
        </w:rPr>
      </w:pPr>
      <w:r>
        <w:br w:type="page"/>
      </w:r>
    </w:p>
    <w:p w:rsidR="001C630E" w:rsidRDefault="005C7C99">
      <w:pPr>
        <w:tabs>
          <w:tab w:val="left" w:pos="720"/>
        </w:tabs>
        <w:rPr>
          <w:rFonts w:ascii="Times New Roman" w:hAnsi="Times New Roman" w:cs="Times New Roman"/>
          <w:sz w:val="24"/>
          <w:szCs w:val="24"/>
        </w:rPr>
      </w:pPr>
      <w:r>
        <w:rPr>
          <w:noProof/>
        </w:rPr>
        <w:lastRenderedPageBreak/>
        <w:drawing>
          <wp:inline distT="0" distB="0" distL="0" distR="0">
            <wp:extent cx="5943600" cy="4193540"/>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noChangeArrowheads="1"/>
                    </pic:cNvPicPr>
                  </pic:nvPicPr>
                  <pic:blipFill>
                    <a:blip r:embed="rId13"/>
                    <a:stretch>
                      <a:fillRect/>
                    </a:stretch>
                  </pic:blipFill>
                  <pic:spPr bwMode="auto">
                    <a:xfrm>
                      <a:off x="0" y="0"/>
                      <a:ext cx="5943600" cy="4193540"/>
                    </a:xfrm>
                    <a:prstGeom prst="rect">
                      <a:avLst/>
                    </a:prstGeom>
                  </pic:spPr>
                </pic:pic>
              </a:graphicData>
            </a:graphic>
          </wp:inline>
        </w:drawing>
      </w:r>
    </w:p>
    <w:p w:rsidR="001C630E" w:rsidRDefault="005C7C99">
      <w:pPr>
        <w:tabs>
          <w:tab w:val="left" w:pos="720"/>
        </w:tabs>
        <w:rPr>
          <w:rFonts w:ascii="Times New Roman" w:hAnsi="Times New Roman" w:cs="Times New Roman"/>
          <w:sz w:val="24"/>
          <w:szCs w:val="24"/>
        </w:rPr>
      </w:pPr>
      <w:r>
        <w:rPr>
          <w:rFonts w:ascii="Times New Roman" w:hAnsi="Times New Roman" w:cs="Times New Roman"/>
          <w:sz w:val="24"/>
          <w:szCs w:val="24"/>
        </w:rPr>
        <w:t xml:space="preserve">Figure </w:t>
      </w:r>
      <w:r w:rsidR="00FA34C9">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Ordination comparing resistome composition at the AMR drug class level, using non-metric multidimensional scaling (NMDS), between labeling types on ground beef products; conventional (CONV) vs raised without antibiotics (RWA). </w:t>
      </w:r>
      <w:r>
        <w:br w:type="page"/>
      </w:r>
    </w:p>
    <w:p w:rsidR="001C630E" w:rsidRDefault="001C630E">
      <w:pPr>
        <w:tabs>
          <w:tab w:val="left" w:pos="720"/>
        </w:tabs>
        <w:rPr>
          <w:rFonts w:ascii="Times New Roman" w:hAnsi="Times New Roman" w:cs="Times New Roman"/>
          <w:sz w:val="24"/>
          <w:szCs w:val="24"/>
        </w:rPr>
      </w:pPr>
    </w:p>
    <w:p w:rsidR="001C630E" w:rsidRDefault="005C7C99">
      <w:pPr>
        <w:tabs>
          <w:tab w:val="left" w:pos="720"/>
        </w:tabs>
        <w:rPr>
          <w:rFonts w:ascii="Times New Roman" w:hAnsi="Times New Roman" w:cs="Times New Roman"/>
          <w:sz w:val="24"/>
          <w:szCs w:val="24"/>
        </w:rPr>
      </w:pPr>
      <w:r>
        <w:rPr>
          <w:noProof/>
        </w:rPr>
        <w:drawing>
          <wp:inline distT="0" distB="0" distL="0" distR="0">
            <wp:extent cx="5382260" cy="5119370"/>
            <wp:effectExtent l="0" t="0" r="0" b="0"/>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14"/>
                    <a:stretch>
                      <a:fillRect/>
                    </a:stretch>
                  </pic:blipFill>
                  <pic:spPr bwMode="auto">
                    <a:xfrm>
                      <a:off x="0" y="0"/>
                      <a:ext cx="5382260" cy="5119370"/>
                    </a:xfrm>
                    <a:prstGeom prst="rect">
                      <a:avLst/>
                    </a:prstGeom>
                  </pic:spPr>
                </pic:pic>
              </a:graphicData>
            </a:graphic>
          </wp:inline>
        </w:drawing>
      </w:r>
    </w:p>
    <w:p w:rsidR="001C630E" w:rsidRDefault="001C630E">
      <w:pPr>
        <w:tabs>
          <w:tab w:val="left" w:pos="720"/>
        </w:tabs>
        <w:rPr>
          <w:rFonts w:ascii="Times New Roman" w:hAnsi="Times New Roman" w:cs="Times New Roman"/>
          <w:sz w:val="24"/>
          <w:szCs w:val="24"/>
        </w:rPr>
      </w:pPr>
    </w:p>
    <w:p w:rsidR="001C630E" w:rsidRDefault="001C630E">
      <w:pPr>
        <w:tabs>
          <w:tab w:val="left" w:pos="720"/>
        </w:tabs>
        <w:rPr>
          <w:rFonts w:ascii="Times New Roman" w:hAnsi="Times New Roman" w:cs="Times New Roman"/>
          <w:sz w:val="24"/>
          <w:szCs w:val="24"/>
        </w:rPr>
      </w:pPr>
    </w:p>
    <w:p w:rsidR="001C630E" w:rsidRDefault="005C7C99">
      <w:pPr>
        <w:tabs>
          <w:tab w:val="left" w:pos="720"/>
        </w:tabs>
        <w:rPr>
          <w:rFonts w:ascii="Times New Roman" w:hAnsi="Times New Roman" w:cs="Times New Roman"/>
          <w:sz w:val="24"/>
          <w:szCs w:val="24"/>
        </w:rPr>
      </w:pPr>
      <w:r>
        <w:rPr>
          <w:rFonts w:ascii="Times New Roman" w:eastAsia="Times New Roman" w:hAnsi="Times New Roman" w:cs="Times New Roman"/>
          <w:sz w:val="24"/>
          <w:szCs w:val="24"/>
        </w:rPr>
        <w:t xml:space="preserve">Figure </w:t>
      </w:r>
      <w:r w:rsidR="00FA34C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Boxplot of resistome richness and Shannon’s diversity at the AMR class and mechanism levels of the two study groups, CONV vs RWA. The horizontal line is the median value, the middle box indicates the inter-quantile range, whiskers represent values within 1.5 IQR of the lower and upper quartiles, and individual points show outlier values.</w:t>
      </w:r>
      <w:r>
        <w:br w:type="page"/>
      </w:r>
    </w:p>
    <w:p w:rsidR="001C630E" w:rsidRDefault="001C630E">
      <w:pPr>
        <w:tabs>
          <w:tab w:val="left" w:pos="720"/>
        </w:tabs>
        <w:rPr>
          <w:rFonts w:ascii="Times New Roman" w:hAnsi="Times New Roman" w:cs="Times New Roman"/>
          <w:sz w:val="24"/>
          <w:szCs w:val="24"/>
        </w:rPr>
      </w:pPr>
    </w:p>
    <w:p w:rsidR="001C630E" w:rsidRDefault="005C7C99">
      <w:pPr>
        <w:tabs>
          <w:tab w:val="left" w:pos="720"/>
        </w:tabs>
        <w:rPr>
          <w:rFonts w:ascii="Times New Roman" w:hAnsi="Times New Roman" w:cs="Times New Roman"/>
          <w:sz w:val="24"/>
          <w:szCs w:val="24"/>
        </w:rPr>
      </w:pPr>
      <w:r>
        <w:rPr>
          <w:noProof/>
        </w:rPr>
        <w:drawing>
          <wp:inline distT="0" distB="0" distL="0" distR="0">
            <wp:extent cx="5943600" cy="4158615"/>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5"/>
                    <a:stretch>
                      <a:fillRect/>
                    </a:stretch>
                  </pic:blipFill>
                  <pic:spPr bwMode="auto">
                    <a:xfrm>
                      <a:off x="0" y="0"/>
                      <a:ext cx="5943600" cy="4158615"/>
                    </a:xfrm>
                    <a:prstGeom prst="rect">
                      <a:avLst/>
                    </a:prstGeom>
                  </pic:spPr>
                </pic:pic>
              </a:graphicData>
            </a:graphic>
          </wp:inline>
        </w:drawing>
      </w:r>
    </w:p>
    <w:p w:rsidR="001C630E" w:rsidRDefault="001C630E">
      <w:pPr>
        <w:tabs>
          <w:tab w:val="left" w:pos="720"/>
        </w:tabs>
        <w:rPr>
          <w:rFonts w:ascii="Times New Roman" w:hAnsi="Times New Roman" w:cs="Times New Roman"/>
          <w:sz w:val="24"/>
          <w:szCs w:val="24"/>
        </w:rPr>
      </w:pPr>
    </w:p>
    <w:p w:rsidR="001C630E" w:rsidRDefault="005C7C99">
      <w:pPr>
        <w:tabs>
          <w:tab w:val="left" w:pos="720"/>
        </w:tabs>
        <w:rPr>
          <w:rFonts w:ascii="Times New Roman" w:hAnsi="Times New Roman" w:cs="Times New Roman"/>
          <w:sz w:val="24"/>
          <w:szCs w:val="24"/>
        </w:rPr>
      </w:pPr>
      <w:r>
        <w:rPr>
          <w:rFonts w:ascii="Times New Roman" w:hAnsi="Times New Roman" w:cs="Times New Roman"/>
          <w:sz w:val="24"/>
          <w:szCs w:val="24"/>
        </w:rPr>
        <w:t xml:space="preserve">Figure </w:t>
      </w:r>
      <w:r w:rsidR="00FA34C9">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eastAsia="Times New Roman" w:hAnsi="Times New Roman" w:cs="Times New Roman"/>
          <w:sz w:val="24"/>
          <w:szCs w:val="24"/>
        </w:rPr>
        <w:t xml:space="preserve">Ordination comparing microbiome composition at the </w:t>
      </w:r>
      <w:r w:rsidR="00FA34C9">
        <w:rPr>
          <w:rFonts w:ascii="Times New Roman" w:eastAsia="Times New Roman" w:hAnsi="Times New Roman" w:cs="Times New Roman"/>
          <w:sz w:val="24"/>
          <w:szCs w:val="24"/>
        </w:rPr>
        <w:t>order</w:t>
      </w:r>
      <w:r>
        <w:rPr>
          <w:rFonts w:ascii="Times New Roman" w:eastAsia="Times New Roman" w:hAnsi="Times New Roman" w:cs="Times New Roman"/>
          <w:sz w:val="24"/>
          <w:szCs w:val="24"/>
        </w:rPr>
        <w:t xml:space="preserve"> taxonomic level, using non-metric multidimensional scaling (NMDS), between labeling types on ground beef products; conventional (CONV) vs raised without antibiotics (RWA).</w:t>
      </w:r>
      <w:r>
        <w:br w:type="page"/>
      </w:r>
    </w:p>
    <w:p w:rsidR="001C630E" w:rsidRDefault="001C630E">
      <w:pPr>
        <w:pStyle w:val="Standard"/>
        <w:tabs>
          <w:tab w:val="left" w:pos="720"/>
        </w:tabs>
        <w:rPr>
          <w:rFonts w:ascii="Times New Roman" w:hAnsi="Times New Roman" w:cs="Times New Roman"/>
        </w:rPr>
      </w:pPr>
    </w:p>
    <w:p w:rsidR="001C630E" w:rsidRDefault="001C630E">
      <w:pPr>
        <w:pStyle w:val="Standard"/>
        <w:tabs>
          <w:tab w:val="left" w:pos="720"/>
        </w:tabs>
        <w:rPr>
          <w:rFonts w:ascii="Times New Roman" w:hAnsi="Times New Roman" w:cs="Times New Roman"/>
        </w:rPr>
      </w:pPr>
    </w:p>
    <w:p w:rsidR="001C630E" w:rsidRDefault="001C630E">
      <w:pPr>
        <w:pStyle w:val="Standard"/>
        <w:tabs>
          <w:tab w:val="left" w:pos="720"/>
        </w:tabs>
        <w:rPr>
          <w:rFonts w:ascii="Times New Roman" w:hAnsi="Times New Roman" w:cs="Times New Roman"/>
        </w:rPr>
      </w:pPr>
    </w:p>
    <w:p w:rsidR="001C630E" w:rsidRDefault="001C630E">
      <w:pPr>
        <w:pStyle w:val="Standard"/>
        <w:tabs>
          <w:tab w:val="left" w:pos="720"/>
        </w:tabs>
        <w:rPr>
          <w:rFonts w:ascii="Times New Roman" w:hAnsi="Times New Roman" w:cs="Times New Roman"/>
        </w:rPr>
      </w:pPr>
    </w:p>
    <w:p w:rsidR="001C630E" w:rsidRDefault="001C630E">
      <w:pPr>
        <w:pStyle w:val="Standard"/>
        <w:tabs>
          <w:tab w:val="left" w:pos="720"/>
        </w:tabs>
        <w:rPr>
          <w:rFonts w:ascii="Times New Roman" w:hAnsi="Times New Roman" w:cs="Times New Roman"/>
        </w:rPr>
      </w:pPr>
    </w:p>
    <w:p w:rsidR="001C630E" w:rsidRDefault="005C7C99">
      <w:pPr>
        <w:pStyle w:val="Standard"/>
        <w:tabs>
          <w:tab w:val="left" w:pos="720"/>
        </w:tabs>
        <w:rPr>
          <w:rFonts w:ascii="Times New Roman" w:hAnsi="Times New Roman" w:cs="Times New Roman"/>
        </w:rPr>
      </w:pPr>
      <w:r>
        <w:rPr>
          <w:noProof/>
        </w:rPr>
        <w:drawing>
          <wp:inline distT="0" distB="0" distL="0" distR="0">
            <wp:extent cx="5361940" cy="4988560"/>
            <wp:effectExtent l="0" t="0" r="0" b="0"/>
            <wp:docPr id="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pic:cNvPicPr>
                      <a:picLocks noChangeAspect="1" noChangeArrowheads="1"/>
                    </pic:cNvPicPr>
                  </pic:nvPicPr>
                  <pic:blipFill>
                    <a:blip r:embed="rId16"/>
                    <a:stretch>
                      <a:fillRect/>
                    </a:stretch>
                  </pic:blipFill>
                  <pic:spPr bwMode="auto">
                    <a:xfrm>
                      <a:off x="0" y="0"/>
                      <a:ext cx="5361940" cy="4988560"/>
                    </a:xfrm>
                    <a:prstGeom prst="rect">
                      <a:avLst/>
                    </a:prstGeom>
                  </pic:spPr>
                </pic:pic>
              </a:graphicData>
            </a:graphic>
          </wp:inline>
        </w:drawing>
      </w:r>
    </w:p>
    <w:p w:rsidR="001C630E" w:rsidRDefault="005C7C99">
      <w:pPr>
        <w:pStyle w:val="Standard"/>
        <w:tabs>
          <w:tab w:val="left" w:pos="720"/>
        </w:tabs>
        <w:rPr>
          <w:rFonts w:ascii="Times New Roman" w:hAnsi="Times New Roman" w:cs="Times New Roman"/>
        </w:rPr>
      </w:pPr>
      <w:r>
        <w:rPr>
          <w:rFonts w:ascii="Times New Roman" w:eastAsia="Times New Roman" w:hAnsi="Times New Roman" w:cs="Times New Roman"/>
        </w:rPr>
        <w:t xml:space="preserve">Figure </w:t>
      </w:r>
      <w:r w:rsidR="00FA34C9">
        <w:rPr>
          <w:rFonts w:ascii="Times New Roman" w:eastAsia="Times New Roman" w:hAnsi="Times New Roman" w:cs="Times New Roman"/>
        </w:rPr>
        <w:t>5</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Boxplot of resistome richness and Shannon’s diversity at the taxonomic phylum, class and order levels of the two study groups, CONV vs RWA. The horizontal line is the median value, the middle box indicates the inter-quantile range, whiskers represent values within 1.5 IQR of the lower and upper quartiles, and individual points show outlier values.</w:t>
      </w:r>
    </w:p>
    <w:p w:rsidR="001C630E" w:rsidRDefault="005C7C99">
      <w:pPr>
        <w:suppressAutoHyphens w:val="0"/>
        <w:rPr>
          <w:rFonts w:ascii="Times New Roman" w:hAnsi="Times New Roman" w:cs="Times New Roman"/>
          <w:sz w:val="24"/>
          <w:szCs w:val="24"/>
        </w:rPr>
      </w:pPr>
      <w:r>
        <w:br w:type="page"/>
      </w:r>
    </w:p>
    <w:p w:rsidR="001C630E" w:rsidRDefault="005C7C99">
      <w:pPr>
        <w:tabs>
          <w:tab w:val="left" w:pos="72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1C630E" w:rsidRDefault="001C630E">
      <w:pPr>
        <w:tabs>
          <w:tab w:val="left" w:pos="720"/>
        </w:tabs>
        <w:rPr>
          <w:rFonts w:ascii="Times New Roman" w:hAnsi="Times New Roman" w:cs="Times New Roman"/>
          <w:sz w:val="24"/>
          <w:szCs w:val="24"/>
        </w:rPr>
      </w:pPr>
    </w:p>
    <w:p w:rsidR="001C630E" w:rsidRDefault="001C630E">
      <w:pPr>
        <w:pStyle w:val="Bibliography"/>
        <w:rPr>
          <w:rFonts w:ascii="Times New Roman" w:hAnsi="Times New Roman" w:cs="Times New Roman"/>
          <w:sz w:val="24"/>
          <w:szCs w:val="24"/>
        </w:rPr>
      </w:pP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Berthelot, J.-M., Sellam, J., Maugars, Y., and Berenbaum, F. (2019). Cartilage-gut-microbiome axis: a new paradigm for novel therapeutic opportunities in osteoarthritis. </w:t>
      </w:r>
      <w:r>
        <w:rPr>
          <w:rFonts w:ascii="Times New Roman" w:hAnsi="Times New Roman" w:cs="Times New Roman"/>
          <w:i/>
          <w:iCs/>
          <w:sz w:val="24"/>
          <w:szCs w:val="24"/>
        </w:rPr>
        <w:t>RMD Open</w:t>
      </w:r>
      <w:r>
        <w:rPr>
          <w:rFonts w:ascii="Times New Roman" w:hAnsi="Times New Roman" w:cs="Times New Roman"/>
          <w:sz w:val="24"/>
          <w:szCs w:val="24"/>
        </w:rPr>
        <w:t xml:space="preserve"> 5. doi:10.1136/rmdopen-2019-001037.</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Bolyen, E., Rideout, J. R., Dillon, M. R., Bokulich, N. A., Abnet, C. C., Al-Ghalith, G. A., et al. (2019). Reproducible, interactive, scalable and extensible microbiome data science using QIIME 2. </w:t>
      </w:r>
      <w:r>
        <w:rPr>
          <w:rFonts w:ascii="Times New Roman" w:hAnsi="Times New Roman" w:cs="Times New Roman"/>
          <w:i/>
          <w:iCs/>
          <w:sz w:val="24"/>
          <w:szCs w:val="24"/>
        </w:rPr>
        <w:t>Nature Biotechnology</w:t>
      </w:r>
      <w:r>
        <w:rPr>
          <w:rFonts w:ascii="Times New Roman" w:hAnsi="Times New Roman" w:cs="Times New Roman"/>
          <w:sz w:val="24"/>
          <w:szCs w:val="24"/>
        </w:rPr>
        <w:t xml:space="preserve"> 37, 852–857. doi:10.1038/s41587-019-0209-9.</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Borch, E., Kant-Muermans, M. L., and Blixt, Y. (1996). Bacterial spoilage of meat and cured meat products. </w:t>
      </w:r>
      <w:r>
        <w:rPr>
          <w:rFonts w:ascii="Times New Roman" w:hAnsi="Times New Roman" w:cs="Times New Roman"/>
          <w:i/>
          <w:iCs/>
          <w:sz w:val="24"/>
          <w:szCs w:val="24"/>
        </w:rPr>
        <w:t>Int. J. Food Microbiol.</w:t>
      </w:r>
      <w:r>
        <w:rPr>
          <w:rFonts w:ascii="Times New Roman" w:hAnsi="Times New Roman" w:cs="Times New Roman"/>
          <w:sz w:val="24"/>
          <w:szCs w:val="24"/>
        </w:rPr>
        <w:t xml:space="preserve"> 33, 103–120. doi:10.1016/0168-1605(96)01135-x.</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Callahan, B. J., McMurdie, P. J., Rosen, M. J., Han, A. W., Johnson, A. J. A., and Holmes, S. P. (2016). DADA2: High-resolution sample inference from Illumina amplicon data. </w:t>
      </w:r>
      <w:r>
        <w:rPr>
          <w:rFonts w:ascii="Times New Roman" w:hAnsi="Times New Roman" w:cs="Times New Roman"/>
          <w:i/>
          <w:iCs/>
          <w:sz w:val="24"/>
          <w:szCs w:val="24"/>
        </w:rPr>
        <w:t>Nature Methods</w:t>
      </w:r>
      <w:r>
        <w:rPr>
          <w:rFonts w:ascii="Times New Roman" w:hAnsi="Times New Roman" w:cs="Times New Roman"/>
          <w:sz w:val="24"/>
          <w:szCs w:val="24"/>
        </w:rPr>
        <w:t xml:space="preserve"> 13, 581–583. doi:10.1038/nmeth.3869.</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Caro‐Quintero, A., and Konstantinidis, K. T. (2012). Bacterial species may exist, metagenomics reveal. </w:t>
      </w:r>
      <w:r>
        <w:rPr>
          <w:rFonts w:ascii="Times New Roman" w:hAnsi="Times New Roman" w:cs="Times New Roman"/>
          <w:i/>
          <w:iCs/>
          <w:sz w:val="24"/>
          <w:szCs w:val="24"/>
        </w:rPr>
        <w:t>Environmental Microbiology</w:t>
      </w:r>
      <w:r>
        <w:rPr>
          <w:rFonts w:ascii="Times New Roman" w:hAnsi="Times New Roman" w:cs="Times New Roman"/>
          <w:sz w:val="24"/>
          <w:szCs w:val="24"/>
        </w:rPr>
        <w:t xml:space="preserve"> 14, 347–355. doi:10.1111/j.1462-2920.2011.02668.x.</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Castillo, D. J., Rifkin, R. F., Cowan, D. A., and Potgieter, M. (2019). The Healthy Human Blood Microbiome: Fact or Fiction? </w:t>
      </w:r>
      <w:r>
        <w:rPr>
          <w:rFonts w:ascii="Times New Roman" w:hAnsi="Times New Roman" w:cs="Times New Roman"/>
          <w:i/>
          <w:iCs/>
          <w:sz w:val="24"/>
          <w:szCs w:val="24"/>
        </w:rPr>
        <w:t>Front. Cell. Infect. Microbiol.</w:t>
      </w:r>
      <w:r>
        <w:rPr>
          <w:rFonts w:ascii="Times New Roman" w:hAnsi="Times New Roman" w:cs="Times New Roman"/>
          <w:sz w:val="24"/>
          <w:szCs w:val="24"/>
        </w:rPr>
        <w:t xml:space="preserve"> 9. doi:10.3389/fcimb.2019.00148.</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Development Core Team, R. (2008). “R Core Team. R A Language and Environment for Statistical Computing 2014,” in </w:t>
      </w:r>
      <w:r>
        <w:rPr>
          <w:rFonts w:ascii="Times New Roman" w:hAnsi="Times New Roman" w:cs="Times New Roman"/>
          <w:i/>
          <w:iCs/>
          <w:sz w:val="24"/>
          <w:szCs w:val="24"/>
        </w:rPr>
        <w:t>R Foundation for Statistical Computing</w:t>
      </w:r>
      <w:r>
        <w:rPr>
          <w:rFonts w:ascii="Times New Roman" w:hAnsi="Times New Roman" w:cs="Times New Roman"/>
          <w:sz w:val="24"/>
          <w:szCs w:val="24"/>
        </w:rPr>
        <w:t>.</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Hall, R. M., and Schwarz, S. (2016). Resistance gene naming and numbering: is it a new gene or not? </w:t>
      </w:r>
      <w:r>
        <w:rPr>
          <w:rFonts w:ascii="Times New Roman" w:hAnsi="Times New Roman" w:cs="Times New Roman"/>
          <w:i/>
          <w:iCs/>
          <w:sz w:val="24"/>
          <w:szCs w:val="24"/>
        </w:rPr>
        <w:t>J. Antimicrob. Chemother.</w:t>
      </w:r>
      <w:r>
        <w:rPr>
          <w:rFonts w:ascii="Times New Roman" w:hAnsi="Times New Roman" w:cs="Times New Roman"/>
          <w:sz w:val="24"/>
          <w:szCs w:val="24"/>
        </w:rPr>
        <w:t xml:space="preserve"> 71, 569–571. doi:10.1093/jac/dkv351.</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Hilgarth, M., Fuertes-Pèrez, S., Ehrmann, M., and Vogel, R. F. (2018). An adapted isolation procedure reveals Photobacterium spp. as common spoilers on modified atmosphere packaged meats. </w:t>
      </w:r>
      <w:r>
        <w:rPr>
          <w:rFonts w:ascii="Times New Roman" w:hAnsi="Times New Roman" w:cs="Times New Roman"/>
          <w:i/>
          <w:iCs/>
          <w:sz w:val="24"/>
          <w:szCs w:val="24"/>
        </w:rPr>
        <w:t>Lett. Appl. Microbiol.</w:t>
      </w:r>
      <w:r>
        <w:rPr>
          <w:rFonts w:ascii="Times New Roman" w:hAnsi="Times New Roman" w:cs="Times New Roman"/>
          <w:sz w:val="24"/>
          <w:szCs w:val="24"/>
        </w:rPr>
        <w:t xml:space="preserve"> 66, 262–267. doi:10.1111/lam.12860.</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Huebner, K. L., Martin, J. N., Weissend, C. J., Holzer, K. L., Parker, J. K., Lakin, S. M., et al. (2019). Effects of a Saccharomyces cerevisiae fermentation product on liver abscesses, fecal microbiome, and resistome in feedlot cattle raised without antibiotics. </w:t>
      </w:r>
      <w:r>
        <w:rPr>
          <w:rFonts w:ascii="Times New Roman" w:hAnsi="Times New Roman" w:cs="Times New Roman"/>
          <w:i/>
          <w:iCs/>
          <w:sz w:val="24"/>
          <w:szCs w:val="24"/>
        </w:rPr>
        <w:t>Sci Rep</w:t>
      </w:r>
      <w:r>
        <w:rPr>
          <w:rFonts w:ascii="Times New Roman" w:hAnsi="Times New Roman" w:cs="Times New Roman"/>
          <w:sz w:val="24"/>
          <w:szCs w:val="24"/>
        </w:rPr>
        <w:t xml:space="preserve"> 9, 1–11. doi:10.1038/s41598-019-39181-7.</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Karavolias, J., Salois, M. J., Baker, K. T., and Watkins, K. (2018). Raised without antibiotics: impact on animal welfare and implications for food policy. </w:t>
      </w:r>
      <w:r>
        <w:rPr>
          <w:rFonts w:ascii="Times New Roman" w:hAnsi="Times New Roman" w:cs="Times New Roman"/>
          <w:i/>
          <w:iCs/>
          <w:sz w:val="24"/>
          <w:szCs w:val="24"/>
        </w:rPr>
        <w:t>Trans Anim Sci</w:t>
      </w:r>
      <w:r>
        <w:rPr>
          <w:rFonts w:ascii="Times New Roman" w:hAnsi="Times New Roman" w:cs="Times New Roman"/>
          <w:sz w:val="24"/>
          <w:szCs w:val="24"/>
        </w:rPr>
        <w:t xml:space="preserve"> 2, 337–348. doi:10.1093/tas/txy016.</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Lakin, S. M., Dean, C., Noyes, N. R., Dettenwanger, A., Ross, A. S., Doster, E., et al. (2017). MEGARes: an antimicrobial resistance database for high throughput sequencing. </w:t>
      </w:r>
      <w:r>
        <w:rPr>
          <w:rFonts w:ascii="Times New Roman" w:hAnsi="Times New Roman" w:cs="Times New Roman"/>
          <w:i/>
          <w:iCs/>
          <w:sz w:val="24"/>
          <w:szCs w:val="24"/>
        </w:rPr>
        <w:t>Nucleic Acids Res</w:t>
      </w:r>
      <w:r>
        <w:rPr>
          <w:rFonts w:ascii="Times New Roman" w:hAnsi="Times New Roman" w:cs="Times New Roman"/>
          <w:sz w:val="24"/>
          <w:szCs w:val="24"/>
        </w:rPr>
        <w:t xml:space="preserve"> 45, D574–D580. doi:10.1093/nar/gkw1009.</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Lauritsen, C. V., Kjeldgaard, J., Ingmer, H., Bisgaard, M., and Christensen, H. (2019). Microbiota encompassing putative spoilage bacteria in retail packaged broiler meat and commercial broiler abattoir. </w:t>
      </w:r>
      <w:r>
        <w:rPr>
          <w:rFonts w:ascii="Times New Roman" w:hAnsi="Times New Roman" w:cs="Times New Roman"/>
          <w:i/>
          <w:iCs/>
          <w:sz w:val="24"/>
          <w:szCs w:val="24"/>
        </w:rPr>
        <w:t>International Journal of Food Microbiology</w:t>
      </w:r>
      <w:r>
        <w:rPr>
          <w:rFonts w:ascii="Times New Roman" w:hAnsi="Times New Roman" w:cs="Times New Roman"/>
          <w:sz w:val="24"/>
          <w:szCs w:val="24"/>
        </w:rPr>
        <w:t xml:space="preserve"> 300, 14–21. doi:10.1016/j.ijfoodmicro.2019.04.003.</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LeJeune, J. T., and Christie, N. P. (2004). Microbiological Quality of Ground Beef from Conventionally-Reared Cattle and “Raised without Antibiotics” Label Claims. </w:t>
      </w:r>
      <w:r>
        <w:rPr>
          <w:rFonts w:ascii="Times New Roman" w:hAnsi="Times New Roman" w:cs="Times New Roman"/>
          <w:i/>
          <w:iCs/>
          <w:sz w:val="24"/>
          <w:szCs w:val="24"/>
        </w:rPr>
        <w:t>Journal of Food Protection</w:t>
      </w:r>
      <w:r>
        <w:rPr>
          <w:rFonts w:ascii="Times New Roman" w:hAnsi="Times New Roman" w:cs="Times New Roman"/>
          <w:sz w:val="24"/>
          <w:szCs w:val="24"/>
        </w:rPr>
        <w:t xml:space="preserve"> 67, 1433–1437. doi:10.4315/0362-028X-67.7.1433.</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Li, H., Handsaker, B., Wysoker, A., Fennell, T., Ruan, J., Homer, N., et al. (2009). The Sequence Alignment/Map format and SAMtools. </w:t>
      </w:r>
      <w:r>
        <w:rPr>
          <w:rFonts w:ascii="Times New Roman" w:hAnsi="Times New Roman" w:cs="Times New Roman"/>
          <w:i/>
          <w:iCs/>
          <w:sz w:val="24"/>
          <w:szCs w:val="24"/>
        </w:rPr>
        <w:t>Bioinformatics</w:t>
      </w:r>
      <w:r>
        <w:rPr>
          <w:rFonts w:ascii="Times New Roman" w:hAnsi="Times New Roman" w:cs="Times New Roman"/>
          <w:sz w:val="24"/>
          <w:szCs w:val="24"/>
        </w:rPr>
        <w:t xml:space="preserve"> 25, 2078–2079. doi:10.1093/bioinformatics/btp352.</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Liu, Y., Qin, X., Song, X.-Z. H., Jiang, H., Shen, Y., Durbin, K. J., et al. (2009). Bos taurus genome assembly. </w:t>
      </w:r>
      <w:r>
        <w:rPr>
          <w:rFonts w:ascii="Times New Roman" w:hAnsi="Times New Roman" w:cs="Times New Roman"/>
          <w:i/>
          <w:iCs/>
          <w:sz w:val="24"/>
          <w:szCs w:val="24"/>
        </w:rPr>
        <w:t>BMC Genomics</w:t>
      </w:r>
      <w:r>
        <w:rPr>
          <w:rFonts w:ascii="Times New Roman" w:hAnsi="Times New Roman" w:cs="Times New Roman"/>
          <w:sz w:val="24"/>
          <w:szCs w:val="24"/>
        </w:rPr>
        <w:t xml:space="preserve"> 10, 180. doi:10.1186/1471-2164-10-180.</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McDonald, D., Price, M. N., Goodrich, J., Nawrocki, E. P., DeSantis, T. Z., Probst, A., et al. (2012). An improved Greengenes taxonomy with explicit ranks for ecological and evolutionary analyses of bacteria and archaea. </w:t>
      </w:r>
      <w:r>
        <w:rPr>
          <w:rFonts w:ascii="Times New Roman" w:hAnsi="Times New Roman" w:cs="Times New Roman"/>
          <w:i/>
          <w:iCs/>
          <w:sz w:val="24"/>
          <w:szCs w:val="24"/>
        </w:rPr>
        <w:t>ISME J</w:t>
      </w:r>
      <w:r>
        <w:rPr>
          <w:rFonts w:ascii="Times New Roman" w:hAnsi="Times New Roman" w:cs="Times New Roman"/>
          <w:sz w:val="24"/>
          <w:szCs w:val="24"/>
        </w:rPr>
        <w:t xml:space="preserve"> 6, 610–618. doi:10.1038/ismej.2011.139.</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National Antimicrobial Resistance Monitoring System – Enteric Bacteria (NARMS): 2011 Executive Repor (2013).</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Noyes, N. R., Weinroth, M. E., Parker, J. K., Dean, C. J., Lakin, S. M., Raymond, R. A., et al. (2017). Enrichment allows identification of diverse, rare elements in metagenomic resistome-virulome sequencing. </w:t>
      </w:r>
      <w:r>
        <w:rPr>
          <w:rFonts w:ascii="Times New Roman" w:hAnsi="Times New Roman" w:cs="Times New Roman"/>
          <w:i/>
          <w:iCs/>
          <w:sz w:val="24"/>
          <w:szCs w:val="24"/>
        </w:rPr>
        <w:t>Microbiome</w:t>
      </w:r>
      <w:r>
        <w:rPr>
          <w:rFonts w:ascii="Times New Roman" w:hAnsi="Times New Roman" w:cs="Times New Roman"/>
          <w:sz w:val="24"/>
          <w:szCs w:val="24"/>
        </w:rPr>
        <w:t xml:space="preserve"> 5, 142. doi:10.1186/s40168-017-0361-8.</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Noyes, N. R., Yang, X., Linke, L. M., Magnuson, R. J., Dettenwanger, A., Cook, S., et al. (2016). Resistome diversity in cattle and the environment decreases during beef production. </w:t>
      </w:r>
      <w:r>
        <w:rPr>
          <w:rFonts w:ascii="Times New Roman" w:hAnsi="Times New Roman" w:cs="Times New Roman"/>
          <w:i/>
          <w:iCs/>
          <w:sz w:val="24"/>
          <w:szCs w:val="24"/>
        </w:rPr>
        <w:t>eLife</w:t>
      </w:r>
      <w:r>
        <w:rPr>
          <w:rFonts w:ascii="Times New Roman" w:hAnsi="Times New Roman" w:cs="Times New Roman"/>
          <w:sz w:val="24"/>
          <w:szCs w:val="24"/>
        </w:rPr>
        <w:t xml:space="preserve"> 5, e13195. doi:10.7554/eLife.13195.</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Oksanen, J., Blanchet, F. G., Kindt, R., Legendre, P., Minchin, P. R., O’Hara, R. B., et al. (2014). </w:t>
      </w:r>
      <w:r>
        <w:rPr>
          <w:rFonts w:ascii="Times New Roman" w:hAnsi="Times New Roman" w:cs="Times New Roman"/>
          <w:i/>
          <w:iCs/>
          <w:sz w:val="24"/>
          <w:szCs w:val="24"/>
        </w:rPr>
        <w:t>vegan: Community Ecology Package</w:t>
      </w:r>
      <w:r>
        <w:rPr>
          <w:rFonts w:ascii="Times New Roman" w:hAnsi="Times New Roman" w:cs="Times New Roman"/>
          <w:sz w:val="24"/>
          <w:szCs w:val="24"/>
        </w:rPr>
        <w:t>. Available at: http://CRAN.R-project.org/package=vegan.</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Paulson, J. N., Stine, O. C., Bravo, H. C., and Pop, M. (2013). Differential abundance analysis for microbial marker-gene surveys. </w:t>
      </w:r>
      <w:r>
        <w:rPr>
          <w:rFonts w:ascii="Times New Roman" w:hAnsi="Times New Roman" w:cs="Times New Roman"/>
          <w:i/>
          <w:iCs/>
          <w:sz w:val="24"/>
          <w:szCs w:val="24"/>
        </w:rPr>
        <w:t>Nat Meth</w:t>
      </w:r>
      <w:r>
        <w:rPr>
          <w:rFonts w:ascii="Times New Roman" w:hAnsi="Times New Roman" w:cs="Times New Roman"/>
          <w:sz w:val="24"/>
          <w:szCs w:val="24"/>
        </w:rPr>
        <w:t xml:space="preserve"> 10, 1200–1202. doi:10.1038/nmeth.2658.</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Poirier, S., Rué, O., Peguilhan, R., Coeuret, G., Zagorec, M., Champomier-Vergès, M.-C., et al. (2018). Deciphering intra-species bacterial diversity of meat and seafood spoilage microbiota using gyrB amplicon sequencing: A comparative analysis with 16S rDNA V3-V4 amplicon sequencing. </w:t>
      </w:r>
      <w:r>
        <w:rPr>
          <w:rFonts w:ascii="Times New Roman" w:hAnsi="Times New Roman" w:cs="Times New Roman"/>
          <w:i/>
          <w:iCs/>
          <w:sz w:val="24"/>
          <w:szCs w:val="24"/>
        </w:rPr>
        <w:t>PLOS ONE</w:t>
      </w:r>
      <w:r>
        <w:rPr>
          <w:rFonts w:ascii="Times New Roman" w:hAnsi="Times New Roman" w:cs="Times New Roman"/>
          <w:sz w:val="24"/>
          <w:szCs w:val="24"/>
        </w:rPr>
        <w:t xml:space="preserve"> 13, e0204629. doi:10.1371/journal.pone.0204629.</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Singer, R. S., Porter, L. J., Thomson, D. U., Gage, M., Beaudoin, A., and Wishnie, J. K. (2019). Raising Animals Without Antibiotics: U.S. Producer and Veterinarian Experiences and Opinions. </w:t>
      </w:r>
      <w:r>
        <w:rPr>
          <w:rFonts w:ascii="Times New Roman" w:hAnsi="Times New Roman" w:cs="Times New Roman"/>
          <w:i/>
          <w:iCs/>
          <w:sz w:val="24"/>
          <w:szCs w:val="24"/>
        </w:rPr>
        <w:t>Front Vet Sci</w:t>
      </w:r>
      <w:r>
        <w:rPr>
          <w:rFonts w:ascii="Times New Roman" w:hAnsi="Times New Roman" w:cs="Times New Roman"/>
          <w:sz w:val="24"/>
          <w:szCs w:val="24"/>
        </w:rPr>
        <w:t xml:space="preserve"> 6. doi:10.3389/fvets.2019.00452.</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Stellato, G., Storia, A. L., Filippis, F. D., Borriello, G., Villani, F., and Ercolini, D. (2016). Overlap of Spoilage-Associated Microbiota between Meat and the Meat Processing Environment in Small-Scale and Large-Scale Retail Distributions. </w:t>
      </w:r>
      <w:r>
        <w:rPr>
          <w:rFonts w:ascii="Times New Roman" w:hAnsi="Times New Roman" w:cs="Times New Roman"/>
          <w:i/>
          <w:iCs/>
          <w:sz w:val="24"/>
          <w:szCs w:val="24"/>
        </w:rPr>
        <w:t>Applied and environmental microbiology</w:t>
      </w:r>
      <w:r>
        <w:rPr>
          <w:rFonts w:ascii="Times New Roman" w:hAnsi="Times New Roman" w:cs="Times New Roman"/>
          <w:sz w:val="24"/>
          <w:szCs w:val="24"/>
        </w:rPr>
        <w:t>. doi:10.1128/AEM.00793-16.</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Stinson, L. F., Boyce, M. C., Payne, M. S., and Keelan, J. A. (2019). The Not-so-Sterile Womb: Evidence That the Human Fetus Is Exposed to Bacteria Prior to Birth. </w:t>
      </w:r>
      <w:r>
        <w:rPr>
          <w:rFonts w:ascii="Times New Roman" w:hAnsi="Times New Roman" w:cs="Times New Roman"/>
          <w:i/>
          <w:iCs/>
          <w:sz w:val="24"/>
          <w:szCs w:val="24"/>
        </w:rPr>
        <w:t>Front. Microbiol.</w:t>
      </w:r>
      <w:r>
        <w:rPr>
          <w:rFonts w:ascii="Times New Roman" w:hAnsi="Times New Roman" w:cs="Times New Roman"/>
          <w:sz w:val="24"/>
          <w:szCs w:val="24"/>
        </w:rPr>
        <w:t xml:space="preserve"> 10. doi:10.3389/fmicb.2019.01124.</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Tauxe, R. V. (2006). Molecular subtyping and the transformation of public health. </w:t>
      </w:r>
      <w:r>
        <w:rPr>
          <w:rFonts w:ascii="Times New Roman" w:hAnsi="Times New Roman" w:cs="Times New Roman"/>
          <w:i/>
          <w:iCs/>
          <w:sz w:val="24"/>
          <w:szCs w:val="24"/>
        </w:rPr>
        <w:t>Foodborne Pathog. Dis.</w:t>
      </w:r>
      <w:r>
        <w:rPr>
          <w:rFonts w:ascii="Times New Roman" w:hAnsi="Times New Roman" w:cs="Times New Roman"/>
          <w:sz w:val="24"/>
          <w:szCs w:val="24"/>
        </w:rPr>
        <w:t xml:space="preserve"> 3, 4–8. doi:10.1089/fpd.2006.3.4.</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Vikram, A., Miller, E., Arthur, T. M., Bosilevac, J. M., Wheeler, T. L., and Schmidt, J. W. (2018). Similar Levels of Antimicrobial Resistance in U.S. Food Service Ground Beef Products with and without a “Raised without Antibiotics” Claim. </w:t>
      </w:r>
      <w:r>
        <w:rPr>
          <w:rFonts w:ascii="Times New Roman" w:hAnsi="Times New Roman" w:cs="Times New Roman"/>
          <w:i/>
          <w:iCs/>
          <w:sz w:val="24"/>
          <w:szCs w:val="24"/>
        </w:rPr>
        <w:t>J. Food Prot.</w:t>
      </w:r>
      <w:r>
        <w:rPr>
          <w:rFonts w:ascii="Times New Roman" w:hAnsi="Times New Roman" w:cs="Times New Roman"/>
          <w:sz w:val="24"/>
          <w:szCs w:val="24"/>
        </w:rPr>
        <w:t xml:space="preserve"> 81, 2007–2018. doi:10.4315/0362-028X.JFP-18-299.</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Vikram, A., Miller, E., Arthur, T. M., Bosilevac, J. M., Wheeler, T. L., and Schmidt, J. W. (2019). Food Service Pork Chops from Three U.S. Regions Harbor Similar Levels of Antimicrobial Resistance Regardless of Antibiotic Use Claims. </w:t>
      </w:r>
      <w:r>
        <w:rPr>
          <w:rFonts w:ascii="Times New Roman" w:hAnsi="Times New Roman" w:cs="Times New Roman"/>
          <w:i/>
          <w:iCs/>
          <w:sz w:val="24"/>
          <w:szCs w:val="24"/>
        </w:rPr>
        <w:t>Journal of Food Protection</w:t>
      </w:r>
      <w:r>
        <w:rPr>
          <w:rFonts w:ascii="Times New Roman" w:hAnsi="Times New Roman" w:cs="Times New Roman"/>
          <w:sz w:val="24"/>
          <w:szCs w:val="24"/>
        </w:rPr>
        <w:t xml:space="preserve"> 82, 1667–1676. doi:10.4315/0362-028X.JFP-19-139.</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Vikram, A., Rovira, P., Agga, G. E., Arthur, T. M., Bosilevac, J. M., Wheeler, T. L., et al. (2017). Impact of “Raised without Antibiotics” Beef Cattle Production Practices on Occurrences of Antimicrobial Resistance. </w:t>
      </w:r>
      <w:r>
        <w:rPr>
          <w:rFonts w:ascii="Times New Roman" w:hAnsi="Times New Roman" w:cs="Times New Roman"/>
          <w:i/>
          <w:iCs/>
          <w:sz w:val="24"/>
          <w:szCs w:val="24"/>
        </w:rPr>
        <w:t>Appl. Environ. Microbiol.</w:t>
      </w:r>
      <w:r>
        <w:rPr>
          <w:rFonts w:ascii="Times New Roman" w:hAnsi="Times New Roman" w:cs="Times New Roman"/>
          <w:sz w:val="24"/>
          <w:szCs w:val="24"/>
        </w:rPr>
        <w:t xml:space="preserve"> 83, e01682-17. doi:10.1128/AEM.01682-17.</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Weinroth, M. D., Britton, B. C., McCullough, K. R., Martin, J. N., Geornaras, I., Knight, R., et al. (2019). Ground beef microbiome changes with antimicrobial decontamination interventions and product storage. </w:t>
      </w:r>
      <w:r>
        <w:rPr>
          <w:rFonts w:ascii="Times New Roman" w:hAnsi="Times New Roman" w:cs="Times New Roman"/>
          <w:i/>
          <w:iCs/>
          <w:sz w:val="24"/>
          <w:szCs w:val="24"/>
        </w:rPr>
        <w:t>PLOS ONE</w:t>
      </w:r>
      <w:r>
        <w:rPr>
          <w:rFonts w:ascii="Times New Roman" w:hAnsi="Times New Roman" w:cs="Times New Roman"/>
          <w:sz w:val="24"/>
          <w:szCs w:val="24"/>
        </w:rPr>
        <w:t xml:space="preserve"> 14, e0217947. doi:10.1371/journal.pone.0217947.</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Weinroth, M. D., Scott, H. M., Norby, B., Loneragan, G. H., Noyes, N. R., Rovira, P., et al. (2018). Effects of Ceftiofur and Chlortetracycline on the Resistomes of Feedlot Cattle. </w:t>
      </w:r>
      <w:r>
        <w:rPr>
          <w:rFonts w:ascii="Times New Roman" w:hAnsi="Times New Roman" w:cs="Times New Roman"/>
          <w:i/>
          <w:iCs/>
          <w:sz w:val="24"/>
          <w:szCs w:val="24"/>
        </w:rPr>
        <w:t>Appl. Environ. Microbiol.</w:t>
      </w:r>
      <w:r>
        <w:rPr>
          <w:rFonts w:ascii="Times New Roman" w:hAnsi="Times New Roman" w:cs="Times New Roman"/>
          <w:sz w:val="24"/>
          <w:szCs w:val="24"/>
        </w:rPr>
        <w:t xml:space="preserve"> 84, e00610-18. doi:10.1128/AEM.00610-18.</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Wheeler, T. L., Kalchayanand, N., and Bosilevac, J. M. (2014). Pre- and post-harvest interventions to reduce pathogen contamination in the U.S. beef industry. </w:t>
      </w:r>
      <w:r>
        <w:rPr>
          <w:rFonts w:ascii="Times New Roman" w:hAnsi="Times New Roman" w:cs="Times New Roman"/>
          <w:i/>
          <w:iCs/>
          <w:sz w:val="24"/>
          <w:szCs w:val="24"/>
        </w:rPr>
        <w:t>Meat Science</w:t>
      </w:r>
      <w:r>
        <w:rPr>
          <w:rFonts w:ascii="Times New Roman" w:hAnsi="Times New Roman" w:cs="Times New Roman"/>
          <w:sz w:val="24"/>
          <w:szCs w:val="24"/>
        </w:rPr>
        <w:t xml:space="preserve"> 98, 372–382. doi:10.1016/j.meatsci.2014.06.026.</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t xml:space="preserve">Zhao, S., McDermott, P. f., Friedman, S., Abbott, J., Ayers, S., Glenn, A., et al. (2006). Antimicrobial Resistance and Genetic Relatedness Among Salmonella from Retail Foods of Animal Origin: NARMS Retail Meat Surveillance. </w:t>
      </w:r>
      <w:r>
        <w:rPr>
          <w:rFonts w:ascii="Times New Roman" w:hAnsi="Times New Roman" w:cs="Times New Roman"/>
          <w:i/>
          <w:iCs/>
          <w:sz w:val="24"/>
          <w:szCs w:val="24"/>
        </w:rPr>
        <w:t>Foodborne Pathogens and Disease</w:t>
      </w:r>
      <w:r>
        <w:rPr>
          <w:rFonts w:ascii="Times New Roman" w:hAnsi="Times New Roman" w:cs="Times New Roman"/>
          <w:sz w:val="24"/>
          <w:szCs w:val="24"/>
        </w:rPr>
        <w:t xml:space="preserve"> 3, 106–117. doi:10.1089/fpd.2006.3.106.</w:t>
      </w:r>
    </w:p>
    <w:p w:rsidR="001C630E" w:rsidRDefault="005C7C99">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Zhao, S., Young, S. R., Tong, E., Abbott, J. W., Womack, N., Friedman, S. L., et al. (2010). Antimicrobial Resistance of Campylobacter Isolates from Retail Meat in the United States between 2002 and 2007. </w:t>
      </w:r>
      <w:r>
        <w:rPr>
          <w:rFonts w:ascii="Times New Roman" w:hAnsi="Times New Roman" w:cs="Times New Roman"/>
          <w:i/>
          <w:iCs/>
          <w:sz w:val="24"/>
          <w:szCs w:val="24"/>
        </w:rPr>
        <w:t>Appl. Environ. Microbiol.</w:t>
      </w:r>
      <w:r>
        <w:rPr>
          <w:rFonts w:ascii="Times New Roman" w:hAnsi="Times New Roman" w:cs="Times New Roman"/>
          <w:sz w:val="24"/>
          <w:szCs w:val="24"/>
        </w:rPr>
        <w:t xml:space="preserve"> 76, 7949–7956. doi:10.1128/AEM.01297-10.</w:t>
      </w:r>
    </w:p>
    <w:sectPr w:rsidR="001C630E">
      <w:headerReference w:type="default" r:id="rId17"/>
      <w:footerReference w:type="default" r:id="rId18"/>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C58" w:rsidRDefault="009D1C58">
      <w:r>
        <w:separator/>
      </w:r>
    </w:p>
  </w:endnote>
  <w:endnote w:type="continuationSeparator" w:id="0">
    <w:p w:rsidR="009D1C58" w:rsidRDefault="009D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ont459">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font466">
    <w:altName w:val="Cambria"/>
    <w:panose1 w:val="00000000000000000000"/>
    <w:charset w:val="00"/>
    <w:family w:val="roman"/>
    <w:notTrueType/>
    <w:pitch w:val="default"/>
  </w:font>
  <w:font w:name="font465">
    <w:panose1 w:val="00000000000000000000"/>
    <w:charset w:val="00"/>
    <w:family w:val="roman"/>
    <w:notTrueType/>
    <w:pitch w:val="default"/>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DB5" w:rsidRDefault="00EF3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C58" w:rsidRDefault="009D1C58">
      <w:r>
        <w:separator/>
      </w:r>
    </w:p>
  </w:footnote>
  <w:footnote w:type="continuationSeparator" w:id="0">
    <w:p w:rsidR="009D1C58" w:rsidRDefault="009D1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DB5" w:rsidRDefault="00EF3D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685"/>
    <w:multiLevelType w:val="multilevel"/>
    <w:tmpl w:val="ACF6E20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306"/>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C630E"/>
    <w:rsid w:val="00032522"/>
    <w:rsid w:val="00052E73"/>
    <w:rsid w:val="000A5F14"/>
    <w:rsid w:val="000B32E6"/>
    <w:rsid w:val="000B74C2"/>
    <w:rsid w:val="000C075B"/>
    <w:rsid w:val="0011701F"/>
    <w:rsid w:val="00135B37"/>
    <w:rsid w:val="0014529B"/>
    <w:rsid w:val="00147BFB"/>
    <w:rsid w:val="001555D2"/>
    <w:rsid w:val="001B4094"/>
    <w:rsid w:val="001C630E"/>
    <w:rsid w:val="001F1939"/>
    <w:rsid w:val="00240D39"/>
    <w:rsid w:val="002777E2"/>
    <w:rsid w:val="002D63DF"/>
    <w:rsid w:val="002D7809"/>
    <w:rsid w:val="00311ADF"/>
    <w:rsid w:val="003449DD"/>
    <w:rsid w:val="00347D2C"/>
    <w:rsid w:val="00365EDB"/>
    <w:rsid w:val="003A471B"/>
    <w:rsid w:val="0043455F"/>
    <w:rsid w:val="00441379"/>
    <w:rsid w:val="00460CF0"/>
    <w:rsid w:val="004B27F1"/>
    <w:rsid w:val="004B33C2"/>
    <w:rsid w:val="004D09EC"/>
    <w:rsid w:val="004D1796"/>
    <w:rsid w:val="004E1847"/>
    <w:rsid w:val="00524904"/>
    <w:rsid w:val="00552D68"/>
    <w:rsid w:val="00571785"/>
    <w:rsid w:val="00571C1D"/>
    <w:rsid w:val="005C7C99"/>
    <w:rsid w:val="00635C94"/>
    <w:rsid w:val="00696A46"/>
    <w:rsid w:val="006A5C49"/>
    <w:rsid w:val="006D53D6"/>
    <w:rsid w:val="007408D4"/>
    <w:rsid w:val="00754FFE"/>
    <w:rsid w:val="00782F5E"/>
    <w:rsid w:val="007832DC"/>
    <w:rsid w:val="007E2677"/>
    <w:rsid w:val="0082155F"/>
    <w:rsid w:val="00841E66"/>
    <w:rsid w:val="0088208F"/>
    <w:rsid w:val="00923A0B"/>
    <w:rsid w:val="009472C8"/>
    <w:rsid w:val="009903F3"/>
    <w:rsid w:val="0099097A"/>
    <w:rsid w:val="009A0044"/>
    <w:rsid w:val="009A6E1F"/>
    <w:rsid w:val="009B4296"/>
    <w:rsid w:val="009D18DA"/>
    <w:rsid w:val="009D1C58"/>
    <w:rsid w:val="009D5B0A"/>
    <w:rsid w:val="00A16D5A"/>
    <w:rsid w:val="00A978D0"/>
    <w:rsid w:val="00AB4C32"/>
    <w:rsid w:val="00AC2A1C"/>
    <w:rsid w:val="00AC7EC5"/>
    <w:rsid w:val="00AE651F"/>
    <w:rsid w:val="00B1694E"/>
    <w:rsid w:val="00B37548"/>
    <w:rsid w:val="00B57CF9"/>
    <w:rsid w:val="00BB721F"/>
    <w:rsid w:val="00BD3635"/>
    <w:rsid w:val="00C0565E"/>
    <w:rsid w:val="00C255EC"/>
    <w:rsid w:val="00C26670"/>
    <w:rsid w:val="00C70E70"/>
    <w:rsid w:val="00C864C3"/>
    <w:rsid w:val="00C86A4E"/>
    <w:rsid w:val="00CB6A40"/>
    <w:rsid w:val="00CC5643"/>
    <w:rsid w:val="00CD049D"/>
    <w:rsid w:val="00D638BF"/>
    <w:rsid w:val="00DC5479"/>
    <w:rsid w:val="00E4305A"/>
    <w:rsid w:val="00E56510"/>
    <w:rsid w:val="00E744B3"/>
    <w:rsid w:val="00EA04A2"/>
    <w:rsid w:val="00EA6370"/>
    <w:rsid w:val="00ED5F3F"/>
    <w:rsid w:val="00EE7F48"/>
    <w:rsid w:val="00EF1AEE"/>
    <w:rsid w:val="00EF3DB5"/>
    <w:rsid w:val="00F007AB"/>
    <w:rsid w:val="00F0130B"/>
    <w:rsid w:val="00F17EBA"/>
    <w:rsid w:val="00F21692"/>
    <w:rsid w:val="00F96CEF"/>
    <w:rsid w:val="00FA34C9"/>
    <w:rsid w:val="00FC03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4651"/>
  <w15:docId w15:val="{906B9DE3-B73E-495C-92AE-BC03C3C4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Calibri" w:hAnsi="Calibri" w:cs="font459"/>
      <w:color w:val="00000A"/>
      <w:sz w:val="22"/>
      <w:szCs w:val="22"/>
      <w:lang w:eastAsia="zh-CN"/>
    </w:rPr>
  </w:style>
  <w:style w:type="paragraph" w:styleId="Heading1">
    <w:name w:val="heading 1"/>
    <w:basedOn w:val="Normal"/>
    <w:next w:val="Normal"/>
    <w:qFormat/>
    <w:rsid w:val="008A126B"/>
    <w:pPr>
      <w:keepNext/>
      <w:keepLines/>
      <w:numPr>
        <w:numId w:val="1"/>
      </w:numPr>
      <w:spacing w:before="240"/>
      <w:outlineLvl w:val="0"/>
    </w:pPr>
    <w:rPr>
      <w:rFonts w:ascii="Calibri Light" w:eastAsia="font459" w:hAnsi="Calibri Light"/>
      <w:color w:val="1F4E79"/>
      <w:sz w:val="32"/>
      <w:szCs w:val="32"/>
    </w:rPr>
  </w:style>
  <w:style w:type="paragraph" w:styleId="Heading2">
    <w:name w:val="heading 2"/>
    <w:basedOn w:val="Normal"/>
    <w:next w:val="Normal"/>
    <w:qFormat/>
    <w:rsid w:val="008A126B"/>
    <w:pPr>
      <w:keepNext/>
      <w:keepLines/>
      <w:numPr>
        <w:ilvl w:val="1"/>
        <w:numId w:val="1"/>
      </w:numPr>
      <w:spacing w:before="40"/>
      <w:outlineLvl w:val="1"/>
    </w:pPr>
    <w:rPr>
      <w:rFonts w:ascii="Calibri Light" w:eastAsia="font459" w:hAnsi="Calibri Light"/>
      <w:color w:val="1F4E79"/>
      <w:sz w:val="26"/>
      <w:szCs w:val="26"/>
    </w:rPr>
  </w:style>
  <w:style w:type="paragraph" w:styleId="Heading3">
    <w:name w:val="heading 3"/>
    <w:basedOn w:val="Normal"/>
    <w:next w:val="Normal"/>
    <w:qFormat/>
    <w:rsid w:val="008A126B"/>
    <w:pPr>
      <w:keepNext/>
      <w:keepLines/>
      <w:numPr>
        <w:ilvl w:val="2"/>
        <w:numId w:val="1"/>
      </w:numPr>
      <w:spacing w:before="40"/>
      <w:outlineLvl w:val="2"/>
    </w:pPr>
    <w:rPr>
      <w:rFonts w:ascii="Calibri Light" w:eastAsia="font459" w:hAnsi="Calibri Light"/>
      <w:color w:val="1F4D78"/>
      <w:sz w:val="24"/>
      <w:szCs w:val="24"/>
    </w:rPr>
  </w:style>
  <w:style w:type="paragraph" w:styleId="Heading4">
    <w:name w:val="heading 4"/>
    <w:basedOn w:val="Normal"/>
    <w:next w:val="Normal"/>
    <w:qFormat/>
    <w:rsid w:val="008A126B"/>
    <w:pPr>
      <w:keepNext/>
      <w:keepLines/>
      <w:numPr>
        <w:ilvl w:val="3"/>
        <w:numId w:val="1"/>
      </w:numPr>
      <w:spacing w:before="40"/>
      <w:outlineLvl w:val="3"/>
    </w:pPr>
    <w:rPr>
      <w:rFonts w:ascii="Calibri Light" w:eastAsia="font459" w:hAnsi="Calibri Light"/>
      <w:i/>
      <w:iCs/>
      <w:color w:val="1F4E79"/>
    </w:rPr>
  </w:style>
  <w:style w:type="paragraph" w:styleId="Heading5">
    <w:name w:val="heading 5"/>
    <w:basedOn w:val="Normal"/>
    <w:next w:val="Normal"/>
    <w:qFormat/>
    <w:rsid w:val="008A126B"/>
    <w:pPr>
      <w:keepNext/>
      <w:keepLines/>
      <w:numPr>
        <w:ilvl w:val="4"/>
        <w:numId w:val="1"/>
      </w:numPr>
      <w:spacing w:before="40"/>
      <w:outlineLvl w:val="4"/>
    </w:pPr>
    <w:rPr>
      <w:rFonts w:ascii="Calibri Light" w:eastAsia="font459" w:hAnsi="Calibri Light"/>
      <w:color w:val="1F4E79"/>
    </w:rPr>
  </w:style>
  <w:style w:type="paragraph" w:styleId="Heading6">
    <w:name w:val="heading 6"/>
    <w:basedOn w:val="Normal"/>
    <w:next w:val="Normal"/>
    <w:qFormat/>
    <w:rsid w:val="008A126B"/>
    <w:pPr>
      <w:keepNext/>
      <w:keepLines/>
      <w:numPr>
        <w:ilvl w:val="5"/>
        <w:numId w:val="1"/>
      </w:numPr>
      <w:spacing w:before="40"/>
      <w:outlineLvl w:val="5"/>
    </w:pPr>
    <w:rPr>
      <w:rFonts w:ascii="Calibri Light" w:eastAsia="font459" w:hAnsi="Calibri Light"/>
      <w:color w:val="1F4D78"/>
    </w:rPr>
  </w:style>
  <w:style w:type="paragraph" w:styleId="Heading7">
    <w:name w:val="heading 7"/>
    <w:basedOn w:val="Normal"/>
    <w:next w:val="Normal"/>
    <w:qFormat/>
    <w:rsid w:val="008A126B"/>
    <w:pPr>
      <w:keepNext/>
      <w:keepLines/>
      <w:numPr>
        <w:ilvl w:val="6"/>
        <w:numId w:val="1"/>
      </w:numPr>
      <w:spacing w:before="40"/>
      <w:outlineLvl w:val="6"/>
    </w:pPr>
    <w:rPr>
      <w:rFonts w:ascii="Calibri Light" w:eastAsia="font459" w:hAnsi="Calibri Light"/>
      <w:i/>
      <w:iCs/>
      <w:color w:val="1F4D78"/>
    </w:rPr>
  </w:style>
  <w:style w:type="paragraph" w:styleId="Heading8">
    <w:name w:val="heading 8"/>
    <w:basedOn w:val="Normal"/>
    <w:next w:val="Normal"/>
    <w:qFormat/>
    <w:rsid w:val="008A126B"/>
    <w:pPr>
      <w:keepNext/>
      <w:keepLines/>
      <w:numPr>
        <w:ilvl w:val="7"/>
        <w:numId w:val="1"/>
      </w:numPr>
      <w:spacing w:before="40"/>
      <w:outlineLvl w:val="7"/>
    </w:pPr>
    <w:rPr>
      <w:rFonts w:ascii="Calibri Light" w:eastAsia="font459" w:hAnsi="Calibri Light"/>
      <w:color w:val="272727"/>
      <w:szCs w:val="21"/>
    </w:rPr>
  </w:style>
  <w:style w:type="paragraph" w:styleId="Heading9">
    <w:name w:val="heading 9"/>
    <w:basedOn w:val="Normal"/>
    <w:next w:val="Normal"/>
    <w:qFormat/>
    <w:rsid w:val="008A126B"/>
    <w:pPr>
      <w:keepNext/>
      <w:keepLines/>
      <w:numPr>
        <w:ilvl w:val="8"/>
        <w:numId w:val="1"/>
      </w:numPr>
      <w:spacing w:before="40"/>
      <w:outlineLvl w:val="8"/>
    </w:pPr>
    <w:rPr>
      <w:rFonts w:ascii="Calibri Light" w:eastAsia="font459"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rPr>
      <w:b w:val="0"/>
      <w:bCs w:val="0"/>
    </w:rPr>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2z2">
    <w:name w:val="WW8Num2z2"/>
    <w:qFormat/>
    <w:rPr>
      <w:b w:val="0"/>
      <w:bCs w:val="0"/>
    </w:rPr>
  </w:style>
  <w:style w:type="character" w:customStyle="1" w:styleId="WW-DefaultParagraphFont">
    <w:name w:val="WW-Default Paragraph Font"/>
    <w:qFormat/>
  </w:style>
  <w:style w:type="character" w:customStyle="1" w:styleId="Heading1Char">
    <w:name w:val="Heading 1 Char"/>
    <w:qFormat/>
    <w:rPr>
      <w:rFonts w:ascii="Calibri Light" w:eastAsia="font459" w:hAnsi="Calibri Light" w:cs="font459"/>
      <w:color w:val="1F4E79"/>
      <w:sz w:val="32"/>
      <w:szCs w:val="32"/>
    </w:rPr>
  </w:style>
  <w:style w:type="character" w:customStyle="1" w:styleId="Heading2Char">
    <w:name w:val="Heading 2 Char"/>
    <w:qFormat/>
    <w:rPr>
      <w:rFonts w:ascii="Calibri Light" w:eastAsia="font459" w:hAnsi="Calibri Light" w:cs="font459"/>
      <w:color w:val="1F4E79"/>
      <w:sz w:val="26"/>
      <w:szCs w:val="26"/>
    </w:rPr>
  </w:style>
  <w:style w:type="character" w:customStyle="1" w:styleId="Heading3Char">
    <w:name w:val="Heading 3 Char"/>
    <w:qFormat/>
    <w:rPr>
      <w:rFonts w:ascii="Calibri Light" w:eastAsia="font459" w:hAnsi="Calibri Light" w:cs="font459"/>
      <w:color w:val="1F4D78"/>
      <w:sz w:val="24"/>
      <w:szCs w:val="24"/>
    </w:rPr>
  </w:style>
  <w:style w:type="character" w:customStyle="1" w:styleId="Heading4Char">
    <w:name w:val="Heading 4 Char"/>
    <w:qFormat/>
    <w:rPr>
      <w:rFonts w:ascii="Calibri Light" w:eastAsia="font459" w:hAnsi="Calibri Light" w:cs="font459"/>
      <w:i/>
      <w:iCs/>
      <w:color w:val="1F4E79"/>
    </w:rPr>
  </w:style>
  <w:style w:type="character" w:customStyle="1" w:styleId="Heading5Char">
    <w:name w:val="Heading 5 Char"/>
    <w:qFormat/>
    <w:rPr>
      <w:rFonts w:ascii="Calibri Light" w:eastAsia="font459" w:hAnsi="Calibri Light" w:cs="font459"/>
      <w:color w:val="1F4E79"/>
    </w:rPr>
  </w:style>
  <w:style w:type="character" w:customStyle="1" w:styleId="Heading6Char">
    <w:name w:val="Heading 6 Char"/>
    <w:qFormat/>
    <w:rPr>
      <w:rFonts w:ascii="Calibri Light" w:eastAsia="font459" w:hAnsi="Calibri Light" w:cs="font459"/>
      <w:color w:val="1F4D78"/>
    </w:rPr>
  </w:style>
  <w:style w:type="character" w:customStyle="1" w:styleId="Heading7Char">
    <w:name w:val="Heading 7 Char"/>
    <w:qFormat/>
    <w:rPr>
      <w:rFonts w:ascii="Calibri Light" w:eastAsia="font459" w:hAnsi="Calibri Light" w:cs="font459"/>
      <w:i/>
      <w:iCs/>
      <w:color w:val="1F4D78"/>
    </w:rPr>
  </w:style>
  <w:style w:type="character" w:customStyle="1" w:styleId="Heading8Char">
    <w:name w:val="Heading 8 Char"/>
    <w:qFormat/>
    <w:rPr>
      <w:rFonts w:ascii="Calibri Light" w:eastAsia="font459" w:hAnsi="Calibri Light" w:cs="font459"/>
      <w:color w:val="272727"/>
      <w:szCs w:val="21"/>
    </w:rPr>
  </w:style>
  <w:style w:type="character" w:customStyle="1" w:styleId="Heading9Char">
    <w:name w:val="Heading 9 Char"/>
    <w:qFormat/>
    <w:rPr>
      <w:rFonts w:ascii="Calibri Light" w:eastAsia="font459" w:hAnsi="Calibri Light" w:cs="font459"/>
      <w:i/>
      <w:iCs/>
      <w:color w:val="272727"/>
      <w:szCs w:val="21"/>
    </w:rPr>
  </w:style>
  <w:style w:type="character" w:customStyle="1" w:styleId="TitleChar">
    <w:name w:val="Title Char"/>
    <w:qFormat/>
    <w:rPr>
      <w:rFonts w:ascii="Calibri Light" w:eastAsia="font459" w:hAnsi="Calibri Light" w:cs="font459"/>
      <w:spacing w:val="-10"/>
      <w:sz w:val="56"/>
      <w:szCs w:val="56"/>
    </w:rPr>
  </w:style>
  <w:style w:type="character" w:customStyle="1" w:styleId="SubtitleChar">
    <w:name w:val="Subtitle Char"/>
    <w:qFormat/>
    <w:rPr>
      <w:rFonts w:eastAsia="font459"/>
      <w:color w:val="5A5A5A"/>
      <w:spacing w:val="15"/>
    </w:rPr>
  </w:style>
  <w:style w:type="character" w:styleId="SubtleEmphasis">
    <w:name w:val="Subtle Emphasis"/>
    <w:qFormat/>
    <w:rPr>
      <w:i/>
      <w:iCs/>
      <w:color w:val="404040"/>
    </w:rPr>
  </w:style>
  <w:style w:type="character" w:styleId="Emphasis">
    <w:name w:val="Emphasis"/>
    <w:uiPriority w:val="20"/>
    <w:qFormat/>
    <w:rPr>
      <w:i/>
      <w:iCs/>
    </w:rPr>
  </w:style>
  <w:style w:type="character" w:styleId="IntenseEmphasis">
    <w:name w:val="Intense Emphasis"/>
    <w:qFormat/>
    <w:rPr>
      <w:i/>
      <w:iCs/>
      <w:color w:val="1F4E79"/>
    </w:rPr>
  </w:style>
  <w:style w:type="character" w:styleId="Strong">
    <w:name w:val="Strong"/>
    <w:qFormat/>
    <w:rsid w:val="008A126B"/>
    <w:rPr>
      <w:b/>
      <w:bCs/>
    </w:rPr>
  </w:style>
  <w:style w:type="character" w:customStyle="1" w:styleId="QuoteChar">
    <w:name w:val="Quote Char"/>
    <w:qFormat/>
    <w:rPr>
      <w:i/>
      <w:iCs/>
      <w:color w:val="404040"/>
    </w:rPr>
  </w:style>
  <w:style w:type="character" w:customStyle="1" w:styleId="IntenseQuoteChar">
    <w:name w:val="Intense Quote Char"/>
    <w:qFormat/>
    <w:rPr>
      <w:i/>
      <w:iCs/>
      <w:color w:val="1F4E79"/>
    </w:rPr>
  </w:style>
  <w:style w:type="character" w:styleId="SubtleReference">
    <w:name w:val="Subtle Reference"/>
    <w:qFormat/>
    <w:rPr>
      <w:smallCaps/>
      <w:color w:val="5A5A5A"/>
    </w:rPr>
  </w:style>
  <w:style w:type="character" w:styleId="IntenseReference">
    <w:name w:val="Intense Reference"/>
    <w:qFormat/>
    <w:rPr>
      <w:b/>
      <w:bCs/>
      <w:smallCaps/>
      <w:color w:val="1F4E79"/>
      <w:spacing w:val="5"/>
    </w:rPr>
  </w:style>
  <w:style w:type="character" w:styleId="BookTitle">
    <w:name w:val="Book Title"/>
    <w:qFormat/>
    <w:rPr>
      <w:b/>
      <w:bCs/>
      <w:i/>
      <w:iCs/>
      <w:spacing w:val="5"/>
    </w:rPr>
  </w:style>
  <w:style w:type="character" w:styleId="Hyperlink">
    <w:name w:val="Hyperlink"/>
    <w:rPr>
      <w:color w:val="1F4E79"/>
      <w:u w:val="single"/>
    </w:rPr>
  </w:style>
  <w:style w:type="character" w:styleId="FollowedHyperlink">
    <w:name w:val="FollowedHyperlink"/>
    <w:qFormat/>
    <w:rPr>
      <w:color w:val="954F72"/>
      <w:u w:val="single"/>
    </w:rPr>
  </w:style>
  <w:style w:type="character" w:customStyle="1" w:styleId="BalloonTextChar">
    <w:name w:val="Balloon Text Char"/>
    <w:qFormat/>
    <w:rPr>
      <w:rFonts w:ascii="Segoe UI" w:hAnsi="Segoe UI" w:cs="Segoe UI"/>
      <w:szCs w:val="18"/>
    </w:rPr>
  </w:style>
  <w:style w:type="character" w:customStyle="1" w:styleId="BodyText3Char">
    <w:name w:val="Body Text 3 Char"/>
    <w:qFormat/>
    <w:rPr>
      <w:szCs w:val="16"/>
    </w:rPr>
  </w:style>
  <w:style w:type="character" w:customStyle="1" w:styleId="BodyTextIndent3Char">
    <w:name w:val="Body Text Indent 3 Char"/>
    <w:qFormat/>
    <w:rPr>
      <w:szCs w:val="16"/>
    </w:rPr>
  </w:style>
  <w:style w:type="character" w:customStyle="1" w:styleId="CommentReference1">
    <w:name w:val="Comment Reference1"/>
    <w:qFormat/>
    <w:rPr>
      <w:sz w:val="22"/>
      <w:szCs w:val="16"/>
    </w:rPr>
  </w:style>
  <w:style w:type="character" w:customStyle="1" w:styleId="CommentTextChar">
    <w:name w:val="Comment Text Char"/>
    <w:qFormat/>
    <w:rPr>
      <w:szCs w:val="20"/>
    </w:rPr>
  </w:style>
  <w:style w:type="character" w:customStyle="1" w:styleId="CommentSubjectChar">
    <w:name w:val="Comment Subject Char"/>
    <w:qFormat/>
    <w:rPr>
      <w:b/>
      <w:bCs/>
      <w:szCs w:val="20"/>
    </w:rPr>
  </w:style>
  <w:style w:type="character" w:customStyle="1" w:styleId="DocumentMapChar">
    <w:name w:val="Document Map Char"/>
    <w:qFormat/>
    <w:rPr>
      <w:rFonts w:ascii="Segoe UI" w:hAnsi="Segoe UI" w:cs="Segoe UI"/>
      <w:szCs w:val="16"/>
    </w:rPr>
  </w:style>
  <w:style w:type="character" w:customStyle="1" w:styleId="EndnoteTextChar">
    <w:name w:val="Endnote Text Char"/>
    <w:qFormat/>
    <w:rPr>
      <w:szCs w:val="20"/>
    </w:rPr>
  </w:style>
  <w:style w:type="character" w:customStyle="1" w:styleId="FootnoteTextChar">
    <w:name w:val="Footnote Text Char"/>
    <w:qFormat/>
    <w:rPr>
      <w:szCs w:val="20"/>
    </w:rPr>
  </w:style>
  <w:style w:type="character" w:styleId="HTMLCode">
    <w:name w:val="HTML Code"/>
    <w:qFormat/>
    <w:rPr>
      <w:rFonts w:ascii="Consolas" w:hAnsi="Consolas" w:cs="Consolas"/>
      <w:sz w:val="22"/>
      <w:szCs w:val="20"/>
    </w:rPr>
  </w:style>
  <w:style w:type="character" w:styleId="HTMLKeyboard">
    <w:name w:val="HTML Keyboard"/>
    <w:qFormat/>
    <w:rPr>
      <w:rFonts w:ascii="Consolas" w:hAnsi="Consolas" w:cs="Consolas"/>
      <w:sz w:val="22"/>
      <w:szCs w:val="20"/>
    </w:rPr>
  </w:style>
  <w:style w:type="character" w:customStyle="1" w:styleId="HTMLPreformattedChar">
    <w:name w:val="HTML Preformatted Char"/>
    <w:qFormat/>
    <w:rPr>
      <w:rFonts w:ascii="Consolas" w:hAnsi="Consolas" w:cs="Consolas"/>
      <w:szCs w:val="20"/>
    </w:rPr>
  </w:style>
  <w:style w:type="character" w:styleId="HTMLTypewriter">
    <w:name w:val="HTML Typewriter"/>
    <w:qFormat/>
    <w:rPr>
      <w:rFonts w:ascii="Consolas" w:hAnsi="Consolas" w:cs="Consolas"/>
      <w:sz w:val="22"/>
      <w:szCs w:val="20"/>
    </w:rPr>
  </w:style>
  <w:style w:type="character" w:customStyle="1" w:styleId="MacroTextChar">
    <w:name w:val="Macro Text Char"/>
    <w:qFormat/>
    <w:rPr>
      <w:rFonts w:ascii="Consolas" w:hAnsi="Consolas" w:cs="Consolas"/>
      <w:szCs w:val="20"/>
    </w:rPr>
  </w:style>
  <w:style w:type="character" w:customStyle="1" w:styleId="PlainTextChar">
    <w:name w:val="Plain Text Char"/>
    <w:qFormat/>
    <w:rPr>
      <w:rFonts w:ascii="Consolas" w:hAnsi="Consolas" w:cs="Consolas"/>
      <w:szCs w:val="21"/>
    </w:rPr>
  </w:style>
  <w:style w:type="character" w:styleId="PlaceholderText">
    <w:name w:val="Placeholder Text"/>
    <w:qFormat/>
    <w:rPr>
      <w:color w:val="3B3838"/>
    </w:rPr>
  </w:style>
  <w:style w:type="character" w:customStyle="1" w:styleId="HeaderChar">
    <w:name w:val="Header Char"/>
    <w:basedOn w:val="WW-DefaultParagraphFont"/>
    <w:qFormat/>
  </w:style>
  <w:style w:type="character" w:customStyle="1" w:styleId="FooterChar">
    <w:name w:val="Footer Char"/>
    <w:basedOn w:val="WW-DefaultParagraphFont"/>
    <w:qFormat/>
  </w:style>
  <w:style w:type="character" w:customStyle="1" w:styleId="NumberingSymbols">
    <w:name w:val="Numbering Symbols"/>
    <w:qFormat/>
  </w:style>
  <w:style w:type="character" w:customStyle="1" w:styleId="Hyperlink1">
    <w:name w:val="Hyperlink1"/>
    <w:qFormat/>
  </w:style>
  <w:style w:type="character" w:customStyle="1" w:styleId="CommentReference2">
    <w:name w:val="Comment Reference2"/>
    <w:qFormat/>
    <w:rsid w:val="002C4E60"/>
    <w:rPr>
      <w:sz w:val="22"/>
      <w:szCs w:val="16"/>
    </w:rPr>
  </w:style>
  <w:style w:type="character" w:customStyle="1" w:styleId="CommentTextChar1">
    <w:name w:val="Comment Text Char1"/>
    <w:qFormat/>
    <w:rPr>
      <w:rFonts w:ascii="Calibri" w:eastAsia="Calibri" w:hAnsi="Calibri" w:cs="font459"/>
      <w:color w:val="00000A"/>
    </w:rPr>
  </w:style>
  <w:style w:type="character" w:customStyle="1" w:styleId="CommentSubjectChar1">
    <w:name w:val="Comment Subject Char1"/>
    <w:qFormat/>
    <w:rPr>
      <w:rFonts w:ascii="Calibri" w:eastAsia="Calibri" w:hAnsi="Calibri" w:cs="font459"/>
      <w:b/>
      <w:bCs/>
      <w:color w:val="00000A"/>
    </w:rPr>
  </w:style>
  <w:style w:type="character" w:customStyle="1" w:styleId="DefaultParagraphFont1">
    <w:name w:val="Default Paragraph Font1"/>
    <w:qFormat/>
    <w:rsid w:val="00937371"/>
  </w:style>
  <w:style w:type="character" w:customStyle="1" w:styleId="Strong1">
    <w:name w:val="Strong1"/>
    <w:qFormat/>
    <w:rsid w:val="00937371"/>
    <w:rPr>
      <w:b/>
      <w:bCs/>
    </w:rPr>
  </w:style>
  <w:style w:type="character" w:customStyle="1" w:styleId="CommentTextChar2">
    <w:name w:val="Comment Text Char2"/>
    <w:basedOn w:val="DefaultParagraphFont"/>
    <w:link w:val="CommentText"/>
    <w:semiHidden/>
    <w:qFormat/>
    <w:rPr>
      <w:rFonts w:ascii="Calibri" w:eastAsia="Calibri" w:hAnsi="Calibri" w:cs="font459"/>
      <w:color w:val="00000A"/>
      <w:lang w:eastAsia="zh-CN"/>
    </w:rPr>
  </w:style>
  <w:style w:type="character" w:styleId="CommentReference">
    <w:name w:val="annotation reference"/>
    <w:basedOn w:val="DefaultParagraphFont"/>
    <w:semiHidden/>
    <w:unhideWhenUsed/>
    <w:qFormat/>
    <w:rPr>
      <w:sz w:val="16"/>
      <w:szCs w:val="16"/>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8A126B"/>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Lohit Devanagari"/>
    </w:rPr>
  </w:style>
  <w:style w:type="paragraph" w:customStyle="1" w:styleId="Caption1">
    <w:name w:val="Caption1"/>
    <w:basedOn w:val="Normal"/>
    <w:next w:val="Normal"/>
    <w:qFormat/>
    <w:pPr>
      <w:spacing w:after="200"/>
    </w:pPr>
    <w:rPr>
      <w:i/>
      <w:iCs/>
      <w:color w:val="44546A"/>
      <w:szCs w:val="18"/>
    </w:rPr>
  </w:style>
  <w:style w:type="paragraph" w:styleId="Title">
    <w:name w:val="Title"/>
    <w:basedOn w:val="Normal"/>
    <w:next w:val="Normal"/>
    <w:qFormat/>
    <w:rsid w:val="008A126B"/>
    <w:pPr>
      <w:contextualSpacing/>
    </w:pPr>
    <w:rPr>
      <w:rFonts w:ascii="Calibri Light" w:eastAsia="font459" w:hAnsi="Calibri Light"/>
      <w:spacing w:val="-10"/>
      <w:sz w:val="56"/>
      <w:szCs w:val="56"/>
    </w:rPr>
  </w:style>
  <w:style w:type="paragraph" w:styleId="Subtitle">
    <w:name w:val="Subtitle"/>
    <w:basedOn w:val="Normal"/>
    <w:next w:val="Normal"/>
    <w:qFormat/>
    <w:rPr>
      <w:rFonts w:eastAsia="font459"/>
      <w:color w:val="5A5A5A"/>
      <w:spacing w:val="15"/>
    </w:rPr>
  </w:style>
  <w:style w:type="paragraph" w:styleId="Quote">
    <w:name w:val="Quote"/>
    <w:basedOn w:val="Normal"/>
    <w:next w:val="Normal"/>
    <w:qFormat/>
    <w:rsid w:val="008A126B"/>
    <w:pPr>
      <w:spacing w:before="200"/>
      <w:ind w:left="864" w:right="864"/>
      <w:jc w:val="center"/>
    </w:pPr>
    <w:rPr>
      <w:i/>
      <w:iCs/>
      <w:color w:val="404040"/>
    </w:rPr>
  </w:style>
  <w:style w:type="paragraph" w:styleId="IntenseQuote">
    <w:name w:val="Intense Quote"/>
    <w:basedOn w:val="Normal"/>
    <w:next w:val="Normal"/>
    <w:qFormat/>
    <w:rsid w:val="008A126B"/>
    <w:pPr>
      <w:pBdr>
        <w:top w:val="single" w:sz="4" w:space="10" w:color="1F4E79"/>
        <w:bottom w:val="single" w:sz="4" w:space="10" w:color="1F4E79"/>
      </w:pBdr>
      <w:spacing w:before="360" w:after="360"/>
      <w:ind w:left="864" w:right="864"/>
      <w:jc w:val="center"/>
    </w:pPr>
    <w:rPr>
      <w:i/>
      <w:iCs/>
      <w:color w:val="1F4E79"/>
    </w:rPr>
  </w:style>
  <w:style w:type="paragraph" w:styleId="BalloonText">
    <w:name w:val="Balloon Text"/>
    <w:basedOn w:val="Normal"/>
    <w:qFormat/>
    <w:rPr>
      <w:rFonts w:ascii="Segoe UI" w:hAnsi="Segoe UI" w:cs="Segoe UI"/>
      <w:szCs w:val="18"/>
    </w:rPr>
  </w:style>
  <w:style w:type="paragraph" w:styleId="BlockText">
    <w:name w:val="Block Text"/>
    <w:basedOn w:val="Normal"/>
    <w:qFormat/>
    <w:rsid w:val="008A126B"/>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font459"/>
      <w:i/>
      <w:iCs/>
      <w:color w:val="1F4E79"/>
    </w:rPr>
  </w:style>
  <w:style w:type="paragraph" w:styleId="BodyText3">
    <w:name w:val="Body Text 3"/>
    <w:basedOn w:val="Normal"/>
    <w:qFormat/>
    <w:rsid w:val="008A126B"/>
    <w:pPr>
      <w:spacing w:after="120"/>
    </w:pPr>
    <w:rPr>
      <w:szCs w:val="16"/>
    </w:rPr>
  </w:style>
  <w:style w:type="paragraph" w:styleId="BodyTextIndent3">
    <w:name w:val="Body Text Indent 3"/>
    <w:basedOn w:val="Normal"/>
    <w:qFormat/>
    <w:rsid w:val="008A126B"/>
    <w:pPr>
      <w:spacing w:after="120"/>
      <w:ind w:left="360"/>
    </w:pPr>
    <w:rPr>
      <w:szCs w:val="16"/>
    </w:rPr>
  </w:style>
  <w:style w:type="paragraph" w:customStyle="1" w:styleId="CommentText1">
    <w:name w:val="Comment Text1"/>
    <w:basedOn w:val="Normal"/>
    <w:qFormat/>
    <w:rPr>
      <w:szCs w:val="20"/>
    </w:rPr>
  </w:style>
  <w:style w:type="paragraph" w:customStyle="1" w:styleId="CommentSubject1">
    <w:name w:val="Comment Subject1"/>
    <w:basedOn w:val="CommentText1"/>
    <w:qFormat/>
    <w:rPr>
      <w:b/>
      <w:bCs/>
    </w:rPr>
  </w:style>
  <w:style w:type="paragraph" w:styleId="DocumentMap">
    <w:name w:val="Document Map"/>
    <w:basedOn w:val="Normal"/>
    <w:qFormat/>
    <w:rPr>
      <w:rFonts w:ascii="Segoe UI" w:hAnsi="Segoe UI" w:cs="Segoe UI"/>
      <w:szCs w:val="16"/>
    </w:rPr>
  </w:style>
  <w:style w:type="paragraph" w:styleId="EndnoteText">
    <w:name w:val="endnote text"/>
    <w:basedOn w:val="Normal"/>
    <w:rPr>
      <w:szCs w:val="20"/>
    </w:rPr>
  </w:style>
  <w:style w:type="paragraph" w:customStyle="1" w:styleId="EnvelopeReturn1">
    <w:name w:val="Envelope Return1"/>
    <w:basedOn w:val="Normal"/>
    <w:qFormat/>
    <w:rPr>
      <w:rFonts w:ascii="Calibri Light" w:eastAsia="font459" w:hAnsi="Calibri Light"/>
      <w:szCs w:val="20"/>
    </w:rPr>
  </w:style>
  <w:style w:type="paragraph" w:styleId="FootnoteText">
    <w:name w:val="footnote text"/>
    <w:basedOn w:val="Normal"/>
    <w:rPr>
      <w:szCs w:val="20"/>
    </w:rPr>
  </w:style>
  <w:style w:type="paragraph" w:styleId="HTMLPreformatted">
    <w:name w:val="HTML Preformatted"/>
    <w:basedOn w:val="Normal"/>
    <w:qFormat/>
    <w:rPr>
      <w:rFonts w:ascii="Consolas" w:hAnsi="Consolas" w:cs="Consolas"/>
      <w:szCs w:val="20"/>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suppressAutoHyphens/>
    </w:pPr>
    <w:rPr>
      <w:rFonts w:ascii="Consolas" w:eastAsia="Calibri" w:hAnsi="Consolas" w:cs="font459"/>
      <w:color w:val="00000A"/>
      <w:sz w:val="22"/>
      <w:lang w:eastAsia="zh-CN"/>
    </w:rPr>
  </w:style>
  <w:style w:type="paragraph" w:styleId="PlainText">
    <w:name w:val="Plain Text"/>
    <w:basedOn w:val="Normal"/>
    <w:qFormat/>
    <w:rPr>
      <w:rFonts w:ascii="Consolas" w:hAnsi="Consolas" w:cs="Consolas"/>
      <w:szCs w:val="21"/>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style>
  <w:style w:type="paragraph" w:styleId="Footer">
    <w:name w:val="footer"/>
    <w:basedOn w:val="Normal"/>
  </w:style>
  <w:style w:type="paragraph" w:customStyle="1" w:styleId="Standard">
    <w:name w:val="Standard"/>
    <w:qFormat/>
    <w:pPr>
      <w:suppressAutoHyphens/>
    </w:pPr>
    <w:rPr>
      <w:rFonts w:ascii="Liberation Serif" w:eastAsia="WenQuanYi Micro Hei" w:hAnsi="Liberation Serif" w:cs="Liberation Serif"/>
      <w:color w:val="00000A"/>
      <w:sz w:val="24"/>
      <w:szCs w:val="24"/>
      <w:lang w:eastAsia="zh-CN" w:bidi="hi-IN"/>
    </w:rPr>
  </w:style>
  <w:style w:type="paragraph" w:customStyle="1" w:styleId="CommentText2">
    <w:name w:val="Comment Text2"/>
    <w:basedOn w:val="Normal"/>
    <w:qFormat/>
    <w:rsid w:val="002C4E60"/>
    <w:rPr>
      <w:rFonts w:cs="font466"/>
      <w:szCs w:val="20"/>
    </w:rPr>
  </w:style>
  <w:style w:type="paragraph" w:customStyle="1" w:styleId="CommentSubject2">
    <w:name w:val="Comment Subject2"/>
    <w:basedOn w:val="CommentText2"/>
    <w:next w:val="CommentText2"/>
    <w:qFormat/>
    <w:rsid w:val="002C4E60"/>
    <w:rPr>
      <w:b/>
      <w:bCs/>
    </w:rPr>
  </w:style>
  <w:style w:type="paragraph" w:styleId="Revision">
    <w:name w:val="Revision"/>
    <w:qFormat/>
    <w:pPr>
      <w:suppressAutoHyphens/>
    </w:pPr>
    <w:rPr>
      <w:rFonts w:ascii="Calibri" w:eastAsia="Calibri" w:hAnsi="Calibri" w:cs="font459"/>
      <w:color w:val="00000A"/>
      <w:sz w:val="22"/>
      <w:szCs w:val="22"/>
      <w:lang w:eastAsia="zh-CN"/>
    </w:rPr>
  </w:style>
  <w:style w:type="paragraph" w:styleId="Bibliography">
    <w:name w:val="Bibliography"/>
    <w:basedOn w:val="Normal"/>
    <w:next w:val="Normal"/>
    <w:qFormat/>
    <w:rsid w:val="008A126B"/>
    <w:pPr>
      <w:spacing w:after="240"/>
      <w:ind w:left="720" w:hanging="720"/>
    </w:pPr>
  </w:style>
  <w:style w:type="paragraph" w:customStyle="1" w:styleId="Caption2">
    <w:name w:val="Caption2"/>
    <w:basedOn w:val="Normal"/>
    <w:next w:val="Normal"/>
    <w:qFormat/>
    <w:rsid w:val="002C4E60"/>
    <w:pPr>
      <w:spacing w:after="200"/>
    </w:pPr>
    <w:rPr>
      <w:rFonts w:cs="font466"/>
      <w:i/>
      <w:iCs/>
      <w:color w:val="44546A"/>
      <w:szCs w:val="18"/>
    </w:rPr>
  </w:style>
  <w:style w:type="paragraph" w:customStyle="1" w:styleId="EnvelopeReturn2">
    <w:name w:val="Envelope Return2"/>
    <w:basedOn w:val="Normal"/>
    <w:qFormat/>
    <w:rsid w:val="002C4E60"/>
    <w:rPr>
      <w:rFonts w:ascii="Calibri Light" w:eastAsia="font466" w:hAnsi="Calibri Light" w:cs="font466"/>
      <w:szCs w:val="20"/>
    </w:rPr>
  </w:style>
  <w:style w:type="paragraph" w:customStyle="1" w:styleId="MacroText2">
    <w:name w:val="Macro Text2"/>
    <w:qFormat/>
    <w:rsid w:val="002C4E60"/>
    <w:pPr>
      <w:tabs>
        <w:tab w:val="left" w:pos="480"/>
        <w:tab w:val="left" w:pos="960"/>
        <w:tab w:val="left" w:pos="1440"/>
        <w:tab w:val="left" w:pos="1920"/>
        <w:tab w:val="left" w:pos="2400"/>
        <w:tab w:val="left" w:pos="2880"/>
        <w:tab w:val="left" w:pos="3360"/>
        <w:tab w:val="left" w:pos="3840"/>
        <w:tab w:val="left" w:pos="4320"/>
      </w:tabs>
      <w:suppressAutoHyphens/>
    </w:pPr>
    <w:rPr>
      <w:rFonts w:ascii="Consolas" w:eastAsia="Calibri" w:hAnsi="Consolas" w:cs="font466"/>
      <w:color w:val="00000A"/>
      <w:sz w:val="22"/>
      <w:lang w:eastAsia="zh-CN"/>
    </w:rPr>
  </w:style>
  <w:style w:type="paragraph" w:customStyle="1" w:styleId="EnvelopeReturn3">
    <w:name w:val="Envelope Return3"/>
    <w:basedOn w:val="Normal"/>
    <w:qFormat/>
    <w:rsid w:val="008A126B"/>
    <w:rPr>
      <w:rFonts w:ascii="Calibri Light" w:eastAsia="font465" w:hAnsi="Calibri Light" w:cs="font465"/>
      <w:szCs w:val="20"/>
    </w:rPr>
  </w:style>
  <w:style w:type="paragraph" w:customStyle="1" w:styleId="MacroText3">
    <w:name w:val="Macro Text3"/>
    <w:qFormat/>
    <w:rsid w:val="008A126B"/>
    <w:pPr>
      <w:tabs>
        <w:tab w:val="left" w:pos="480"/>
        <w:tab w:val="left" w:pos="960"/>
        <w:tab w:val="left" w:pos="1440"/>
        <w:tab w:val="left" w:pos="1920"/>
        <w:tab w:val="left" w:pos="2400"/>
        <w:tab w:val="left" w:pos="2880"/>
        <w:tab w:val="left" w:pos="3360"/>
        <w:tab w:val="left" w:pos="3840"/>
        <w:tab w:val="left" w:pos="4320"/>
      </w:tabs>
      <w:suppressAutoHyphens/>
    </w:pPr>
    <w:rPr>
      <w:rFonts w:ascii="Consolas" w:eastAsia="Calibri" w:hAnsi="Consolas" w:cs="font465"/>
      <w:color w:val="00000A"/>
      <w:sz w:val="22"/>
      <w:lang w:eastAsia="zh-CN"/>
    </w:rPr>
  </w:style>
  <w:style w:type="paragraph" w:styleId="CommentText">
    <w:name w:val="annotation text"/>
    <w:basedOn w:val="Normal"/>
    <w:link w:val="CommentTextChar2"/>
    <w:semiHidden/>
    <w:unhideWhenUsed/>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778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eglab-metagenomics/Ground_beef_metagenomics_manuscript"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d.mcmaster.ca/brows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eglab-metagenomics/Ground_beef_metagenomics_manuscri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egares.meglab.org/amrplusplu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4CB48-F2B5-47F6-BD6D-79AF0B60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30</Pages>
  <Words>28685</Words>
  <Characters>163509</Characters>
  <Application>Microsoft Office Word</Application>
  <DocSecurity>0</DocSecurity>
  <Lines>1362</Lines>
  <Paragraphs>383</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191811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dc:description/>
  <cp:lastModifiedBy>enrique doster</cp:lastModifiedBy>
  <cp:revision>83</cp:revision>
  <cp:lastPrinted>1995-11-22T00:41:00Z</cp:lastPrinted>
  <dcterms:created xsi:type="dcterms:W3CDTF">1995-11-22T00:41:00Z</dcterms:created>
  <dcterms:modified xsi:type="dcterms:W3CDTF">2020-08-09T07:10:00Z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Colorado State University</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ZOTERO_PREF_1">
    <vt:lpwstr>&lt;data data-version="3" zotero-version="5.0.88"&gt;&lt;session id="r8MxO6Ei"/&gt;&lt;style id="http://www.zotero.org/styles/frontiers-in-microbiology" hasBibliography="1" bibliographyStyleHasBeenSet="1"/&gt;&lt;prefs&gt;&lt;pref name="fieldType" value="Field"/&gt;&lt;/prefs&gt;&lt;/data&gt;</vt:lpwstr>
  </property>
</Properties>
</file>