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1c23cd140b98d26caeb5c7f833d5c1397fd2e7"/>
    <w:p>
      <w:pPr>
        <w:pStyle w:val="Heading2"/>
      </w:pPr>
      <w:r>
        <w:t xml:space="preserve">Internal accelerator or client-facing product?</w:t>
      </w:r>
    </w:p>
    <w:p>
      <w:pPr>
        <w:pStyle w:val="FirstParagraph"/>
      </w:pPr>
      <w:r>
        <w:t xml:space="preserve">There is another boundary that changes the decision completely:</w:t>
      </w:r>
    </w:p>
    <w:p>
      <w:pPr>
        <w:pStyle w:val="BlockText"/>
      </w:pPr>
      <w:r>
        <w:t xml:space="preserve">Is this tool only helping our people, or is the client going to experience it directly?</w:t>
      </w:r>
    </w:p>
    <w:p>
      <w:pPr>
        <w:pStyle w:val="FirstParagraph"/>
      </w:pPr>
      <w:r>
        <w:t xml:space="preserve">That distinction matters.</w:t>
      </w:r>
    </w:p>
    <w:p>
      <w:pPr>
        <w:pStyle w:val="BodyText"/>
      </w:pPr>
      <w:r>
        <w:t xml:space="preserve">But it should not be misunderstood.</w:t>
      </w:r>
    </w:p>
    <w:p>
      <w:pPr>
        <w:pStyle w:val="BodyText"/>
      </w:pPr>
      <w:r>
        <w:t xml:space="preserve">Internal does</w:t>
      </w:r>
      <w:r>
        <w:t xml:space="preserve"> </w:t>
      </w:r>
      <w:r>
        <w:rPr>
          <w:b/>
          <w:bCs/>
        </w:rPr>
        <w:t xml:space="preserve">not</w:t>
      </w:r>
      <w:r>
        <w:t xml:space="preserve"> </w:t>
      </w:r>
      <w:r>
        <w:t xml:space="preserve">mean casual.</w:t>
      </w:r>
    </w:p>
    <w:p>
      <w:pPr>
        <w:pStyle w:val="BodyText"/>
      </w:pPr>
      <w:r>
        <w:t xml:space="preserve">Client-facing does</w:t>
      </w:r>
      <w:r>
        <w:t xml:space="preserve"> </w:t>
      </w:r>
      <w:r>
        <w:rPr>
          <w:b/>
          <w:bCs/>
        </w:rPr>
        <w:t xml:space="preserve">not</w:t>
      </w:r>
      <w:r>
        <w:t xml:space="preserve"> </w:t>
      </w:r>
      <w:r>
        <w:t xml:space="preserve">automatically mean custom.</w:t>
      </w:r>
    </w:p>
    <w:p>
      <w:pPr>
        <w:pStyle w:val="BodyText"/>
      </w:pPr>
      <w:r>
        <w:t xml:space="preserve">The better question is:</w:t>
      </w:r>
    </w:p>
    <w:p>
      <w:pPr>
        <w:pStyle w:val="BlockText"/>
      </w:pPr>
      <w:r>
        <w:t xml:space="preserve">Who uses it, what data does it touch, and what happens if it is wrong?</w:t>
      </w:r>
    </w:p>
    <w:p>
      <w:pPr>
        <w:pStyle w:val="FirstParagraph"/>
      </w:pPr>
      <w:r>
        <w:t xml:space="preserve">An internal AI accelerator can often be rougher, faster and more experimental than a client-facing product. The users are colleagues. Training is easier. Support can start informally. If something is unclear, someone can explain it in Teams. If the workflow changes, the team can adapt.</w:t>
      </w:r>
    </w:p>
    <w:p>
      <w:pPr>
        <w:pStyle w:val="BodyText"/>
      </w:pPr>
      <w:r>
        <w:t xml:space="preserve">But an internal accelerator may still need serious governance.</w:t>
      </w:r>
    </w:p>
    <w:p>
      <w:pPr>
        <w:pStyle w:val="BodyText"/>
      </w:pPr>
      <w:r>
        <w:t xml:space="preserve">If it touches client documents, proposals, commercial information, employee data, project files, legal material, source code or reusable firm methodology, it cannot be treated like a harmless prototype. It may be internal in terms of audience, but high-risk in terms of data.</w:t>
      </w:r>
    </w:p>
    <w:p>
      <w:pPr>
        <w:pStyle w:val="BodyText"/>
      </w:pPr>
      <w:r>
        <w:t xml:space="preserve">That is the key distinction.</w:t>
      </w:r>
    </w:p>
    <w:p>
      <w:pPr>
        <w:pStyle w:val="BodyText"/>
      </w:pPr>
      <w:r>
        <w:t xml:space="preserve">An internal tool can be low-polish.</w:t>
      </w:r>
    </w:p>
    <w:p>
      <w:pPr>
        <w:pStyle w:val="BodyText"/>
      </w:pPr>
      <w:r>
        <w:t xml:space="preserve">It should not be low-control.</w:t>
      </w:r>
    </w:p>
    <w:bookmarkEnd w:id="20"/>
    <w:bookmarkStart w:id="21" w:name="X63d249208362a0a0708567c50ffcbd0da986616"/>
    <w:p>
      <w:pPr>
        <w:pStyle w:val="Heading2"/>
      </w:pPr>
      <w:r>
        <w:t xml:space="preserve">Three different things often get confused</w:t>
      </w:r>
    </w:p>
    <w:p>
      <w:pPr>
        <w:pStyle w:val="FirstParagraph"/>
      </w:pPr>
      <w:r>
        <w:t xml:space="preserve">Consultancies should separate three cases that are often lumped together.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What it means</w:t>
            </w:r>
          </w:p>
        </w:tc>
        <w:tc>
          <w:tcPr/>
          <w:p>
            <w:pPr>
              <w:pStyle w:val="Compact"/>
            </w:pPr>
            <w:r>
              <w:t xml:space="preserve">Typical tool shape</w:t>
            </w:r>
          </w:p>
        </w:tc>
        <w:tc>
          <w:tcPr/>
          <w:p>
            <w:pPr>
              <w:pStyle w:val="Compact"/>
            </w:pPr>
            <w:r>
              <w:t xml:space="preserve">Governance expectation</w:t>
            </w:r>
          </w:p>
        </w:tc>
      </w:tr>
      <w:tr>
        <w:tc>
          <w:tcPr/>
          <w:p>
            <w:pPr>
              <w:pStyle w:val="Compact"/>
            </w:pPr>
            <w:r>
              <w:rPr>
                <w:b/>
                <w:bCs/>
              </w:rPr>
              <w:t xml:space="preserve">Internal productivity</w:t>
            </w:r>
          </w:p>
        </w:tc>
        <w:tc>
          <w:tcPr/>
          <w:p>
            <w:pPr>
              <w:pStyle w:val="Compact"/>
            </w:pPr>
            <w:r>
              <w:t xml:space="preserve">AI helps an employee do their own work faster</w:t>
            </w:r>
          </w:p>
        </w:tc>
        <w:tc>
          <w:tcPr/>
          <w:p>
            <w:pPr>
              <w:pStyle w:val="Compact"/>
            </w:pPr>
            <w:r>
              <w:t xml:space="preserve">Copilot, Claude, ChatGPT, Gemini</w:t>
            </w:r>
          </w:p>
        </w:tc>
        <w:tc>
          <w:tcPr/>
          <w:p>
            <w:pPr>
              <w:pStyle w:val="Compact"/>
            </w:pPr>
            <w:r>
              <w:t xml:space="preserve">Usage policy, training, permitted-data rules, tenant controls</w:t>
            </w:r>
          </w:p>
        </w:tc>
      </w:tr>
      <w:tr>
        <w:tc>
          <w:tcPr/>
          <w:p>
            <w:pPr>
              <w:pStyle w:val="Compact"/>
            </w:pPr>
            <w:r>
              <w:rPr>
                <w:b/>
                <w:bCs/>
              </w:rPr>
              <w:t xml:space="preserve">Internal delivery accelerator</w:t>
            </w:r>
          </w:p>
        </w:tc>
        <w:tc>
          <w:tcPr/>
          <w:p>
            <w:pPr>
              <w:pStyle w:val="Compact"/>
            </w:pPr>
            <w:r>
              <w:t xml:space="preserve">AI helps the firm deliver client work better, but the client does not use the tool directly</w:t>
            </w:r>
          </w:p>
        </w:tc>
        <w:tc>
          <w:tcPr/>
          <w:p>
            <w:pPr>
              <w:pStyle w:val="Compact"/>
            </w:pPr>
            <w:r>
              <w:t xml:space="preserve">Claude Skill, Copilot Studio agent, ChatGPT workspace agent, Retool app, Streamlit app, small custom internal tool</w:t>
            </w:r>
          </w:p>
        </w:tc>
        <w:tc>
          <w:tcPr/>
          <w:p>
            <w:pPr>
              <w:pStyle w:val="Compact"/>
            </w:pPr>
            <w:r>
              <w:t xml:space="preserve">Strong data access rules, review workflow, audit trail, versioning, ownership, evaluation</w:t>
            </w:r>
          </w:p>
        </w:tc>
      </w:tr>
      <w:tr>
        <w:tc>
          <w:tcPr/>
          <w:p>
            <w:pPr>
              <w:pStyle w:val="Compact"/>
            </w:pPr>
            <w:r>
              <w:rPr>
                <w:b/>
                <w:bCs/>
              </w:rPr>
              <w:t xml:space="preserve">Client-facing product</w:t>
            </w:r>
          </w:p>
        </w:tc>
        <w:tc>
          <w:tcPr/>
          <w:p>
            <w:pPr>
              <w:pStyle w:val="Compact"/>
            </w:pPr>
            <w:r>
              <w:t xml:space="preserve">The client logs in, uploads data, reviews outputs or directly experiences the AI workflow</w:t>
            </w:r>
          </w:p>
        </w:tc>
        <w:tc>
          <w:tcPr/>
          <w:p>
            <w:pPr>
              <w:pStyle w:val="Compact"/>
            </w:pPr>
            <w:r>
              <w:t xml:space="preserve">Governed vendor agent, client portal, custom app, product-grade workflow</w:t>
            </w:r>
          </w:p>
        </w:tc>
        <w:tc>
          <w:tcPr/>
          <w:p>
            <w:pPr>
              <w:pStyle w:val="Compact"/>
            </w:pPr>
            <w:r>
              <w:t xml:space="preserve">All internal controls, plus client isolation, support model, contractual approval, UX polish, external security posture</w:t>
            </w:r>
          </w:p>
        </w:tc>
      </w:tr>
    </w:tbl>
    <w:p>
      <w:pPr>
        <w:pStyle w:val="BodyText"/>
      </w:pPr>
      <w:r>
        <w:t xml:space="preserve">The middle category is easy to underestimate.</w:t>
      </w:r>
    </w:p>
    <w:p>
      <w:pPr>
        <w:pStyle w:val="BodyText"/>
      </w:pPr>
      <w:r>
        <w:t xml:space="preserve">A lot of consultancy value will come from</w:t>
      </w:r>
      <w:r>
        <w:t xml:space="preserve"> </w:t>
      </w:r>
      <w:r>
        <w:rPr>
          <w:b/>
          <w:bCs/>
        </w:rPr>
        <w:t xml:space="preserve">internal delivery accelerators</w:t>
      </w:r>
      <w:r>
        <w:t xml:space="preserve"> </w:t>
      </w:r>
      <w:r>
        <w:t xml:space="preserve">that clients never directly touch. The client gets a better service. The consultants get better tooling. The firm keeps control of its methods, prompts, evaluation logic, templates and data governance.</w:t>
      </w:r>
    </w:p>
    <w:p>
      <w:pPr>
        <w:pStyle w:val="BodyText"/>
      </w:pPr>
      <w:r>
        <w:t xml:space="preserve">But because these tools often process client work behind the scenes, they still need proper controls.</w:t>
      </w:r>
    </w:p>
    <w:p>
      <w:pPr>
        <w:pStyle w:val="BodyText"/>
      </w:pPr>
      <w:r>
        <w:t xml:space="preserve">A proposal assistant does not need to be client-facing.</w:t>
      </w:r>
    </w:p>
    <w:p>
      <w:pPr>
        <w:pStyle w:val="BodyText"/>
      </w:pPr>
      <w:r>
        <w:t xml:space="preserve">A deliverable QA agent does not need to be client-facing.</w:t>
      </w:r>
    </w:p>
    <w:p>
      <w:pPr>
        <w:pStyle w:val="BodyText"/>
      </w:pPr>
      <w:r>
        <w:t xml:space="preserve">A research synthesis workflow does not need to be client-facing.</w:t>
      </w:r>
    </w:p>
    <w:p>
      <w:pPr>
        <w:pStyle w:val="BodyText"/>
      </w:pPr>
      <w:r>
        <w:t xml:space="preserve">A methodology Skill does not need to be client-facing.</w:t>
      </w:r>
    </w:p>
    <w:p>
      <w:pPr>
        <w:pStyle w:val="BodyText"/>
      </w:pPr>
      <w:r>
        <w:t xml:space="preserve">But if those tools use client-confidential material, they still need governance, security and ownership.</w:t>
      </w:r>
    </w:p>
    <w:p>
      <w:pPr>
        <w:pStyle w:val="BodyText"/>
      </w:pPr>
      <w:r>
        <w:t xml:space="preserve">That is the important correction.</w:t>
      </w:r>
    </w:p>
    <w:bookmarkEnd w:id="21"/>
    <w:bookmarkStart w:id="22" w:name="Xb73f47c4c2efa1da5ff63f059fe5ed87a3dc331"/>
    <w:p>
      <w:pPr>
        <w:pStyle w:val="Heading2"/>
      </w:pPr>
      <w:r>
        <w:t xml:space="preserve">Internal delivery accelerators still need a product boundary</w:t>
      </w:r>
    </w:p>
    <w:p>
      <w:pPr>
        <w:pStyle w:val="FirstParagraph"/>
      </w:pPr>
      <w:r>
        <w:t xml:space="preserve">An internal delivery accelerator sits in a dangerous middle ground.</w:t>
      </w:r>
    </w:p>
    <w:p>
      <w:pPr>
        <w:pStyle w:val="BodyText"/>
      </w:pPr>
      <w:r>
        <w:t xml:space="preserve">It may begin as a helpful workflow for one team.</w:t>
      </w:r>
    </w:p>
    <w:p>
      <w:pPr>
        <w:pStyle w:val="BodyText"/>
      </w:pPr>
      <w:r>
        <w:t xml:space="preserve">Then another team asks to use it.</w:t>
      </w:r>
    </w:p>
    <w:p>
      <w:pPr>
        <w:pStyle w:val="BodyText"/>
      </w:pPr>
      <w:r>
        <w:t xml:space="preserve">Then someone connects it to SharePoint.</w:t>
      </w:r>
    </w:p>
    <w:p>
      <w:pPr>
        <w:pStyle w:val="BodyText"/>
      </w:pPr>
      <w:r>
        <w:t xml:space="preserve">Then it starts using client documents.</w:t>
      </w:r>
    </w:p>
    <w:p>
      <w:pPr>
        <w:pStyle w:val="BodyText"/>
      </w:pPr>
      <w:r>
        <w:t xml:space="preserve">Then people rely on the output before sending work to a client.</w:t>
      </w:r>
    </w:p>
    <w:p>
      <w:pPr>
        <w:pStyle w:val="BodyText"/>
      </w:pPr>
      <w:r>
        <w:t xml:space="preserve">At that point, it may still be</w:t>
      </w:r>
      <w:r>
        <w:t xml:space="preserve"> </w:t>
      </w:r>
      <w:r>
        <w:t xml:space="preserve">“internal”</w:t>
      </w:r>
      <w:r>
        <w:t xml:space="preserve">, but it is no longer just a personal productivity tool.</w:t>
      </w:r>
    </w:p>
    <w:p>
      <w:pPr>
        <w:pStyle w:val="BodyText"/>
      </w:pPr>
      <w:r>
        <w:t xml:space="preserve">It has become part of the delivery system.</w:t>
      </w:r>
    </w:p>
    <w:p>
      <w:pPr>
        <w:pStyle w:val="BodyText"/>
      </w:pPr>
      <w:r>
        <w:t xml:space="preserve">That means it needs a minimum product boundary: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Why it matters</w:t>
            </w:r>
          </w:p>
        </w:tc>
      </w:tr>
      <w:tr>
        <w:tc>
          <w:tcPr/>
          <w:p>
            <w:pPr>
              <w:pStyle w:val="Compact"/>
            </w:pPr>
            <w:r>
              <w:t xml:space="preserve">Clear owner</w:t>
            </w:r>
          </w:p>
        </w:tc>
        <w:tc>
          <w:tcPr/>
          <w:p>
            <w:pPr>
              <w:pStyle w:val="Compact"/>
            </w:pPr>
            <w:r>
              <w:t xml:space="preserve">Someone must approve changes, handle feedback and decide priorities</w:t>
            </w:r>
          </w:p>
        </w:tc>
      </w:tr>
      <w:tr>
        <w:tc>
          <w:tcPr/>
          <w:p>
            <w:pPr>
              <w:pStyle w:val="Compact"/>
            </w:pPr>
            <w:r>
              <w:t xml:space="preserve">User access</w:t>
            </w:r>
          </w:p>
        </w:tc>
        <w:tc>
          <w:tcPr/>
          <w:p>
            <w:pPr>
              <w:pStyle w:val="Compact"/>
            </w:pPr>
            <w:r>
              <w:t xml:space="preserve">Not everyone should be able to use every accelerator</w:t>
            </w:r>
          </w:p>
        </w:tc>
      </w:tr>
      <w:tr>
        <w:tc>
          <w:tcPr/>
          <w:p>
            <w:pPr>
              <w:pStyle w:val="Compact"/>
            </w:pPr>
            <w:r>
              <w:t xml:space="preserve">Source permissions</w:t>
            </w:r>
          </w:p>
        </w:tc>
        <w:tc>
          <w:tcPr/>
          <w:p>
            <w:pPr>
              <w:pStyle w:val="Compact"/>
            </w:pPr>
            <w:r>
              <w:t xml:space="preserve">The tool should not bypass permissions in SharePoint, CRM, data warehouses or file stores</w:t>
            </w:r>
          </w:p>
        </w:tc>
      </w:tr>
      <w:tr>
        <w:tc>
          <w:tcPr/>
          <w:p>
            <w:pPr>
              <w:pStyle w:val="Compact"/>
            </w:pPr>
            <w:r>
              <w:t xml:space="preserve">Client isolation</w:t>
            </w:r>
          </w:p>
        </w:tc>
        <w:tc>
          <w:tcPr/>
          <w:p>
            <w:pPr>
              <w:pStyle w:val="Compact"/>
            </w:pPr>
            <w:r>
              <w:t xml:space="preserve">One client’s material should not appear in another client’s workflow</w:t>
            </w:r>
          </w:p>
        </w:tc>
      </w:tr>
      <w:tr>
        <w:tc>
          <w:tcPr/>
          <w:p>
            <w:pPr>
              <w:pStyle w:val="Compact"/>
            </w:pPr>
            <w:r>
              <w:t xml:space="preserve">Data retention</w:t>
            </w:r>
          </w:p>
        </w:tc>
        <w:tc>
          <w:tcPr/>
          <w:p>
            <w:pPr>
              <w:pStyle w:val="Compact"/>
            </w:pPr>
            <w:r>
              <w:t xml:space="preserve">Inputs, outputs, logs, embeddings and cached files need defined retention rules</w:t>
            </w:r>
          </w:p>
        </w:tc>
      </w:tr>
      <w:tr>
        <w:tc>
          <w:tcPr/>
          <w:p>
            <w:pPr>
              <w:pStyle w:val="Compact"/>
            </w:pPr>
            <w:r>
              <w:t xml:space="preserve">Version control</w:t>
            </w:r>
          </w:p>
        </w:tc>
        <w:tc>
          <w:tcPr/>
          <w:p>
            <w:pPr>
              <w:pStyle w:val="Compact"/>
            </w:pPr>
            <w:r>
              <w:t xml:space="preserve">Prompts, skills, workflows and evaluation logic need controlled updates</w:t>
            </w:r>
          </w:p>
        </w:tc>
      </w:tr>
      <w:tr>
        <w:tc>
          <w:tcPr/>
          <w:p>
            <w:pPr>
              <w:pStyle w:val="Compact"/>
            </w:pPr>
            <w:r>
              <w:t xml:space="preserve">Review workflow</w:t>
            </w:r>
          </w:p>
        </w:tc>
        <w:tc>
          <w:tcPr/>
          <w:p>
            <w:pPr>
              <w:pStyle w:val="Compact"/>
            </w:pPr>
            <w:r>
              <w:t xml:space="preserve">Human judgement should sit between the AI and client-facing output</w:t>
            </w:r>
          </w:p>
        </w:tc>
      </w:tr>
      <w:tr>
        <w:tc>
          <w:tcPr/>
          <w:p>
            <w:pPr>
              <w:pStyle w:val="Compact"/>
            </w:pPr>
            <w:r>
              <w:t xml:space="preserve">Audit trail</w:t>
            </w:r>
          </w:p>
        </w:tc>
        <w:tc>
          <w:tcPr/>
          <w:p>
            <w:pPr>
              <w:pStyle w:val="Compact"/>
            </w:pPr>
            <w:r>
              <w:t xml:space="preserve">The firm should know what sources were used and what the AI produced</w:t>
            </w:r>
          </w:p>
        </w:tc>
      </w:tr>
      <w:tr>
        <w:tc>
          <w:tcPr/>
          <w:p>
            <w:pPr>
              <w:pStyle w:val="Compact"/>
            </w:pPr>
            <w:r>
              <w:t xml:space="preserve">Evaluation</w:t>
            </w:r>
          </w:p>
        </w:tc>
        <w:tc>
          <w:tcPr/>
          <w:p>
            <w:pPr>
              <w:pStyle w:val="Compact"/>
            </w:pPr>
            <w:r>
              <w:t xml:space="preserve">The tool should be tested against known examples, not judged by demo quality</w:t>
            </w:r>
          </w:p>
        </w:tc>
      </w:tr>
      <w:tr>
        <w:tc>
          <w:tcPr/>
          <w:p>
            <w:pPr>
              <w:pStyle w:val="Compact"/>
            </w:pPr>
            <w:r>
              <w:t xml:space="preserve">Support route</w:t>
            </w:r>
          </w:p>
        </w:tc>
        <w:tc>
          <w:tcPr/>
          <w:p>
            <w:pPr>
              <w:pStyle w:val="Compact"/>
            </w:pPr>
            <w:r>
              <w:t xml:space="preserve">Users need to know where to go when the tool fails or gives weak output</w:t>
            </w:r>
          </w:p>
        </w:tc>
      </w:tr>
    </w:tbl>
    <w:p>
      <w:pPr>
        <w:pStyle w:val="BodyText"/>
      </w:pPr>
      <w:r>
        <w:t xml:space="preserve">This is why</w:t>
      </w:r>
      <w:r>
        <w:t xml:space="preserve"> </w:t>
      </w:r>
      <w:r>
        <w:t xml:space="preserve">“it is only internal”</w:t>
      </w:r>
      <w:r>
        <w:t xml:space="preserve"> </w:t>
      </w:r>
      <w:r>
        <w:t xml:space="preserve">is not enough.</w:t>
      </w:r>
    </w:p>
    <w:p>
      <w:pPr>
        <w:pStyle w:val="BodyText"/>
      </w:pPr>
      <w:r>
        <w:t xml:space="preserve">Internal tools can still create client risk.</w:t>
      </w:r>
    </w:p>
    <w:p>
      <w:pPr>
        <w:pStyle w:val="BodyText"/>
      </w:pPr>
      <w:r>
        <w:t xml:space="preserve">They can still leak data.</w:t>
      </w:r>
    </w:p>
    <w:p>
      <w:pPr>
        <w:pStyle w:val="BodyText"/>
      </w:pPr>
      <w:r>
        <w:t xml:space="preserve">They can still produce poor advice.</w:t>
      </w:r>
    </w:p>
    <w:p>
      <w:pPr>
        <w:pStyle w:val="BodyText"/>
      </w:pPr>
      <w:r>
        <w:t xml:space="preserve">They can still create inconsistent delivery quality.</w:t>
      </w:r>
    </w:p>
    <w:p>
      <w:pPr>
        <w:pStyle w:val="BodyText"/>
      </w:pPr>
      <w:r>
        <w:t xml:space="preserve">They can still expose firm IP.</w:t>
      </w:r>
    </w:p>
    <w:p>
      <w:pPr>
        <w:pStyle w:val="BodyText"/>
      </w:pPr>
      <w:r>
        <w:t xml:space="preserve">They can still become business-critical without anyone noticing.</w:t>
      </w:r>
    </w:p>
    <w:p>
      <w:pPr>
        <w:pStyle w:val="BodyText"/>
      </w:pPr>
      <w:r>
        <w:t xml:space="preserve">The more an internal accelerator influences client work, the more it needs product discipline.</w:t>
      </w:r>
    </w:p>
    <w:bookmarkEnd w:id="22"/>
    <w:bookmarkStart w:id="23" w:name="security-is-different-from-polish"/>
    <w:p>
      <w:pPr>
        <w:pStyle w:val="Heading2"/>
      </w:pPr>
      <w:r>
        <w:t xml:space="preserve">Security is different from polish</w:t>
      </w:r>
    </w:p>
    <w:p>
      <w:pPr>
        <w:pStyle w:val="FirstParagraph"/>
      </w:pPr>
      <w:r>
        <w:t xml:space="preserve">The internal-versus-client-facing distinction is mostly about polish, support expectations and commercial exposure.</w:t>
      </w:r>
    </w:p>
    <w:p>
      <w:pPr>
        <w:pStyle w:val="BodyText"/>
      </w:pPr>
      <w:r>
        <w:t xml:space="preserve">It is</w:t>
      </w:r>
      <w:r>
        <w:t xml:space="preserve"> </w:t>
      </w:r>
      <w:r>
        <w:rPr>
          <w:b/>
          <w:bCs/>
        </w:rPr>
        <w:t xml:space="preserve">not</w:t>
      </w:r>
      <w:r>
        <w:t xml:space="preserve"> </w:t>
      </w:r>
      <w:r>
        <w:t xml:space="preserve">a clean distinction about security.</w:t>
      </w:r>
    </w:p>
    <w:p>
      <w:pPr>
        <w:pStyle w:val="BodyText"/>
      </w:pPr>
      <w:r>
        <w:t xml:space="preserve">A client-facing product usually needs a more polished interface, clearer onboarding, stronger support and more explicit contractual terms.</w:t>
      </w:r>
    </w:p>
    <w:p>
      <w:pPr>
        <w:pStyle w:val="BodyText"/>
      </w:pPr>
      <w:r>
        <w:t xml:space="preserve">But an internal accelerator may need equal or stronger data security if it touches sensitive material.</w:t>
      </w:r>
    </w:p>
    <w:p>
      <w:pPr>
        <w:pStyle w:val="BodyText"/>
      </w:pPr>
      <w:r>
        <w:t xml:space="preserve">For example: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Audience</w:t>
            </w:r>
          </w:p>
        </w:tc>
        <w:tc>
          <w:tcPr/>
          <w:p>
            <w:pPr>
              <w:pStyle w:val="Compact"/>
            </w:pPr>
            <w:r>
              <w:t xml:space="preserve">Risk level</w:t>
            </w:r>
          </w:p>
        </w:tc>
      </w:tr>
      <w:tr>
        <w:tc>
          <w:tcPr/>
          <w:p>
            <w:pPr>
              <w:pStyle w:val="Compact"/>
            </w:pPr>
            <w:r>
              <w:t xml:space="preserve">Public FAQ agent on a website</w:t>
            </w:r>
          </w:p>
        </w:tc>
        <w:tc>
          <w:tcPr/>
          <w:p>
            <w:pPr>
              <w:pStyle w:val="Compact"/>
            </w:pPr>
            <w:r>
              <w:t xml:space="preserve">External</w:t>
            </w:r>
          </w:p>
        </w:tc>
        <w:tc>
          <w:tcPr/>
          <w:p>
            <w:pPr>
              <w:pStyle w:val="Compact"/>
            </w:pPr>
            <w:r>
              <w:t xml:space="preserve">May be low risk if it only uses public content</w:t>
            </w:r>
          </w:p>
        </w:tc>
      </w:tr>
      <w:tr>
        <w:tc>
          <w:tcPr/>
          <w:p>
            <w:pPr>
              <w:pStyle w:val="Compact"/>
            </w:pPr>
            <w:r>
              <w:t xml:space="preserve">Internal proposal assistant using client credentials</w:t>
            </w:r>
          </w:p>
        </w:tc>
        <w:tc>
          <w:tcPr/>
          <w:p>
            <w:pPr>
              <w:pStyle w:val="Compact"/>
            </w:pPr>
            <w:r>
              <w:t xml:space="preserve">Internal</w:t>
            </w:r>
          </w:p>
        </w:tc>
        <w:tc>
          <w:tcPr/>
          <w:p>
            <w:pPr>
              <w:pStyle w:val="Compact"/>
            </w:pPr>
            <w:r>
              <w:t xml:space="preserve">High risk because it touches commercial and client-sensitive material</w:t>
            </w:r>
          </w:p>
        </w:tc>
      </w:tr>
      <w:tr>
        <w:tc>
          <w:tcPr/>
          <w:p>
            <w:pPr>
              <w:pStyle w:val="Compact"/>
            </w:pPr>
            <w:r>
              <w:t xml:space="preserve">Internal QA app reviewing client deliverables</w:t>
            </w:r>
          </w:p>
        </w:tc>
        <w:tc>
          <w:tcPr/>
          <w:p>
            <w:pPr>
              <w:pStyle w:val="Compact"/>
            </w:pPr>
            <w:r>
              <w:t xml:space="preserve">Internal</w:t>
            </w:r>
          </w:p>
        </w:tc>
        <w:tc>
          <w:tcPr/>
          <w:p>
            <w:pPr>
              <w:pStyle w:val="Compact"/>
            </w:pPr>
            <w:r>
              <w:t xml:space="preserve">High risk because it affects client-facing work</w:t>
            </w:r>
          </w:p>
        </w:tc>
      </w:tr>
      <w:tr>
        <w:tc>
          <w:tcPr/>
          <w:p>
            <w:pPr>
              <w:pStyle w:val="Compact"/>
            </w:pPr>
            <w:r>
              <w:t xml:space="preserve">Client portal for document review</w:t>
            </w:r>
          </w:p>
        </w:tc>
        <w:tc>
          <w:tcPr/>
          <w:p>
            <w:pPr>
              <w:pStyle w:val="Compact"/>
            </w:pPr>
            <w:r>
              <w:t xml:space="preserve">External</w:t>
            </w:r>
          </w:p>
        </w:tc>
        <w:tc>
          <w:tcPr/>
          <w:p>
            <w:pPr>
              <w:pStyle w:val="Compact"/>
            </w:pPr>
            <w:r>
              <w:t xml:space="preserve">High risk because the client operates the workflow directly</w:t>
            </w:r>
          </w:p>
        </w:tc>
      </w:tr>
      <w:tr>
        <w:tc>
          <w:tcPr/>
          <w:p>
            <w:pPr>
              <w:pStyle w:val="Compact"/>
            </w:pPr>
            <w:r>
              <w:t xml:space="preserve">Internal methodology Skill with no client data</w:t>
            </w:r>
          </w:p>
        </w:tc>
        <w:tc>
          <w:tcPr/>
          <w:p>
            <w:pPr>
              <w:pStyle w:val="Compact"/>
            </w:pPr>
            <w:r>
              <w:t xml:space="preserve">Internal</w:t>
            </w:r>
          </w:p>
        </w:tc>
        <w:tc>
          <w:tcPr/>
          <w:p>
            <w:pPr>
              <w:pStyle w:val="Compact"/>
            </w:pPr>
            <w:r>
              <w:t xml:space="preserve">Lower risk, but still firm-IP sensitive</w:t>
            </w:r>
          </w:p>
        </w:tc>
      </w:tr>
    </w:tbl>
    <w:p>
      <w:pPr>
        <w:pStyle w:val="BodyText"/>
      </w:pPr>
      <w:r>
        <w:t xml:space="preserve">So the real risk model is not:</w:t>
      </w:r>
    </w:p>
    <w:p>
      <w:pPr>
        <w:pStyle w:val="BlockText"/>
      </w:pPr>
      <w:r>
        <w:t xml:space="preserve">internal versus external.</w:t>
      </w:r>
    </w:p>
    <w:p>
      <w:pPr>
        <w:pStyle w:val="FirstParagraph"/>
      </w:pPr>
      <w:r>
        <w:t xml:space="preserve">It is:</w:t>
      </w:r>
    </w:p>
    <w:p>
      <w:pPr>
        <w:pStyle w:val="BlockText"/>
      </w:pPr>
      <w:r>
        <w:t xml:space="preserve">data sensitivity, action authority, output consequence and audience.</w:t>
      </w:r>
    </w:p>
    <w:p>
      <w:pPr>
        <w:pStyle w:val="FirstParagraph"/>
      </w:pPr>
      <w:r>
        <w:t xml:space="preserve">That is a better way to decide the controls.</w:t>
      </w:r>
    </w:p>
    <w:bookmarkEnd w:id="23"/>
    <w:bookmarkStart w:id="24" w:name="where-vendor-agents-can-still-work"/>
    <w:p>
      <w:pPr>
        <w:pStyle w:val="Heading2"/>
      </w:pPr>
      <w:r>
        <w:t xml:space="preserve">Where vendor agents can still work</w:t>
      </w:r>
    </w:p>
    <w:p>
      <w:pPr>
        <w:pStyle w:val="FirstParagraph"/>
      </w:pPr>
      <w:r>
        <w:t xml:space="preserve">A client-facing or semi-client-facing use case does not automatically require a bespoke React and FastAPI app.</w:t>
      </w:r>
    </w:p>
    <w:p>
      <w:pPr>
        <w:pStyle w:val="BodyText"/>
      </w:pPr>
      <w:r>
        <w:t xml:space="preserve">A governed vendor agent may be enough when: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What it suggests</w:t>
            </w:r>
          </w:p>
        </w:tc>
      </w:tr>
      <w:tr>
        <w:tc>
          <w:tcPr/>
          <w:p>
            <w:pPr>
              <w:pStyle w:val="Compact"/>
            </w:pPr>
            <w:r>
              <w:t xml:space="preserve">The interaction is simple</w:t>
            </w:r>
          </w:p>
        </w:tc>
        <w:tc>
          <w:tcPr/>
          <w:p>
            <w:pPr>
              <w:pStyle w:val="Compact"/>
            </w:pPr>
            <w:r>
              <w:t xml:space="preserve">A chat or embedded agent may be sufficient</w:t>
            </w:r>
          </w:p>
        </w:tc>
      </w:tr>
      <w:tr>
        <w:tc>
          <w:tcPr/>
          <w:p>
            <w:pPr>
              <w:pStyle w:val="Compact"/>
            </w:pPr>
            <w:r>
              <w:t xml:space="preserve">The data is low sensitivity or already approved for that platform</w:t>
            </w:r>
          </w:p>
        </w:tc>
        <w:tc>
          <w:tcPr/>
          <w:p>
            <w:pPr>
              <w:pStyle w:val="Compact"/>
            </w:pPr>
            <w:r>
              <w:t xml:space="preserve">Vendor-hosted distribution may be acceptable</w:t>
            </w:r>
          </w:p>
        </w:tc>
      </w:tr>
      <w:tr>
        <w:tc>
          <w:tcPr/>
          <w:p>
            <w:pPr>
              <w:pStyle w:val="Compact"/>
            </w:pPr>
            <w:r>
              <w:t xml:space="preserve">The workflow does not need complex state</w:t>
            </w:r>
          </w:p>
        </w:tc>
        <w:tc>
          <w:tcPr/>
          <w:p>
            <w:pPr>
              <w:pStyle w:val="Compact"/>
            </w:pPr>
            <w:r>
              <w:t xml:space="preserve">You may not need a custom backend</w:t>
            </w:r>
          </w:p>
        </w:tc>
      </w:tr>
      <w:tr>
        <w:tc>
          <w:tcPr/>
          <w:p>
            <w:pPr>
              <w:pStyle w:val="Compact"/>
            </w:pPr>
            <w:r>
              <w:t xml:space="preserve">The agent is mostly answering FAQs or guiding users</w:t>
            </w:r>
          </w:p>
        </w:tc>
        <w:tc>
          <w:tcPr/>
          <w:p>
            <w:pPr>
              <w:pStyle w:val="Compact"/>
            </w:pPr>
            <w:r>
              <w:t xml:space="preserve">A configured agent may be better than a full app</w:t>
            </w:r>
          </w:p>
        </w:tc>
      </w:tr>
      <w:tr>
        <w:tc>
          <w:tcPr/>
          <w:p>
            <w:pPr>
              <w:pStyle w:val="Compact"/>
            </w:pPr>
            <w:r>
              <w:t xml:space="preserve">The client experience is not the main differentiator</w:t>
            </w:r>
          </w:p>
        </w:tc>
        <w:tc>
          <w:tcPr/>
          <w:p>
            <w:pPr>
              <w:pStyle w:val="Compact"/>
            </w:pPr>
            <w:r>
              <w:t xml:space="preserve">The value is the answer, not the interface</w:t>
            </w:r>
          </w:p>
        </w:tc>
      </w:tr>
      <w:tr>
        <w:tc>
          <w:tcPr/>
          <w:p>
            <w:pPr>
              <w:pStyle w:val="Compact"/>
            </w:pPr>
            <w:r>
              <w:t xml:space="preserve">The organisation can enforce authentication and access control properly</w:t>
            </w:r>
          </w:p>
        </w:tc>
        <w:tc>
          <w:tcPr/>
          <w:p>
            <w:pPr>
              <w:pStyle w:val="Compact"/>
            </w:pPr>
            <w:r>
              <w:t xml:space="preserve">Platform governance may be enough</w:t>
            </w:r>
          </w:p>
        </w:tc>
      </w:tr>
      <w:tr>
        <w:tc>
          <w:tcPr/>
          <w:p>
            <w:pPr>
              <w:pStyle w:val="Compact"/>
            </w:pPr>
            <w:r>
              <w:t xml:space="preserve">The use case is still a pilot</w:t>
            </w:r>
          </w:p>
        </w:tc>
        <w:tc>
          <w:tcPr/>
          <w:p>
            <w:pPr>
              <w:pStyle w:val="Compact"/>
            </w:pPr>
            <w:r>
              <w:t xml:space="preserve">Avoid overbuilding before the workflow is proven</w:t>
            </w:r>
          </w:p>
        </w:tc>
      </w:tr>
    </w:tbl>
    <w:p>
      <w:pPr>
        <w:pStyle w:val="BodyText"/>
      </w:pPr>
      <w:r>
        <w:t xml:space="preserve">Microsoft Copilot Studio, for example, can publish agents to multiple channels, including websites, mobile apps, Microsoft 365 Copilot and Teams. But Microsoft’s own documentation also makes the security boundary clear:</w:t>
      </w:r>
      <w:r>
        <w:t xml:space="preserve"> </w:t>
      </w:r>
      <w:r>
        <w:t xml:space="preserve">“no authentication”</w:t>
      </w:r>
      <w:r>
        <w:t xml:space="preserve"> </w:t>
      </w:r>
      <w:r>
        <w:t xml:space="preserve">means anyone with the link can interact with the agent, while authenticated patterns are recommended for organisational or specific-user use cases.</w:t>
      </w:r>
    </w:p>
    <w:p>
      <w:pPr>
        <w:pStyle w:val="BodyText"/>
      </w:pPr>
      <w:r>
        <w:t xml:space="preserve">That is the practical lesson.</w:t>
      </w:r>
    </w:p>
    <w:p>
      <w:pPr>
        <w:pStyle w:val="BodyText"/>
      </w:pPr>
      <w:r>
        <w:t xml:space="preserve">Vendor tools can be good enough, but only when the platform boundary matches the data boundary.</w:t>
      </w:r>
    </w:p>
    <w:p>
      <w:pPr>
        <w:pStyle w:val="BodyText"/>
      </w:pPr>
      <w:r>
        <w:t xml:space="preserve">If the agent is accessible to the wrong people, connected to the wrong sources, unable to enforce client-level separation or too hard to audit, then the convenience is not worth it.</w:t>
      </w:r>
    </w:p>
    <w:bookmarkEnd w:id="24"/>
    <w:bookmarkStart w:id="25" w:name="X6d99bbb2deccf20ffa51275d511d9c3e37efb95"/>
    <w:p>
      <w:pPr>
        <w:pStyle w:val="Heading2"/>
      </w:pPr>
      <w:r>
        <w:t xml:space="preserve">Client-facing deliverable is not the same as client-operated app</w:t>
      </w:r>
    </w:p>
    <w:p>
      <w:pPr>
        <w:pStyle w:val="FirstParagraph"/>
      </w:pPr>
      <w:r>
        <w:t xml:space="preserve">There is another useful distinction.</w:t>
      </w:r>
    </w:p>
    <w:p>
      <w:pPr>
        <w:pStyle w:val="BodyText"/>
      </w:pPr>
      <w:r>
        <w:t xml:space="preserve">A consultant may use AI internally to produce a client-facing deliverable. That is not the same as giving the client access to the AI tool.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What changes</w:t>
            </w:r>
          </w:p>
        </w:tc>
      </w:tr>
      <w:tr>
        <w:tc>
          <w:tcPr/>
          <w:p>
            <w:pPr>
              <w:pStyle w:val="Compact"/>
            </w:pPr>
            <w:r>
              <w:t xml:space="preserve">Consultant uses Copilot or Claude to draft part of a report</w:t>
            </w:r>
          </w:p>
        </w:tc>
        <w:tc>
          <w:tcPr/>
          <w:p>
            <w:pPr>
              <w:pStyle w:val="Compact"/>
            </w:pPr>
            <w:r>
              <w:t xml:space="preserve">The client sees the output, but not the tool</w:t>
            </w:r>
          </w:p>
        </w:tc>
      </w:tr>
      <w:tr>
        <w:tc>
          <w:tcPr/>
          <w:p>
            <w:pPr>
              <w:pStyle w:val="Compact"/>
            </w:pPr>
            <w:r>
              <w:t xml:space="preserve">Consultant uses an internal QA app before sending a deck</w:t>
            </w:r>
          </w:p>
        </w:tc>
        <w:tc>
          <w:tcPr/>
          <w:p>
            <w:pPr>
              <w:pStyle w:val="Compact"/>
            </w:pPr>
            <w:r>
              <w:t xml:space="preserve">The client benefits from the process, but does not operate it</w:t>
            </w:r>
          </w:p>
        </w:tc>
      </w:tr>
      <w:tr>
        <w:tc>
          <w:tcPr/>
          <w:p>
            <w:pPr>
              <w:pStyle w:val="Compact"/>
            </w:pPr>
            <w:r>
              <w:t xml:space="preserve">Client logs into a portal and uploads documents</w:t>
            </w:r>
          </w:p>
        </w:tc>
        <w:tc>
          <w:tcPr/>
          <w:p>
            <w:pPr>
              <w:pStyle w:val="Compact"/>
            </w:pPr>
            <w:r>
              <w:t xml:space="preserve">The client is now inside the product boundary</w:t>
            </w:r>
          </w:p>
        </w:tc>
      </w:tr>
      <w:tr>
        <w:tc>
          <w:tcPr/>
          <w:p>
            <w:pPr>
              <w:pStyle w:val="Compact"/>
            </w:pPr>
            <w:r>
              <w:t xml:space="preserve">Client asks questions of an AI agent directly</w:t>
            </w:r>
          </w:p>
        </w:tc>
        <w:tc>
          <w:tcPr/>
          <w:p>
            <w:pPr>
              <w:pStyle w:val="Compact"/>
            </w:pPr>
            <w:r>
              <w:t xml:space="preserve">The AI behaviour itself becomes part of the client experience</w:t>
            </w:r>
          </w:p>
        </w:tc>
      </w:tr>
      <w:tr>
        <w:tc>
          <w:tcPr/>
          <w:p>
            <w:pPr>
              <w:pStyle w:val="Compact"/>
            </w:pPr>
            <w:r>
              <w:t xml:space="preserve">Client relies on the AI output to make decisions</w:t>
            </w:r>
          </w:p>
        </w:tc>
        <w:tc>
          <w:tcPr/>
          <w:p>
            <w:pPr>
              <w:pStyle w:val="Compact"/>
            </w:pPr>
            <w:r>
              <w:t xml:space="preserve">Accountability, explanation and audit become much more important</w:t>
            </w:r>
          </w:p>
        </w:tc>
      </w:tr>
    </w:tbl>
    <w:p>
      <w:pPr>
        <w:pStyle w:val="BodyText"/>
      </w:pPr>
      <w:r>
        <w:t xml:space="preserve">This matters because the risk is different.</w:t>
      </w:r>
    </w:p>
    <w:p>
      <w:pPr>
        <w:pStyle w:val="BodyText"/>
      </w:pPr>
      <w:r>
        <w:t xml:space="preserve">Using AI internally still needs policy, review and data governance. But the firm can keep human judgement between the AI system and the client.</w:t>
      </w:r>
    </w:p>
    <w:p>
      <w:pPr>
        <w:pStyle w:val="BodyText"/>
      </w:pPr>
      <w:r>
        <w:t xml:space="preserve">When the client operates the tool directly, the interface, model behaviour, data handling and support model become part of what the firm is selling.</w:t>
      </w:r>
    </w:p>
    <w:p>
      <w:pPr>
        <w:pStyle w:val="BodyText"/>
      </w:pPr>
      <w:r>
        <w:t xml:space="preserve">That is a much higher bar.</w:t>
      </w:r>
    </w:p>
    <w:bookmarkEnd w:id="25"/>
    <w:bookmarkStart w:id="26" w:name="the-client-facing-test"/>
    <w:p>
      <w:pPr>
        <w:pStyle w:val="Heading2"/>
      </w:pPr>
      <w:r>
        <w:t xml:space="preserve">The client-facing test</w:t>
      </w:r>
    </w:p>
    <w:p>
      <w:pPr>
        <w:pStyle w:val="FirstParagraph"/>
      </w:pPr>
      <w:r>
        <w:t xml:space="preserve">Before turning an internal AI tool into something a client can use, 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Why it matters</w:t>
            </w:r>
          </w:p>
        </w:tc>
      </w:tr>
      <w:tr>
        <w:tc>
          <w:tcPr/>
          <w:p>
            <w:pPr>
              <w:pStyle w:val="Compact"/>
            </w:pPr>
            <w:r>
              <w:t xml:space="preserve">Does the client know AI is being used?</w:t>
            </w:r>
          </w:p>
        </w:tc>
        <w:tc>
          <w:tcPr/>
          <w:p>
            <w:pPr>
              <w:pStyle w:val="Compact"/>
            </w:pPr>
            <w:r>
              <w:t xml:space="preserve">Transparency may be required contractually, ethically or commercially</w:t>
            </w:r>
          </w:p>
        </w:tc>
      </w:tr>
      <w:tr>
        <w:tc>
          <w:tcPr/>
          <w:p>
            <w:pPr>
              <w:pStyle w:val="Compact"/>
            </w:pPr>
            <w:r>
              <w:t xml:space="preserve">Has the client approved the data flow?</w:t>
            </w:r>
          </w:p>
        </w:tc>
        <w:tc>
          <w:tcPr/>
          <w:p>
            <w:pPr>
              <w:pStyle w:val="Compact"/>
            </w:pPr>
            <w:r>
              <w:t xml:space="preserve">Their data may be processed, stored, embedded, logged or passed to model providers</w:t>
            </w:r>
          </w:p>
        </w:tc>
      </w:tr>
      <w:tr>
        <w:tc>
          <w:tcPr/>
          <w:p>
            <w:pPr>
              <w:pStyle w:val="Compact"/>
            </w:pPr>
            <w:r>
              <w:t xml:space="preserve">Can one client ever see another client’s data?</w:t>
            </w:r>
          </w:p>
        </w:tc>
        <w:tc>
          <w:tcPr/>
          <w:p>
            <w:pPr>
              <w:pStyle w:val="Compact"/>
            </w:pPr>
            <w:r>
              <w:t xml:space="preserve">Multi-client isolation must be designed, not assumed</w:t>
            </w:r>
          </w:p>
        </w:tc>
      </w:tr>
      <w:tr>
        <w:tc>
          <w:tcPr/>
          <w:p>
            <w:pPr>
              <w:pStyle w:val="Compact"/>
            </w:pPr>
            <w:r>
              <w:t xml:space="preserve">Are we exposing firm IP?</w:t>
            </w:r>
          </w:p>
        </w:tc>
        <w:tc>
          <w:tcPr/>
          <w:p>
            <w:pPr>
              <w:pStyle w:val="Compact"/>
            </w:pPr>
            <w:r>
              <w:t xml:space="preserve">Prompts, methods, rubrics, benchmarks and workflows may be valuable</w:t>
            </w:r>
          </w:p>
        </w:tc>
      </w:tr>
      <w:tr>
        <w:tc>
          <w:tcPr/>
          <w:p>
            <w:pPr>
              <w:pStyle w:val="Compact"/>
            </w:pPr>
            <w:r>
              <w:t xml:space="preserve">Who is accountable for the output?</w:t>
            </w:r>
          </w:p>
        </w:tc>
        <w:tc>
          <w:tcPr/>
          <w:p>
            <w:pPr>
              <w:pStyle w:val="Compact"/>
            </w:pPr>
            <w:r>
              <w:t xml:space="preserve">The firm, not the model, owns the client relationship</w:t>
            </w:r>
          </w:p>
        </w:tc>
      </w:tr>
      <w:tr>
        <w:tc>
          <w:tcPr/>
          <w:p>
            <w:pPr>
              <w:pStyle w:val="Compact"/>
            </w:pPr>
            <w:r>
              <w:t xml:space="preserve">What happens when the output is wrong?</w:t>
            </w:r>
          </w:p>
        </w:tc>
        <w:tc>
          <w:tcPr/>
          <w:p>
            <w:pPr>
              <w:pStyle w:val="Compact"/>
            </w:pPr>
            <w:r>
              <w:t xml:space="preserve">Client-facing tools need escalation and correction paths</w:t>
            </w:r>
          </w:p>
        </w:tc>
      </w:tr>
      <w:tr>
        <w:tc>
          <w:tcPr/>
          <w:p>
            <w:pPr>
              <w:pStyle w:val="Compact"/>
            </w:pPr>
            <w:r>
              <w:t xml:space="preserve">Can the client rely on the output?</w:t>
            </w:r>
          </w:p>
        </w:tc>
        <w:tc>
          <w:tcPr/>
          <w:p>
            <w:pPr>
              <w:pStyle w:val="Compact"/>
            </w:pPr>
            <w:r>
              <w:t xml:space="preserve">If not, the interface must make the limits clear</w:t>
            </w:r>
          </w:p>
        </w:tc>
      </w:tr>
      <w:tr>
        <w:tc>
          <w:tcPr/>
          <w:p>
            <w:pPr>
              <w:pStyle w:val="Compact"/>
            </w:pPr>
            <w:r>
              <w:t xml:space="preserve">Is there an audit trail?</w:t>
            </w:r>
          </w:p>
        </w:tc>
        <w:tc>
          <w:tcPr/>
          <w:p>
            <w:pPr>
              <w:pStyle w:val="Compact"/>
            </w:pPr>
            <w:r>
              <w:t xml:space="preserve">The firm may need to explain what happened later</w:t>
            </w:r>
          </w:p>
        </w:tc>
      </w:tr>
      <w:tr>
        <w:tc>
          <w:tcPr/>
          <w:p>
            <w:pPr>
              <w:pStyle w:val="Compact"/>
            </w:pPr>
            <w:r>
              <w:t xml:space="preserve">Can we support it properly?</w:t>
            </w:r>
          </w:p>
        </w:tc>
        <w:tc>
          <w:tcPr/>
          <w:p>
            <w:pPr>
              <w:pStyle w:val="Compact"/>
            </w:pPr>
            <w:r>
              <w:t xml:space="preserve">External users create expectations</w:t>
            </w:r>
          </w:p>
        </w:tc>
      </w:tr>
      <w:tr>
        <w:tc>
          <w:tcPr/>
          <w:p>
            <w:pPr>
              <w:pStyle w:val="Compact"/>
            </w:pPr>
            <w:r>
              <w:t xml:space="preserve">Can we switch it off safely?</w:t>
            </w:r>
          </w:p>
        </w:tc>
        <w:tc>
          <w:tcPr/>
          <w:p>
            <w:pPr>
              <w:pStyle w:val="Compact"/>
            </w:pPr>
            <w:r>
              <w:t xml:space="preserve">Decommissioning is harder once clients depend on it</w:t>
            </w:r>
          </w:p>
        </w:tc>
      </w:tr>
      <w:tr>
        <w:tc>
          <w:tcPr/>
          <w:p>
            <w:pPr>
              <w:pStyle w:val="Compact"/>
            </w:pPr>
            <w:r>
              <w:t xml:space="preserve">Does the app need branding and polish?</w:t>
            </w:r>
          </w:p>
        </w:tc>
        <w:tc>
          <w:tcPr/>
          <w:p>
            <w:pPr>
              <w:pStyle w:val="Compact"/>
            </w:pPr>
            <w:r>
              <w:t xml:space="preserve">Client-facing tools shape the perception of the firm</w:t>
            </w:r>
          </w:p>
        </w:tc>
      </w:tr>
      <w:tr>
        <w:tc>
          <w:tcPr/>
          <w:p>
            <w:pPr>
              <w:pStyle w:val="Compact"/>
            </w:pPr>
            <w:r>
              <w:t xml:space="preserve">Does it need contractual terms of use?</w:t>
            </w:r>
          </w:p>
        </w:tc>
        <w:tc>
          <w:tcPr/>
          <w:p>
            <w:pPr>
              <w:pStyle w:val="Compact"/>
            </w:pPr>
            <w:r>
              <w:t xml:space="preserve">Direct client access creates a different commercial relationship</w:t>
            </w:r>
          </w:p>
        </w:tc>
      </w:tr>
    </w:tbl>
    <w:p>
      <w:pPr>
        <w:pStyle w:val="BodyText"/>
      </w:pPr>
      <w:r>
        <w:t xml:space="preserve">This is where many internal AI experiments should pause.</w:t>
      </w:r>
    </w:p>
    <w:p>
      <w:pPr>
        <w:pStyle w:val="BodyText"/>
      </w:pPr>
      <w:r>
        <w:t xml:space="preserve">A tool can be excellent for internal acceleration and still be unsuitable for direct client use.</w:t>
      </w:r>
    </w:p>
    <w:p>
      <w:pPr>
        <w:pStyle w:val="BodyText"/>
      </w:pPr>
      <w:r>
        <w:t xml:space="preserve">That is not failure.</w:t>
      </w:r>
    </w:p>
    <w:p>
      <w:pPr>
        <w:pStyle w:val="BodyText"/>
      </w:pPr>
      <w:r>
        <w:t xml:space="preserve">It may be the right boundary.</w:t>
      </w:r>
    </w:p>
    <w:bookmarkEnd w:id="26"/>
    <w:bookmarkStart w:id="27" w:name="X0d1e6f426f690efd82059468a3bfeb8cdc7e254"/>
    <w:p>
      <w:pPr>
        <w:pStyle w:val="Heading2"/>
      </w:pPr>
      <w:r>
        <w:t xml:space="preserve">When client-facing custom build is justified</w:t>
      </w:r>
    </w:p>
    <w:p>
      <w:pPr>
        <w:pStyle w:val="FirstParagraph"/>
      </w:pPr>
      <w:r>
        <w:t xml:space="preserve">A custom client-facing app is justified when the app itself becomes part of the value proposition.</w:t>
      </w:r>
    </w:p>
    <w:p>
      <w:pPr>
        <w:pStyle w:val="BodyText"/>
      </w:pPr>
      <w:r>
        <w:t xml:space="preserve">For 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What it suggests</w:t>
            </w:r>
          </w:p>
        </w:tc>
      </w:tr>
      <w:tr>
        <w:tc>
          <w:tcPr/>
          <w:p>
            <w:pPr>
              <w:pStyle w:val="Compact"/>
            </w:pPr>
            <w:r>
              <w:t xml:space="preserve">The client needs to log in</w:t>
            </w:r>
          </w:p>
        </w:tc>
        <w:tc>
          <w:tcPr/>
          <w:p>
            <w:pPr>
              <w:pStyle w:val="Compact"/>
            </w:pPr>
            <w:r>
              <w:t xml:space="preserve">You need proper identity, tenancy and access design</w:t>
            </w:r>
          </w:p>
        </w:tc>
      </w:tr>
      <w:tr>
        <w:tc>
          <w:tcPr/>
          <w:p>
            <w:pPr>
              <w:pStyle w:val="Compact"/>
            </w:pPr>
            <w:r>
              <w:t xml:space="preserve">The client uploads sensitive data</w:t>
            </w:r>
          </w:p>
        </w:tc>
        <w:tc>
          <w:tcPr/>
          <w:p>
            <w:pPr>
              <w:pStyle w:val="Compact"/>
            </w:pPr>
            <w:r>
              <w:t xml:space="preserve">You need explicit storage, processing and deletion rules</w:t>
            </w:r>
          </w:p>
        </w:tc>
      </w:tr>
      <w:tr>
        <w:tc>
          <w:tcPr/>
          <w:p>
            <w:pPr>
              <w:pStyle w:val="Compact"/>
            </w:pPr>
            <w:r>
              <w:t xml:space="preserve">The client reviews or approves outputs</w:t>
            </w:r>
          </w:p>
        </w:tc>
        <w:tc>
          <w:tcPr/>
          <w:p>
            <w:pPr>
              <w:pStyle w:val="Compact"/>
            </w:pPr>
            <w:r>
              <w:t xml:space="preserve">You need workflow state and audit history</w:t>
            </w:r>
          </w:p>
        </w:tc>
      </w:tr>
      <w:tr>
        <w:tc>
          <w:tcPr/>
          <w:p>
            <w:pPr>
              <w:pStyle w:val="Compact"/>
            </w:pPr>
            <w:r>
              <w:t xml:space="preserve">The app is used across multiple clients</w:t>
            </w:r>
          </w:p>
        </w:tc>
        <w:tc>
          <w:tcPr/>
          <w:p>
            <w:pPr>
              <w:pStyle w:val="Compact"/>
            </w:pPr>
            <w:r>
              <w:t xml:space="preserve">You need multi-tenant architecture</w:t>
            </w:r>
          </w:p>
        </w:tc>
      </w:tr>
      <w:tr>
        <w:tc>
          <w:tcPr/>
          <w:p>
            <w:pPr>
              <w:pStyle w:val="Compact"/>
            </w:pPr>
            <w:r>
              <w:t xml:space="preserve">The interface shapes the client experience</w:t>
            </w:r>
          </w:p>
        </w:tc>
        <w:tc>
          <w:tcPr/>
          <w:p>
            <w:pPr>
              <w:pStyle w:val="Compact"/>
            </w:pPr>
            <w:r>
              <w:t xml:space="preserve">You need product design, not just an agent</w:t>
            </w:r>
          </w:p>
        </w:tc>
      </w:tr>
      <w:tr>
        <w:tc>
          <w:tcPr/>
          <w:p>
            <w:pPr>
              <w:pStyle w:val="Compact"/>
            </w:pPr>
            <w:r>
              <w:t xml:space="preserve">The tool represents reusable firm IP</w:t>
            </w:r>
          </w:p>
        </w:tc>
        <w:tc>
          <w:tcPr/>
          <w:p>
            <w:pPr>
              <w:pStyle w:val="Compact"/>
            </w:pPr>
            <w:r>
              <w:t xml:space="preserve">You need ownership, version control and controlled exposure</w:t>
            </w:r>
          </w:p>
        </w:tc>
      </w:tr>
      <w:tr>
        <w:tc>
          <w:tcPr/>
          <w:p>
            <w:pPr>
              <w:pStyle w:val="Compact"/>
            </w:pPr>
            <w:r>
              <w:t xml:space="preserve">The output affects client decisions</w:t>
            </w:r>
          </w:p>
        </w:tc>
        <w:tc>
          <w:tcPr/>
          <w:p>
            <w:pPr>
              <w:pStyle w:val="Compact"/>
            </w:pPr>
            <w:r>
              <w:t xml:space="preserve">You need explanation, review and accountability</w:t>
            </w:r>
          </w:p>
        </w:tc>
      </w:tr>
      <w:tr>
        <w:tc>
          <w:tcPr/>
          <w:p>
            <w:pPr>
              <w:pStyle w:val="Compact"/>
            </w:pPr>
            <w:r>
              <w:t xml:space="preserve">The client expects ongoing use</w:t>
            </w:r>
          </w:p>
        </w:tc>
        <w:tc>
          <w:tcPr/>
          <w:p>
            <w:pPr>
              <w:pStyle w:val="Compact"/>
            </w:pPr>
            <w:r>
              <w:t xml:space="preserve">You need support, reliability and a roadmap</w:t>
            </w:r>
          </w:p>
        </w:tc>
      </w:tr>
      <w:tr>
        <w:tc>
          <w:tcPr/>
          <w:p>
            <w:pPr>
              <w:pStyle w:val="Compact"/>
            </w:pPr>
            <w:r>
              <w:t xml:space="preserve">The workflow has bespoke steps</w:t>
            </w:r>
          </w:p>
        </w:tc>
        <w:tc>
          <w:tcPr/>
          <w:p>
            <w:pPr>
              <w:pStyle w:val="Compact"/>
            </w:pPr>
            <w:r>
              <w:t xml:space="preserve">You need a custom process model</w:t>
            </w:r>
          </w:p>
        </w:tc>
      </w:tr>
      <w:tr>
        <w:tc>
          <w:tcPr/>
          <w:p>
            <w:pPr>
              <w:pStyle w:val="Compact"/>
            </w:pPr>
            <w:r>
              <w:t xml:space="preserve">The firm needs differentiated UX</w:t>
            </w:r>
          </w:p>
        </w:tc>
        <w:tc>
          <w:tcPr/>
          <w:p>
            <w:pPr>
              <w:pStyle w:val="Compact"/>
            </w:pPr>
            <w:r>
              <w:t xml:space="preserve">A generic chat surface may not be enough</w:t>
            </w:r>
          </w:p>
        </w:tc>
      </w:tr>
    </w:tbl>
    <w:p>
      <w:pPr>
        <w:pStyle w:val="BodyText"/>
      </w:pPr>
      <w:r>
        <w:t xml:space="preserve">That is the point where a shared vendor agent is usually not enough.</w:t>
      </w:r>
    </w:p>
    <w:p>
      <w:pPr>
        <w:pStyle w:val="BodyText"/>
      </w:pPr>
      <w:r>
        <w:t xml:space="preserve">It might still power part of the solution behind the scenes. The model may come from Microsoft, Anthropic, OpenAI or Google. The documents may still live in SharePoint. The workflow may still notify people through Teams or Slack. The admin model may still use Entra ID or another identity provider.</w:t>
      </w:r>
    </w:p>
    <w:p>
      <w:pPr>
        <w:pStyle w:val="BodyText"/>
      </w:pPr>
      <w:r>
        <w:t xml:space="preserve">But the client-facing experience needs its own product boundary.</w:t>
      </w:r>
    </w:p>
    <w:bookmarkEnd w:id="27"/>
    <w:bookmarkStart w:id="28" w:name="the-consultancy-pattern"/>
    <w:p>
      <w:pPr>
        <w:pStyle w:val="Heading2"/>
      </w:pPr>
      <w:r>
        <w:t xml:space="preserve">The consultancy pattern</w:t>
      </w:r>
    </w:p>
    <w:p>
      <w:pPr>
        <w:pStyle w:val="FirstParagraph"/>
      </w:pPr>
      <w:r>
        <w:t xml:space="preserve">For consultancies, the strongest pattern is usually layered: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Who uses it?</w:t>
            </w:r>
          </w:p>
        </w:tc>
        <w:tc>
          <w:tcPr/>
          <w:p>
            <w:pPr>
              <w:pStyle w:val="Compact"/>
            </w:pPr>
            <w:r>
              <w:t xml:space="preserve">Purpose</w:t>
            </w:r>
          </w:p>
        </w:tc>
        <w:tc>
          <w:tcPr/>
          <w:p>
            <w:pPr>
              <w:pStyle w:val="Compact"/>
            </w:pPr>
            <w:r>
              <w:t xml:space="preserve">Control level</w:t>
            </w:r>
          </w:p>
        </w:tc>
      </w:tr>
      <w:tr>
        <w:tc>
          <w:tcPr/>
          <w:p>
            <w:pPr>
              <w:pStyle w:val="Compact"/>
            </w:pPr>
            <w:r>
              <w:t xml:space="preserve">Productivity assistant</w:t>
            </w:r>
          </w:p>
        </w:tc>
        <w:tc>
          <w:tcPr/>
          <w:p>
            <w:pPr>
              <w:pStyle w:val="Compact"/>
            </w:pPr>
            <w:r>
              <w:t xml:space="preserve">Individual consultants</w:t>
            </w:r>
          </w:p>
        </w:tc>
        <w:tc>
          <w:tcPr/>
          <w:p>
            <w:pPr>
              <w:pStyle w:val="Compact"/>
            </w:pPr>
            <w:r>
              <w:t xml:space="preserve">Move faster on drafting, research, analysis and synthesis</w:t>
            </w:r>
          </w:p>
        </w:tc>
        <w:tc>
          <w:tcPr/>
          <w:p>
            <w:pPr>
              <w:pStyle w:val="Compact"/>
            </w:pPr>
            <w:r>
              <w:t xml:space="preserve">Light-to-moderate controls</w:t>
            </w:r>
          </w:p>
        </w:tc>
      </w:tr>
      <w:tr>
        <w:tc>
          <w:tcPr/>
          <w:p>
            <w:pPr>
              <w:pStyle w:val="Compact"/>
            </w:pPr>
            <w:r>
              <w:t xml:space="preserve">Internal delivery accelerator</w:t>
            </w:r>
          </w:p>
        </w:tc>
        <w:tc>
          <w:tcPr/>
          <w:p>
            <w:pPr>
              <w:pStyle w:val="Compact"/>
            </w:pPr>
            <w:r>
              <w:t xml:space="preserve">Delivery teams</w:t>
            </w:r>
          </w:p>
        </w:tc>
        <w:tc>
          <w:tcPr/>
          <w:p>
            <w:pPr>
              <w:pStyle w:val="Compact"/>
            </w:pPr>
            <w:r>
              <w:t xml:space="preserve">Improve consistency, quality and reuse across client work</w:t>
            </w:r>
          </w:p>
        </w:tc>
        <w:tc>
          <w:tcPr/>
          <w:p>
            <w:pPr>
              <w:pStyle w:val="Compact"/>
            </w:pPr>
            <w:r>
              <w:t xml:space="preserve">Strong governance if client or sensitive data is involved</w:t>
            </w:r>
          </w:p>
        </w:tc>
      </w:tr>
      <w:tr>
        <w:tc>
          <w:tcPr/>
          <w:p>
            <w:pPr>
              <w:pStyle w:val="Compact"/>
            </w:pPr>
            <w:r>
              <w:t xml:space="preserve">Client-facing product</w:t>
            </w:r>
          </w:p>
        </w:tc>
        <w:tc>
          <w:tcPr/>
          <w:p>
            <w:pPr>
              <w:pStyle w:val="Compact"/>
            </w:pPr>
            <w:r>
              <w:t xml:space="preserve">Clients and consultants</w:t>
            </w:r>
          </w:p>
        </w:tc>
        <w:tc>
          <w:tcPr/>
          <w:p>
            <w:pPr>
              <w:pStyle w:val="Compact"/>
            </w:pPr>
            <w:r>
              <w:t xml:space="preserve">Create a direct productised service or managed workflow</w:t>
            </w:r>
          </w:p>
        </w:tc>
        <w:tc>
          <w:tcPr/>
          <w:p>
            <w:pPr>
              <w:pStyle w:val="Compact"/>
            </w:pPr>
            <w:r>
              <w:t xml:space="preserve">Product-grade governance, support and security</w:t>
            </w:r>
          </w:p>
        </w:tc>
      </w:tr>
    </w:tbl>
    <w:p>
      <w:pPr>
        <w:pStyle w:val="BodyText"/>
      </w:pPr>
      <w:r>
        <w:t xml:space="preserve">This keeps the firm from making two common mistakes.</w:t>
      </w:r>
    </w:p>
    <w:p>
      <w:pPr>
        <w:pStyle w:val="BodyText"/>
      </w:pPr>
      <w:r>
        <w:t xml:space="preserve">The first mistake is treating internal accelerators like disposable experiments after they start influencing client work. That creates hidden delivery risk.</w:t>
      </w:r>
    </w:p>
    <w:p>
      <w:pPr>
        <w:pStyle w:val="BodyText"/>
      </w:pPr>
      <w:r>
        <w:t xml:space="preserve">The second mistake is exposing internal accelerators too early. A rough but useful QA workflow may be excellent for consultants and completely inappropriate for clients. It may reveal too much of the firm’s method, rely on too much human judgement or lack the support model expected from a client-facing product.</w:t>
      </w:r>
    </w:p>
    <w:p>
      <w:pPr>
        <w:pStyle w:val="BodyText"/>
      </w:pPr>
      <w:r>
        <w:t xml:space="preserve">The judgement is knowing which direction the tool should move.</w:t>
      </w:r>
    </w:p>
    <w:p>
      <w:pPr>
        <w:pStyle w:val="BodyText"/>
      </w:pPr>
      <w:r>
        <w:t xml:space="preserve">Some tools should stay as personal productivity aids.</w:t>
      </w:r>
    </w:p>
    <w:p>
      <w:pPr>
        <w:pStyle w:val="BodyText"/>
      </w:pPr>
      <w:r>
        <w:t xml:space="preserve">Some should become governed internal accelerators.</w:t>
      </w:r>
    </w:p>
    <w:p>
      <w:pPr>
        <w:pStyle w:val="BodyText"/>
      </w:pPr>
      <w:r>
        <w:t xml:space="preserve">A smaller number should become client-facing products.</w:t>
      </w:r>
    </w:p>
    <w:p>
      <w:pPr>
        <w:pStyle w:val="BodyText"/>
      </w:pPr>
      <w:r>
        <w:t xml:space="preserve">Those are different decisions.</w:t>
      </w:r>
    </w:p>
    <w:bookmarkEnd w:id="28"/>
    <w:bookmarkStart w:id="29" w:name="the-practical-rule"/>
    <w:p>
      <w:pPr>
        <w:pStyle w:val="Heading2"/>
      </w:pPr>
      <w:r>
        <w:t xml:space="preserve">The practical rule</w:t>
      </w:r>
    </w:p>
    <w:p>
      <w:pPr>
        <w:pStyle w:val="FirstParagraph"/>
      </w:pPr>
      <w:r>
        <w:t xml:space="preserve">Keep AI tools lightweight when they are mainly there to make one person faster.</w:t>
      </w:r>
    </w:p>
    <w:p>
      <w:pPr>
        <w:pStyle w:val="BodyText"/>
      </w:pPr>
      <w:r>
        <w:t xml:space="preserve">Govern them properly when they start shaping delivery work.</w:t>
      </w:r>
    </w:p>
    <w:p>
      <w:pPr>
        <w:pStyle w:val="BodyText"/>
      </w:pPr>
      <w:r>
        <w:t xml:space="preserve">Make them client-facing only when the client experience itself creates value.</w:t>
      </w:r>
    </w:p>
    <w:p>
      <w:pPr>
        <w:pStyle w:val="BodyText"/>
      </w:pPr>
      <w:r>
        <w:t xml:space="preserve">That distinction protects the firm from both mistakes: under-governing internal tools and over-exposing unfinished ones.</w:t>
      </w:r>
    </w:p>
    <w:p>
      <w:pPr>
        <w:pStyle w:val="BodyText"/>
      </w:pPr>
      <w:r>
        <w:t xml:space="preserve">The simple version is:</w:t>
      </w:r>
    </w:p>
    <w:p>
      <w:pPr>
        <w:pStyle w:val="BlockText"/>
      </w:pPr>
      <w:r>
        <w:t xml:space="preserve">Copilot and Claude help the consultant.</w:t>
      </w:r>
      <w:r>
        <w:br/>
      </w:r>
      <w:r>
        <w:t xml:space="preserve">Internal accelerators help the firm.</w:t>
      </w:r>
      <w:r>
        <w:br/>
      </w:r>
      <w:r>
        <w:t xml:space="preserve">Client-facing products help the client directly.</w:t>
      </w:r>
    </w:p>
    <w:p>
      <w:pPr>
        <w:pStyle w:val="FirstParagraph"/>
      </w:pPr>
      <w:r>
        <w:t xml:space="preserve">But the control level follows the risk, not just the audience.</w:t>
      </w:r>
    </w:p>
    <w:p>
      <w:pPr>
        <w:pStyle w:val="BodyText"/>
      </w:pPr>
      <w:r>
        <w:t xml:space="preserve">An internal accelerator with sensitive client data may need more governance than a public-facing FAQ bot.</w:t>
      </w:r>
    </w:p>
    <w:p>
      <w:pPr>
        <w:pStyle w:val="BodyText"/>
      </w:pPr>
      <w:r>
        <w:t xml:space="preserve">That is the nuance the decision needs.</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2026-07-01T21:37:05Z</dcterms:created>
  <dcterms:modified xsi:type="dcterms:W3CDTF">2026-07-01T21:37:05Z</dcterms:modified>
</cp:coreProperties>
</file>

<file path=docProps/custom.xml><?xml version="1.0" encoding="utf-8"?>
<Properties xmlns="http://schemas.openxmlformats.org/officeDocument/2006/custom-properties" xmlns:vt="http://schemas.openxmlformats.org/officeDocument/2006/docPropsVTypes"/>
</file>