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16cbbd292d3d1390b9cf1c61af2b6f8f04ae21"/>
    <w:p>
      <w:pPr>
        <w:pStyle w:val="Heading2"/>
      </w:pPr>
      <w:r>
        <w:t xml:space="preserve">The legal and commercial boundary matters too</w:t>
      </w:r>
    </w:p>
    <w:p>
      <w:pPr>
        <w:pStyle w:val="FirstParagraph"/>
      </w:pPr>
      <w:r>
        <w:t xml:space="preserve">There is one final data question that is easy to miss:</w:t>
      </w:r>
    </w:p>
    <w:p>
      <w:pPr>
        <w:pStyle w:val="BlockText"/>
      </w:pPr>
      <w:r>
        <w:t xml:space="preserve">Are we actually allowed to use this tool, with this data, for this client, in this way?</w:t>
      </w:r>
    </w:p>
    <w:p>
      <w:pPr>
        <w:pStyle w:val="FirstParagraph"/>
      </w:pPr>
      <w:r>
        <w:t xml:space="preserve">That sounds like a legal question, but it quickly becomes a product and architecture question.</w:t>
      </w:r>
    </w:p>
    <w:p>
      <w:pPr>
        <w:pStyle w:val="BodyText"/>
      </w:pPr>
      <w:r>
        <w:t xml:space="preserve">A company may be comfortable using Copilot or Claude for internal drafting. It may be less comfortable using the same tool with client-confidential files, regulated data, employee data, source code, pricing models or acquisition documents. The issue is not just whether the vendor is secure. The issue is whether the use case fits the organisation’s contracts, client commitments, data processing terms, retention rules and regulatory obligations.</w:t>
      </w:r>
    </w:p>
    <w:p>
      <w:pPr>
        <w:pStyle w:val="BodyText"/>
      </w:pPr>
      <w:r>
        <w:t xml:space="preserve">This matters for both vendor agents and custom apps.</w:t>
      </w:r>
    </w:p>
    <w:p>
      <w:pPr>
        <w:pStyle w:val="BodyText"/>
      </w:pPr>
      <w:r>
        <w:t xml:space="preserve">With a vendor-hosted agent, the organisation needs to understand the platform terms: where data is processed, whether prompts and outputs are stored, whether data is used for model training, what subprocessors are involved, what admin controls exist, what audit logs are available, and whether the tool fits existing client obligations.</w:t>
      </w:r>
    </w:p>
    <w:p>
      <w:pPr>
        <w:pStyle w:val="BodyText"/>
      </w:pPr>
      <w:r>
        <w:t xml:space="preserve">With a custom app, the organisation gets more control, but also more responsibility. It must decide where the app is hosted, which model provider is used, what data is sent to the model, whether outputs are stored, how logs are handled, who can access traces, and how the app complies with contractual or regulatory requirements.</w:t>
      </w:r>
    </w:p>
    <w:p>
      <w:pPr>
        <w:pStyle w:val="BodyText"/>
      </w:pPr>
      <w:r>
        <w:t xml:space="preserve">This is especially important in consulting.</w:t>
      </w:r>
    </w:p>
    <w:p>
      <w:pPr>
        <w:pStyle w:val="BodyText"/>
      </w:pPr>
      <w:r>
        <w:t xml:space="preserve">A consultancy may have different rules for different clients. One client may allow Microsoft 365 Copilot but not external model APIs. Another may allow anonymised analysis but not document upload. Another may require data to stay in a specific region. Another may prohibit using its materials to build reusable firm assets.</w:t>
      </w:r>
    </w:p>
    <w:p>
      <w:pPr>
        <w:pStyle w:val="BodyText"/>
      </w:pPr>
      <w:r>
        <w:t xml:space="preserve">That means the build-versus-buy decision is not only technical.</w:t>
      </w:r>
    </w:p>
    <w:p>
      <w:pPr>
        <w:pStyle w:val="BodyText"/>
      </w:pPr>
      <w:r>
        <w:t xml:space="preserve">It is also about the safest operating boundary.</w:t>
      </w:r>
    </w:p>
    <w:p>
      <w:pPr>
        <w:pStyle w:val="BodyText"/>
      </w:pPr>
      <w:r>
        <w:t xml:space="preserve">If the organisation already has Microsoft 365 governance, retention, audit and client-approved terms, it may be safer to keep the workflow inside Copilot. If the use case needs stricter client isolation, custom review flows, explicit audit history or a dedicated data boundary, a small custom app may be safer — but only if it is properly owned.</w:t>
      </w:r>
    </w:p>
    <w:p>
      <w:pPr>
        <w:pStyle w:val="BodyText"/>
      </w:pPr>
      <w:r>
        <w:t xml:space="preserve">The practical test is simple: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Why it matters</w:t>
            </w:r>
          </w:p>
        </w:tc>
      </w:tr>
      <w:tr>
        <w:tc>
          <w:tcPr/>
          <w:p>
            <w:pPr>
              <w:pStyle w:val="Compact"/>
            </w:pPr>
            <w:r>
              <w:t xml:space="preserve">Does the client allow this tool?</w:t>
            </w:r>
          </w:p>
        </w:tc>
        <w:tc>
          <w:tcPr/>
          <w:p>
            <w:pPr>
              <w:pStyle w:val="Compact"/>
            </w:pPr>
            <w:r>
              <w:t xml:space="preserve">Some client contracts restrict AI tools or external processing</w:t>
            </w:r>
          </w:p>
        </w:tc>
      </w:tr>
      <w:tr>
        <w:tc>
          <w:tcPr/>
          <w:p>
            <w:pPr>
              <w:pStyle w:val="Compact"/>
            </w:pPr>
            <w:r>
              <w:t xml:space="preserve">Where is the data processed and stored?</w:t>
            </w:r>
          </w:p>
        </w:tc>
        <w:tc>
          <w:tcPr/>
          <w:p>
            <w:pPr>
              <w:pStyle w:val="Compact"/>
            </w:pPr>
            <w:r>
              <w:t xml:space="preserve">Residency and cross-border transfer rules may apply</w:t>
            </w:r>
          </w:p>
        </w:tc>
      </w:tr>
      <w:tr>
        <w:tc>
          <w:tcPr/>
          <w:p>
            <w:pPr>
              <w:pStyle w:val="Compact"/>
            </w:pPr>
            <w:r>
              <w:t xml:space="preserve">Are prompts and outputs retained?</w:t>
            </w:r>
          </w:p>
        </w:tc>
        <w:tc>
          <w:tcPr/>
          <w:p>
            <w:pPr>
              <w:pStyle w:val="Compact"/>
            </w:pPr>
            <w:r>
              <w:t xml:space="preserve">They may become business records</w:t>
            </w:r>
          </w:p>
        </w:tc>
      </w:tr>
      <w:tr>
        <w:tc>
          <w:tcPr/>
          <w:p>
            <w:pPr>
              <w:pStyle w:val="Compact"/>
            </w:pPr>
            <w:r>
              <w:t xml:space="preserve">Is data used for model training?</w:t>
            </w:r>
          </w:p>
        </w:tc>
        <w:tc>
          <w:tcPr/>
          <w:p>
            <w:pPr>
              <w:pStyle w:val="Compact"/>
            </w:pPr>
            <w:r>
              <w:t xml:space="preserve">This must be clear, especially with confidential material</w:t>
            </w:r>
          </w:p>
        </w:tc>
      </w:tr>
      <w:tr>
        <w:tc>
          <w:tcPr/>
          <w:p>
            <w:pPr>
              <w:pStyle w:val="Compact"/>
            </w:pPr>
            <w:r>
              <w:t xml:space="preserve">Who owns the generated output?</w:t>
            </w:r>
          </w:p>
        </w:tc>
        <w:tc>
          <w:tcPr/>
          <w:p>
            <w:pPr>
              <w:pStyle w:val="Compact"/>
            </w:pPr>
            <w:r>
              <w:t xml:space="preserve">Outputs may become client deliverables or firm IP</w:t>
            </w:r>
          </w:p>
        </w:tc>
      </w:tr>
      <w:tr>
        <w:tc>
          <w:tcPr/>
          <w:p>
            <w:pPr>
              <w:pStyle w:val="Compact"/>
            </w:pPr>
            <w:r>
              <w:t xml:space="preserve">Can we audit what happened?</w:t>
            </w:r>
          </w:p>
        </w:tc>
        <w:tc>
          <w:tcPr/>
          <w:p>
            <w:pPr>
              <w:pStyle w:val="Compact"/>
            </w:pPr>
            <w:r>
              <w:t xml:space="preserve">Client-facing and regulated work may require traceability</w:t>
            </w:r>
          </w:p>
        </w:tc>
      </w:tr>
      <w:tr>
        <w:tc>
          <w:tcPr/>
          <w:p>
            <w:pPr>
              <w:pStyle w:val="Compact"/>
            </w:pPr>
            <w:r>
              <w:t xml:space="preserve">Can we delete derived data?</w:t>
            </w:r>
          </w:p>
        </w:tc>
        <w:tc>
          <w:tcPr/>
          <w:p>
            <w:pPr>
              <w:pStyle w:val="Compact"/>
            </w:pPr>
            <w:r>
              <w:t xml:space="preserve">Retention and deletion must cover logs, embeddings and cached outputs</w:t>
            </w:r>
          </w:p>
        </w:tc>
      </w:tr>
      <w:tr>
        <w:tc>
          <w:tcPr/>
          <w:p>
            <w:pPr>
              <w:pStyle w:val="Compact"/>
            </w:pPr>
            <w:r>
              <w:t xml:space="preserve">Does the use case fall into a regulated category?</w:t>
            </w:r>
          </w:p>
        </w:tc>
        <w:tc>
          <w:tcPr/>
          <w:p>
            <w:pPr>
              <w:pStyle w:val="Compact"/>
            </w:pPr>
            <w:r>
              <w:t xml:space="preserve">Some AI systems need stronger documentation, oversight and controls</w:t>
            </w:r>
          </w:p>
        </w:tc>
      </w:tr>
    </w:tbl>
    <w:p>
      <w:pPr>
        <w:pStyle w:val="BodyText"/>
      </w:pPr>
      <w:r>
        <w:t xml:space="preserve">This should not turn every internal AI tool into a legal project.</w:t>
      </w:r>
    </w:p>
    <w:p>
      <w:pPr>
        <w:pStyle w:val="BodyText"/>
      </w:pPr>
      <w:r>
        <w:t xml:space="preserve">But it should stop teams from assuming that</w:t>
      </w:r>
      <w:r>
        <w:t xml:space="preserve"> </w:t>
      </w:r>
      <w:r>
        <w:t xml:space="preserve">“secure vendor”</w:t>
      </w:r>
      <w:r>
        <w:t xml:space="preserve"> </w:t>
      </w:r>
      <w:r>
        <w:t xml:space="preserve">means</w:t>
      </w:r>
      <w:r>
        <w:t xml:space="preserve"> </w:t>
      </w:r>
      <w:r>
        <w:t xml:space="preserve">“approved use case”</w:t>
      </w:r>
      <w:r>
        <w:t xml:space="preserve">.</w:t>
      </w:r>
    </w:p>
    <w:p>
      <w:pPr>
        <w:pStyle w:val="BodyText"/>
      </w:pPr>
      <w:r>
        <w:t xml:space="preserve">The better rule is:</w:t>
      </w:r>
    </w:p>
    <w:p>
      <w:pPr>
        <w:pStyle w:val="BlockText"/>
      </w:pPr>
      <w:r>
        <w:t xml:space="preserve">The more sensitive the data, the more consequential the output, and the more client-specific the workflow, the more explicit the legal and commercial boundary needs to be.</w:t>
      </w:r>
    </w:p>
    <w:p>
      <w:pPr>
        <w:pStyle w:val="FirstParagraph"/>
      </w:pPr>
      <w:r>
        <w:t xml:space="preserve">For low-risk productivity, vendor tools are usually the right place to start.</w:t>
      </w:r>
    </w:p>
    <w:p>
      <w:pPr>
        <w:pStyle w:val="BodyText"/>
      </w:pPr>
      <w:r>
        <w:t xml:space="preserve">For client-sensitive or reusable operational workflows, the organisation needs to be much more deliberate.</w:t>
      </w:r>
    </w:p>
    <w:p>
      <w:pPr>
        <w:pStyle w:val="BodyText"/>
      </w:pPr>
      <w:r>
        <w:t xml:space="preserve">Sometimes that means staying inside a governed platform.</w:t>
      </w:r>
    </w:p>
    <w:p>
      <w:pPr>
        <w:pStyle w:val="BodyText"/>
      </w:pPr>
      <w:r>
        <w:t xml:space="preserve">Sometimes it means building custom.</w:t>
      </w:r>
    </w:p>
    <w:p>
      <w:pPr>
        <w:pStyle w:val="BodyText"/>
      </w:pPr>
      <w:r>
        <w:t xml:space="preserve">Sometimes it means not using AI for that workflow at all.</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2026-07-01T21:30:41Z</dcterms:created>
  <dcterms:modified xsi:type="dcterms:W3CDTF">2026-07-01T21:30:41Z</dcterms:modified>
</cp:coreProperties>
</file>

<file path=docProps/custom.xml><?xml version="1.0" encoding="utf-8"?>
<Properties xmlns="http://schemas.openxmlformats.org/officeDocument/2006/custom-properties" xmlns:vt="http://schemas.openxmlformats.org/officeDocument/2006/docPropsVTypes"/>
</file>