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4AFAC">
      <w:pPr>
        <w:pStyle w:val="3"/>
        <w:bidi w:val="0"/>
        <w:ind w:left="0" w:leftChars="0" w:firstLine="0" w:firstLineChars="0"/>
        <w:rPr>
          <w:rFonts w:hint="eastAsia"/>
        </w:rPr>
      </w:pPr>
      <w:bookmarkStart w:id="0" w:name="_Toc187684086"/>
      <w:r>
        <w:rPr>
          <w:rFonts w:hint="eastAsia"/>
        </w:rPr>
        <w:t>项目投融资与财务方案</w:t>
      </w:r>
      <w:bookmarkEnd w:id="0"/>
    </w:p>
    <w:p w14:paraId="4B241966">
      <w:pPr>
        <w:pStyle w:val="4"/>
        <w:bidi w:val="0"/>
        <w:ind w:left="0" w:leftChars="0" w:firstLine="0" w:firstLineChars="0"/>
        <w:rPr>
          <w:rFonts w:hint="eastAsia"/>
        </w:rPr>
      </w:pPr>
      <w:bookmarkStart w:id="1" w:name="_Toc187684087"/>
      <w:bookmarkStart w:id="2" w:name="_Toc9519"/>
      <w:r>
        <w:rPr>
          <w:rFonts w:hint="eastAsia"/>
        </w:rPr>
        <w:t>投资估算范围</w:t>
      </w:r>
      <w:bookmarkEnd w:id="1"/>
      <w:bookmarkEnd w:id="2"/>
    </w:p>
    <w:p w14:paraId="42EF3592">
      <w:pPr>
        <w:pStyle w:val="14"/>
        <w:bidi w:val="0"/>
        <w:ind w:left="0" w:leftChars="0" w:firstLine="1077" w:firstLineChars="0"/>
        <w:rPr>
          <w:rFonts w:hint="eastAsia"/>
        </w:rPr>
      </w:pPr>
      <w:r>
        <w:rPr>
          <w:rFonts w:hint="eastAsia"/>
        </w:rPr>
        <w:t>本投资估算包括工程费用（含建筑工程费、安装工程费、设备购置费、其他费用）、工程建设其他费用、预备费、建设期利息等投资估算。</w:t>
      </w:r>
    </w:p>
    <w:p w14:paraId="6DE701DF">
      <w:pPr>
        <w:pStyle w:val="14"/>
        <w:bidi w:val="0"/>
        <w:ind w:left="0" w:leftChars="0" w:firstLine="1077" w:firstLineChars="0"/>
        <w:rPr>
          <w:rFonts w:hint="eastAsia"/>
        </w:rPr>
      </w:pPr>
      <w:r>
        <w:rPr>
          <w:rFonts w:hint="eastAsia"/>
        </w:rPr>
        <w:t>建筑工程费用估算采用指标投资估算法，单位工程量费用估算指标以《江西省园林绿化工程消耗量定额及统一基价表》为基础，以及九江市市场材料价格调整价差，参照八里湖新区行情及近年来类似工程概预算造价，结合本工程标准及规模综合编制。</w:t>
      </w:r>
    </w:p>
    <w:p w14:paraId="523FAE10">
      <w:pPr>
        <w:pStyle w:val="4"/>
        <w:bidi w:val="0"/>
        <w:ind w:left="0" w:leftChars="0" w:firstLine="0" w:firstLineChars="0"/>
        <w:rPr>
          <w:rFonts w:hint="eastAsia"/>
        </w:rPr>
      </w:pPr>
      <w:bookmarkStart w:id="3" w:name="_Toc187684088"/>
      <w:bookmarkStart w:id="4" w:name="_Toc26697"/>
      <w:r>
        <w:rPr>
          <w:rFonts w:hint="eastAsia"/>
        </w:rPr>
        <w:t>编制依据</w:t>
      </w:r>
      <w:bookmarkEnd w:id="3"/>
      <w:bookmarkEnd w:id="4"/>
    </w:p>
    <w:p w14:paraId="700584EF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本工程按照确定的工程建设规范及内容和技术指标为准，依据如下定额标准估算工程建设的投资。</w:t>
      </w:r>
    </w:p>
    <w:p w14:paraId="1EC9BEF6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1.《江西省房屋建筑与装饰工程消耗量定额及统一基价表》（2017版）；</w:t>
      </w:r>
    </w:p>
    <w:p w14:paraId="3CAF99D7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2.《江西省通用安装工程消耗量定额及统一基价表》（2017版）；</w:t>
      </w:r>
    </w:p>
    <w:p w14:paraId="37ADA8F8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3.《江西省市政工程消耗量定额及统一基价表》（2017版）；</w:t>
      </w:r>
    </w:p>
    <w:p w14:paraId="1C380019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4.《江西省建筑与装饰、通用安装、市政工程费用定额（试行）》（2017 版）；</w:t>
      </w:r>
    </w:p>
    <w:p w14:paraId="2B6875EE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5.《江西省园林绿化工程消耗量定额及统一基价表》（2023年版）；</w:t>
      </w:r>
    </w:p>
    <w:p w14:paraId="618103CD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6.其他费用按《市政工程可行性研究投资估算编制办法》（建标〔2007〕164号）计取；</w:t>
      </w:r>
    </w:p>
    <w:p w14:paraId="2D7BAF3C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7.《关于进一步放开建设项目专业服务价格的通知》（发改价格〔2015〕299号）；</w:t>
      </w:r>
    </w:p>
    <w:p w14:paraId="7CFE4984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8.工日单价执行赣建价【2020】5号《关于调整江西省建设工程定额综合工日单价的通知》；</w:t>
      </w:r>
    </w:p>
    <w:p w14:paraId="42573A0D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9.税金执行赣建价〔2019〕1号文《关于调整江西省建设工程计价依据增值税税率的通知》；</w:t>
      </w:r>
    </w:p>
    <w:p w14:paraId="275ACA2F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10.最新一期《九江建设工程造价信息》；</w:t>
      </w:r>
    </w:p>
    <w:p w14:paraId="610B2F29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11.九江市同类建筑物近期单位造价指标及国内设备现行价格；</w:t>
      </w:r>
    </w:p>
    <w:p w14:paraId="051D19AE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12.本项目建设工程建设可行性研究报告资料及有关文件。</w:t>
      </w:r>
    </w:p>
    <w:p w14:paraId="486EDD43">
      <w:pPr>
        <w:pStyle w:val="4"/>
        <w:bidi w:val="0"/>
        <w:ind w:left="0" w:leftChars="0" w:firstLine="0" w:firstLineChars="0"/>
        <w:rPr>
          <w:rFonts w:hint="eastAsia"/>
        </w:rPr>
      </w:pPr>
      <w:bookmarkStart w:id="5" w:name="_Toc187684089"/>
      <w:r>
        <w:rPr>
          <w:rFonts w:hint="eastAsia"/>
        </w:rPr>
        <w:t>项目投资估算及资金筹措</w:t>
      </w:r>
      <w:bookmarkEnd w:id="5"/>
    </w:p>
    <w:p w14:paraId="602B1DE4">
      <w:pPr>
        <w:pStyle w:val="15"/>
        <w:bidi w:val="0"/>
        <w:ind w:left="0" w:leftChars="0" w:firstLine="0" w:firstLineChars="0"/>
        <w:rPr>
          <w:rFonts w:hint="eastAsia"/>
        </w:rPr>
      </w:pPr>
      <w:bookmarkStart w:id="6" w:name="_Toc18544"/>
      <w:bookmarkStart w:id="7" w:name="_Toc12620"/>
      <w:r>
        <w:rPr>
          <w:rFonts w:hint="eastAsia"/>
        </w:rPr>
        <w:t>项目投资估算</w:t>
      </w:r>
      <w:bookmarkEnd w:id="6"/>
      <w:bookmarkEnd w:id="7"/>
    </w:p>
    <w:p w14:paraId="7126A9C3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本项目总投资约为22000.00万元，其中：工程费用约为17385.78万元，工程建设其他费用约为2754.06万元，预备费约为1590.16万元，建设期利息270.00万元。</w:t>
      </w:r>
    </w:p>
    <w:p w14:paraId="734B9A4B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具体详见</w:t>
      </w: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instrText xml:space="preserve"> REF _Ref22976 </w:instrText>
      </w: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t>表 7-1：总投资估算表</w:t>
      </w: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366B2436">
      <w:pPr>
        <w:rPr>
          <w:rFonts w:hint="eastAsia" w:cs="仿宋"/>
          <w:color w:val="000000" w:themeColor="text1"/>
          <w14:textFill>
            <w14:solidFill>
              <w14:schemeClr w14:val="tx1"/>
            </w14:solidFill>
          </w14:textFill>
        </w:rPr>
        <w:sectPr>
          <w:headerReference r:id="rId5" w:type="first"/>
          <w:headerReference r:id="rId3" w:type="default"/>
          <w:headerReference r:id="rId4" w:type="even"/>
          <w:pgSz w:w="11906" w:h="16838"/>
          <w:pgMar w:top="1440" w:right="1803" w:bottom="1440" w:left="1803" w:header="454" w:footer="737" w:gutter="0"/>
          <w:pgNumType w:fmt="decimal" w:start="1"/>
          <w:cols w:space="720" w:num="1"/>
          <w:docGrid w:linePitch="312" w:charSpace="0"/>
        </w:sectPr>
      </w:pPr>
    </w:p>
    <w:p w14:paraId="4758F3EC">
      <w:pPr>
        <w:pStyle w:val="5"/>
        <w:rPr>
          <w:rFonts w:hint="eastAsia"/>
        </w:rPr>
      </w:pPr>
      <w:bookmarkStart w:id="8" w:name="_Ref14631"/>
      <w:bookmarkStart w:id="9" w:name="_Ref22976"/>
      <w:r>
        <w:rPr>
          <w:rFonts w:hint="eastAsia"/>
        </w:rPr>
        <w:t>表 7-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表 \* ARABIC \s 1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bookmarkEnd w:id="8"/>
      <w:r>
        <w:rPr>
          <w:rFonts w:hint="eastAsia"/>
        </w:rPr>
        <w:t>：总投资估算表</w:t>
      </w:r>
      <w:bookmarkEnd w:id="9"/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2386"/>
        <w:gridCol w:w="1248"/>
        <w:gridCol w:w="1102"/>
        <w:gridCol w:w="1102"/>
        <w:gridCol w:w="1064"/>
        <w:gridCol w:w="1102"/>
        <w:gridCol w:w="1548"/>
        <w:gridCol w:w="779"/>
        <w:gridCol w:w="770"/>
        <w:gridCol w:w="1325"/>
        <w:gridCol w:w="1552"/>
      </w:tblGrid>
      <w:tr w14:paraId="7AB69C8A">
        <w:trPr>
          <w:trHeight w:val="280" w:hRule="atLeast"/>
        </w:trPr>
        <w:tc>
          <w:tcPr>
            <w:tcW w:w="29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4118307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80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EDC785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工程或费用名称</w:t>
            </w:r>
          </w:p>
        </w:tc>
        <w:tc>
          <w:tcPr>
            <w:tcW w:w="2411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53D40ED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估算金额（万元）</w:t>
            </w:r>
          </w:p>
        </w:tc>
        <w:tc>
          <w:tcPr>
            <w:tcW w:w="96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9F0BBFB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技术经济指标</w:t>
            </w:r>
          </w:p>
        </w:tc>
        <w:tc>
          <w:tcPr>
            <w:tcW w:w="52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23687E00">
            <w:pPr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 w14:paraId="74A46DC7">
        <w:trPr>
          <w:trHeight w:val="560" w:hRule="atLeast"/>
        </w:trPr>
        <w:tc>
          <w:tcPr>
            <w:tcW w:w="29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A05278">
            <w:pP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0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8894A6">
            <w:pP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9BB499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建筑工程费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1041DC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安装工程费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5F6F39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设备购置费</w:t>
            </w: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9D9D9"/>
            <w:vAlign w:val="center"/>
          </w:tcPr>
          <w:p w14:paraId="4DEAFC2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其他费用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9D9D9"/>
            <w:vAlign w:val="center"/>
          </w:tcPr>
          <w:p w14:paraId="4AD9703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小计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9D9D9"/>
            <w:vAlign w:val="center"/>
          </w:tcPr>
          <w:p w14:paraId="12B3B3D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比例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9D9D9"/>
            <w:vAlign w:val="center"/>
          </w:tcPr>
          <w:p w14:paraId="13073D9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单位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9D9D9"/>
            <w:vAlign w:val="center"/>
          </w:tcPr>
          <w:p w14:paraId="17D26E5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数量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D9D9D9"/>
            <w:vAlign w:val="center"/>
          </w:tcPr>
          <w:p w14:paraId="7EE0116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单价（元）</w:t>
            </w:r>
          </w:p>
        </w:tc>
        <w:tc>
          <w:tcPr>
            <w:tcW w:w="52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8FB7A">
            <w:pPr>
              <w:rPr>
                <w:rFonts w:ascii="等线" w:hAnsi="等线" w:eastAsia="等线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14:paraId="7C62978E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6314723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一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226F6D3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工程费用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27BED09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17385.78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5E56293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2A7831C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601B1A8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0AD5887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17385.78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3CE0BB0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79.03%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1474FE0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67420245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6A5E05F4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34174944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</w:tr>
      <w:tr w14:paraId="4D9474AE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D2B54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（一）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4226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农村产业融合示范园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806F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14755.78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FBA6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F9DC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474E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63A0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14755.78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C220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67.07%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1AB4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482B5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73145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A03E7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</w:tr>
      <w:tr w14:paraId="48045012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D2727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E3EB3E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分拣仓库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48ED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366.00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824A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3A32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7637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EB01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366.00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5DAC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1.66%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7440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9E02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1000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89B0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FF5C6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</w:tr>
      <w:tr w14:paraId="00420F67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0A3A5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1.1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2E5D5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土建工程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7DDA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330.00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EBE6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C8AB6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20843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3C942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330.00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CC2E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1.50%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D7D77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339D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1000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FA1E3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3300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249B3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843FA3E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59ED0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1.2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A5479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给排水工程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7960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9.00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3C1E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233E1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CEF5D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7BE92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9.00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69D3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0.04%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A06F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A36B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1000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26738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90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EAD87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16EB0F1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4136F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1.3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A6D5A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电气工程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2025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11.00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0ABF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296FF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7942C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C2629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11.00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0EC5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0.05%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8237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58636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1000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ABABC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110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A6E1A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3D1555F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86CAB0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1.4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ACA89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消防工程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8A257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9.00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8C2C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4A6E8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73D39E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A3D39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9.00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B920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0.04%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E7DD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EBD1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1000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99565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90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4FC56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22797B4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4E718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1.5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2456F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暖通工程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E724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7.00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2645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0E61B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854C7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92E42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7.00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07D41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0.03%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21A4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7E73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1000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D403B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70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5F3D1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9AE033D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3BB1E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E48DC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农产品加工厂房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E0D6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366.00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49DA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4FFD5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6899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9F67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366.00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0045E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1.66%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6D4F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4A8A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1000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5D21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8F57A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</w:tr>
      <w:tr w14:paraId="098A7410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F24A9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2.1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E37A4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土建工程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97D0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330.00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E1EF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747D1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B0574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CF586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330.00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4135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1.50%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6954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864F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1000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6DBE1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3300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E39C1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3D01289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34036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2.2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32C82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给排水工程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F6FB6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9.00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8D75F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2ED80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E3C04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12A3C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9.00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E364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0.04%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4629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D5E6F6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1000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A2B21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90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580EF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0022300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3F714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2.3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A74A2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电气工程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957C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11.00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A0AF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4A2F8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CBEC3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F214B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11.00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D2E0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0.05%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AF4E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2AE51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1000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6362F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110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9A455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F961870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593D6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2.4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5549B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消防工程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8B8C4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9.00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28FE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A7B5FC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D644D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DE36B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9.00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A6D0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0.04%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60B6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1129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1000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20077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90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8D37B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F59E79B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432D0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2.5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E4342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暖通工程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B711D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7.00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36CC6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0A657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A6393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ABD92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7423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0.03%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4DA7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E73A1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1000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6C452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70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68004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F3A6D6F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6EA17">
            <w:pPr>
              <w:jc w:val="center"/>
              <w:rPr>
                <w:rFonts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F6AD2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保鲜仓储中心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1B46F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194.5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3DE5D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F68009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AA29F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DA74C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194.5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7DA10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0.008840909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56E48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48B29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500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B76EB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DD2BC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</w:tr>
      <w:tr w14:paraId="02AC573D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50DF8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3.1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75CA58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土建工程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0775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165.00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F620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0986F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4B7C3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A7AB9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165.00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2DE9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0.75%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29A27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0ACB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E2365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3300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0C7C2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B77E766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B7915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3.2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0DDC4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给排水工程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88F7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4.50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43AA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B90AE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A45E5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81E23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4.50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8E42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0.02%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68CC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3A6D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4DD01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90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F20BE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54E2F03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50DBE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3.3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D1C1F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电气工程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CB2E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5.50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7C8A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A1AEB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77832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AF34E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5.50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4A25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0.03%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4EDD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57C8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7AAC0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110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E61E3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C166F27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E4EFE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3.4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D95C5D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消防工程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9197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4.50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23D6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B409D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A7B7C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02394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4.50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1D54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0.02%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10AC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7F87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2FA10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90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0310C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B50C61D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3042E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3.5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450D2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暖通工程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D68B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15.00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7524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C5C2A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88017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6BB1C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5095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0.07%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37B1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4DA6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C3143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300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A8A84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5049FB9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D3069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6F8F3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实践教育综合基地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93CB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1939.80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B52C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2B63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6333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815A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1939.80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3A2D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8.82%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B505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6474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5300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9BD5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2B709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</w:tr>
      <w:tr w14:paraId="39E367F8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7052AD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4.1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081DA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土建工程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25B37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1749.00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230B6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386E5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AAB54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4B6877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1749.00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38AD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7.95%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29D1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0872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5300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D547B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3300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EDBD0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41ED44C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871C7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4.2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1D396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给排水工程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ED15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47.70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305F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900D7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21AB6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79EEC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47.70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B87F4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0.22%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8965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BB09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5300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3554C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90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C0B6C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A636CCA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34BF0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4.3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5186C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电气工程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69FB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58.30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AA12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41A86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A4E9C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69EE6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58.30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AAA6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0.27%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925B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98D2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5300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96571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110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56A14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6AB1AAB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14DF6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4.4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8A245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消防工程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60AF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47.70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017D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ECEFE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7E234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DCF5D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47.70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900E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0.22%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4306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29A4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5300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50648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90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EE16D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5C846A6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AE690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4.5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C1759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暖通工程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8A70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37.10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AD389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620D9F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148C8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1E716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37.1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B2D4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0.17%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5DBE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23391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5300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104CF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70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26FCF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241C66A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AF7E3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4B867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农业技术推广中心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3017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219.60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CE97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6023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F5BA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C230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219.60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9C6E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1.00%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128B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404B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600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5D39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261E0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</w:tr>
      <w:tr w14:paraId="0C52C080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58389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5.1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3ECFF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土建工程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7D56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198.00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2469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B63A7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AD21D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B7136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198.00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2F3D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0.90%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0728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6FB4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621F2A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3300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288B1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E8716A9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FABF1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5.2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4144B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给排水工程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B4FA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5.40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A607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305E0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54402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ECE34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5.40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973B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0.02%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7F5C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C16F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A4631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90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3A9D5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31FC832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7D39C5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5.3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E1575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电气工程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9E9A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6.60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F52501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94479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496C5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8E1F9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6.60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820891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0.03%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F66F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CCAD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FA402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110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38FC7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5E2A87E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FE63A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5.4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402486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消防工程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6004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5.40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53DD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34F95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0CA30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98314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5.40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688D6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0.02%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2C22E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2E0D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950EF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90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2A1B7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61D3D3C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6E0C3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5.5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95D66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暖通工程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0F39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4.20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E94B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B2F27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CD7BC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D4F11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4.2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F1E1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0.02%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42F75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7459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5268A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70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46BED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3733592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31458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03CDF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创新创业孵化平台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C2D1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7352.57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AFC1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6AAD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3FC4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2F0C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7352.57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C2E8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33.42%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52C7C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67D4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20089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1B74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21E5B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</w:tr>
      <w:tr w14:paraId="256D9FC0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AD178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6.1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2C19B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土建工程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A4F6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6629.37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59C4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A2D69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CDD27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CE9FF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6629.37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9CAC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30.13%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43656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25747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20089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27A75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3300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0CA4C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BF3BA80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64FEE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6.2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854CBB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给排水工程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D71B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180.80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0FDE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A7BFD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735B4C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249E7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180.80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9EDD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0.82%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669E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8EB0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20089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D42E8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90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CB68A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FC89C9D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6AFB2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6.3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F086C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电气工程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2D90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220.98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C8116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114F6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E17C2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B220A7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220.98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B82D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1.00%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6F687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C680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20089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F4C88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110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7A02C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4F3B17C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D0AB4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6.4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062CC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消防工程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B09E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180.80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86617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118BDF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FCC3D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B4563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180.80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198F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0.82%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35354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AF6C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20089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A43C1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90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60893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3058363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CEA31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6.5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13549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暖通工程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6296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140.62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F463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64244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8F5B5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6FF47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140.62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C12C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0.64%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8F07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D406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20089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B5933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70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9C774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504B5F2">
        <w:trPr>
          <w:trHeight w:val="36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E2310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3FC32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创新创业孵化平台地下停车场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EECC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3612.00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E1CE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7B3F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EFF3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1B2B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3612.00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9269E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16.42%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6999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E1BC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6000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D764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FE79A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停车位225个</w:t>
            </w:r>
          </w:p>
        </w:tc>
      </w:tr>
      <w:tr w14:paraId="0CDF2B31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C4C4D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7.1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FD088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支护工程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AFD13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540.00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AF737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ABBBF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13BCA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FB76E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540.00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CEB5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2.45%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CAC7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023F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6000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1C945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900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361E4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D60FE1C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8B597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7.2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B43EF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主体工程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A1F1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2880.00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8559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8EC61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81339B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5B095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2880.00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3ED9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13.09%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6D985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78F73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6000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B12E74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4800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015CB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44A388D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171A2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8.2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11842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给排水工程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BC95F6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54.00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1CD1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B6CE10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C37AC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07EB3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54.00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9823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0.25%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5C5C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26ED7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6000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30360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90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54879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1FFCD53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6856F6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9.2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CD7C3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电气工程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E16C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66.00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BA57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74DF3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631F3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72CD7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66.00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00DB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0.30%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2B2EF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5EC36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6000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3A0B9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110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9892A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F69EA0B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4C46A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7.4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FF97C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消防工程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3083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42.00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F6E6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BAE14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1F961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8B5FD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42.00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A63C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0.19%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2C45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29EB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6000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0726E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70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2C199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D079F31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46B34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7.5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1A778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通风工程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290E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E579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8436D8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8CC44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0137B3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2B68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0.14%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227F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452B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6000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75AAD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50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E9144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C0865A4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2EB33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B5D98B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停车场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7976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34.05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8A95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4E3F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A5C8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BE90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34.05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C695E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0.15%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227F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3452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1050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0EBF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A4EA9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</w:tr>
      <w:tr w14:paraId="72AC9F1D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FF98E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8.1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5972B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场地铺装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507F7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31.50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F632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C8F85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AE590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5B615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31.50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70557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0.14%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4BFE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3174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1050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1ADBA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300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2A0B8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停车位40个</w:t>
            </w:r>
          </w:p>
        </w:tc>
      </w:tr>
      <w:tr w14:paraId="3695A7DC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10781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8.2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9D654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标线工程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00EA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1.05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F416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E2992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DB59C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CE6E8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1.05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325D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0.00%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EFDC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平方米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B558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1050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DBEFE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4D5AA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15B5246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5793E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8.3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8FC97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闸机及停车管理系统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F081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1.50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749E1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A148E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360EE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A6007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1.50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2D70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0.01%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F92A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项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95D6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C1A26B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15000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0C6E6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7954F63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036D9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5007E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标准化农田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0BD8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435.78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5045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54854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AB2F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F847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435.78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9BCE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1.98%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16E9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亩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C944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73.86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190E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0ECB2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49237平方米</w:t>
            </w:r>
          </w:p>
        </w:tc>
      </w:tr>
      <w:tr w14:paraId="776DFCA3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38A5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9.1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0064D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土地平整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E7CC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44.32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4EE9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15DE9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6C8BAF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7A2D2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44.32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E4201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0.20%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719E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亩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9580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73.86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21B31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6000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A182A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E7F2A3A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2034F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9.2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5BE8D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挖壕打穴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BDA5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59.09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3775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658F6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FC815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BAAFD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59.09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B923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0.27%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412F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亩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37FA7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73.86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0DA03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8000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867B3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8DD37F9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3B1A3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9.3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28764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水肥一体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0E49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332.37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F3A5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E1D9A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D2A2C4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B22EE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332.37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7C35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1.51%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D303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亩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F07B1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73.86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6F21C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45000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2E9BA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6DE053D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91629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40067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标准化高效栽培试验示范田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063A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120.66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B0D2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3653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E814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1CD7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120.66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4552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0.55%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847E5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亩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F04F3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20.45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AAE1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59766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13631平方米</w:t>
            </w:r>
          </w:p>
        </w:tc>
      </w:tr>
      <w:tr w14:paraId="0D8B4271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BBF3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10.1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27FF5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土地平整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3CCF1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12.27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A2BF6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58A94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246AD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E3EE1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12.27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F0406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0.06%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A1C3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亩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85E9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20.45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28C91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6000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78738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8B91B48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0AD63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10.2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87B9F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挖壕打穴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B2F4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16.36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13FD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0BB3EF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2CFEF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FE42F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16.36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1A92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0.07%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415D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亩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6A18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20.45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0DD98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8000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1C040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DB5B563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896AA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10.3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8B4C1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水肥一体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AFE0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92.03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0D31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F48FD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FE2C2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B05F0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92.03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FC3B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0.42%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53E0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亩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9122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20.45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AD8FC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45000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2FB76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9554CE0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C506F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69861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育苗基地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083D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114.82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3F080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3D97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AC43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6098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114.82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79B9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0.52%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7CD4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亩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A570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19.46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9C9F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6C0F6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</w:rPr>
              <w:t>12972平方米</w:t>
            </w:r>
          </w:p>
        </w:tc>
      </w:tr>
      <w:tr w14:paraId="5C826B0D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2E6F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11.1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49243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土地平整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BF51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11.68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35A07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A92EE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3A53B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68A25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11.68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E92B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0.05%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20730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亩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A35C1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19.46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CEEE7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6000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5D9D4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D11FDAC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1A964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11.2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C28BC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挖壕打穴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3921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15.57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8FF8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FE98F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3FF508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804E7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15.57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0F951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0.07%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98BB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亩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2C06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19.46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C1B17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8000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81BDF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912703A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3D8A25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11.3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9A567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水肥一体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B32E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87.57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D145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17B69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83B19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FDA4B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87.57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6292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0.40%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619C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亩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6F7B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19.46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A62A7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45000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77077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98F51BC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684998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（二）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C350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附属配套工程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BC54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2630.00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B3BC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15A7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7ABB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347A2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2630.00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00E9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11.95%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D064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项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5E36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2912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78D29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</w:tr>
      <w:tr w14:paraId="78BD4961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F6C18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2A38C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供配电系统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8E8A1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650.00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1603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54E96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E4AF33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22825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650.00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AED8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2.95%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6547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项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2401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10E9D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6500000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A8495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14:paraId="16CDA6BF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4F4D1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0C308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室外给排水工程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6B9D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360.00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5105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127F5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6C4FD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FCF5D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360.00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2F82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1.64%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5DF8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项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E351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F65E8F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3600000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6732F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14:paraId="67E5F497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2AA9A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7BF25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室外消防工程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CC92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420.00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EC247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FEC18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12771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2E1E8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420.00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1628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1.91%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E192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项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6EE6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43F47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4200000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C7589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14:paraId="36F19386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52D61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ACAFD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通信工程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A235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320.00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B0C8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DB41F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3F1EF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55484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320.00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7F4A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1.45%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1034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项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66D6F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227DE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3200000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02392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14:paraId="1981F00D">
        <w:trPr>
          <w:trHeight w:val="30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53C57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D8CC70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其他配套工程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7E83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880.00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34AE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CAAF2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706DF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F3D48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880.00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EA35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4.00%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CF9D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项</w:t>
            </w:r>
          </w:p>
        </w:tc>
        <w:tc>
          <w:tcPr>
            <w:tcW w:w="2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AA94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D6E7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8800000.00</w:t>
            </w:r>
          </w:p>
        </w:tc>
        <w:tc>
          <w:tcPr>
            <w:tcW w:w="5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3013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14:paraId="4B4C743C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28E2D321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二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20CA598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工程建设其他费用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0DD86C6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42C36A48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5DD13534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3DF2FF0E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2754.06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2E2F9CE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2754.06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73A2CAB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12.52%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4748B4C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14:paraId="684EAEFC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140D3E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4CEF7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建设单位管理费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CAB2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F1D70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9077C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109EC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213.86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66F76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213.86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EDBB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0.97%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F806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财建[2016]504号</w:t>
            </w:r>
          </w:p>
        </w:tc>
      </w:tr>
      <w:tr w14:paraId="24BC79BD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BEE2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B8077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场地准备及临时设施费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C479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28CEB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50E41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0A942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173.86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A140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173.86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0371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0.79%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5DB38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建标〔2011〕1号</w:t>
            </w:r>
          </w:p>
        </w:tc>
      </w:tr>
      <w:tr w14:paraId="78DE8C3C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716A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C2FE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前期工作咨询费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DD7604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65592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5D9597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406347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21.14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2D4EB7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21.14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1BDF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0.10%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16D6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计价格［1999］1283号</w:t>
            </w:r>
          </w:p>
        </w:tc>
      </w:tr>
      <w:tr w14:paraId="6C796673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B6E41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A125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勘察费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D7F4DD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A9CC1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BC7BEB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EABE1D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173.86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C2CE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173.86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3C05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0.79%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666F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建标〔2011〕1号</w:t>
            </w:r>
          </w:p>
        </w:tc>
      </w:tr>
      <w:tr w14:paraId="0418A6FA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C3DB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7892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设计费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D14FBB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ACE24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30961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BA0F6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498.31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AC53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498.31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2CFCF7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2.27%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160B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计价格[2002]10号</w:t>
            </w:r>
          </w:p>
        </w:tc>
      </w:tr>
      <w:tr w14:paraId="2F4539E8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CA6B6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76387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工程监理费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1F75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B1235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66547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82F74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347.70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16D1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347.70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350F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1.58%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506D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发改价格[2007]670号</w:t>
            </w:r>
          </w:p>
        </w:tc>
      </w:tr>
      <w:tr w14:paraId="53241795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B492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24F2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招标代理费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2AFC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D683D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4BFEF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3EA26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44.50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8A81B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44.50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FB92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0.20%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FCFD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发改价格[2011]534号</w:t>
            </w:r>
          </w:p>
        </w:tc>
      </w:tr>
      <w:tr w14:paraId="2CBC2C4D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991B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8B4A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施工图审查费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694C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7502B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B576B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55687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18.99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5246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18.99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349F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0.09%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9061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赣价房字[2000]6号</w:t>
            </w:r>
          </w:p>
        </w:tc>
      </w:tr>
      <w:tr w14:paraId="5EA5A90F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C4E6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99E3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工程造价咨询费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8608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3CEBB2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AE9C5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73029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127.17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DF900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127.17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43AA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0.58%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9D1E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赣价协[2021]23号</w:t>
            </w:r>
          </w:p>
        </w:tc>
      </w:tr>
      <w:tr w14:paraId="0C4A93D7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539C1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8BB1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工程保险费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C4DF776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B33C0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D03F8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E3C47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86.93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B3AF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86.93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136D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0.40%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2E4A6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建标〔2011〕1号</w:t>
            </w:r>
          </w:p>
        </w:tc>
      </w:tr>
      <w:tr w14:paraId="38E9226C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6694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1E89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环境影响评价费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1D5B9B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32DF2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69625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B05BF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5.24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8576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5.24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E4DF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0.02%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2732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计价格[2002]125号</w:t>
            </w:r>
          </w:p>
        </w:tc>
      </w:tr>
      <w:tr w14:paraId="55CC7F03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A4EF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54FB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节能评估费</w:t>
            </w:r>
          </w:p>
        </w:tc>
        <w:tc>
          <w:tcPr>
            <w:tcW w:w="4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9F4F5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2560D">
            <w:pPr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C0E15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521E7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7.29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298D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7.29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F89E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0.03%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9B25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沪发改环资（2012）043号</w:t>
            </w:r>
          </w:p>
        </w:tc>
      </w:tr>
      <w:tr w14:paraId="2BA0BC0E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17F37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A34C1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水土保持评价费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6866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0449E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5285B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A056D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66.77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EDC5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66.77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718B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0.30%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B358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保监[2005]22号2005年6月17日</w:t>
            </w:r>
          </w:p>
        </w:tc>
      </w:tr>
      <w:tr w14:paraId="13BC40ED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B3A47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7A3C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劳动安全卫生评审费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348B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A31A8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FE04E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D0E38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86.93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733D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86.93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B989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0.40%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AA80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建标〔2011〕1号</w:t>
            </w:r>
          </w:p>
        </w:tc>
      </w:tr>
      <w:tr w14:paraId="6CE30D2E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382A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880E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社会稳定风险评估费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72E1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0C77A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19553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A4A54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5.66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21C54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5.66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5BBFA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0.03%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92A2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赣评审字[2015]70号</w:t>
            </w:r>
          </w:p>
        </w:tc>
      </w:tr>
      <w:tr w14:paraId="66A5E350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D96F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497D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安全预评价费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12938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1D219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5C3D4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65F14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7.20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A4B8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7.20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1060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0.03%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2633D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江西省安全评价收费指导价格（试行）</w:t>
            </w:r>
          </w:p>
        </w:tc>
      </w:tr>
      <w:tr w14:paraId="52EDBA63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E7132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94BA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土地流转费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914BF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DC89E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61817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6D0CB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859.65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4DC8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859.65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E012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3.91%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E757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按土地流转协议执行</w:t>
            </w:r>
          </w:p>
        </w:tc>
      </w:tr>
      <w:tr w14:paraId="05CB2153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4457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A272B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债券发行费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D9243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0CEB5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6E2B4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3D661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9.00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4098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9.00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F368C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0.04%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C67E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发债金额的0.10%</w:t>
            </w:r>
          </w:p>
        </w:tc>
      </w:tr>
      <w:tr w14:paraId="6E0A2C6C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5CCA322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三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53F333E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预备费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341AD2B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0411F632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401E957C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70598E29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1590.16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36AFAC1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1590.16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0C6A99B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7.23%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70970E3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14:paraId="665C6C6C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72B97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FF92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基本预备费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70B76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F9F15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6D426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5A8C0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1590.16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7737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1590.16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4778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7.23%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AB988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不超过（一+二）*8%</w:t>
            </w:r>
          </w:p>
        </w:tc>
      </w:tr>
      <w:tr w14:paraId="102BB5A8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85929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118E9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一+二+三部分合计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5AA7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17385.78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A7A51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3476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6E2F5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4344.22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D8EB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21730.00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A02A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98.77%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40B8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14:paraId="58699CCA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77E49F8E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四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18CA0D4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建设期利息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1A6B94C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2C37CDDE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73E1983C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309A26CA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24CEE9E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30F0FB1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1.23%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D08E"/>
            <w:vAlign w:val="center"/>
          </w:tcPr>
          <w:p w14:paraId="27DCB071">
            <w:pPr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</w:tr>
      <w:tr w14:paraId="51A92B20">
        <w:trPr>
          <w:trHeight w:val="280" w:hRule="atLeast"/>
        </w:trPr>
        <w:tc>
          <w:tcPr>
            <w:tcW w:w="2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0E4F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五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DEEE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总投资</w:t>
            </w:r>
          </w:p>
        </w:tc>
        <w:tc>
          <w:tcPr>
            <w:tcW w:w="4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27C0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17385.78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C817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F8E2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0.00</w:t>
            </w:r>
          </w:p>
        </w:tc>
        <w:tc>
          <w:tcPr>
            <w:tcW w:w="3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DDC9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4614.22</w:t>
            </w:r>
          </w:p>
        </w:tc>
        <w:tc>
          <w:tcPr>
            <w:tcW w:w="3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B465F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22000.00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7CDA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100.00%</w:t>
            </w:r>
          </w:p>
        </w:tc>
        <w:tc>
          <w:tcPr>
            <w:tcW w:w="149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5875B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</w:tbl>
    <w:p w14:paraId="62C41A4D">
      <w:pPr>
        <w:pStyle w:val="6"/>
        <w:ind w:firstLine="560"/>
        <w:rPr>
          <w:rFonts w:hint="default"/>
        </w:rPr>
      </w:pPr>
    </w:p>
    <w:p w14:paraId="1831EED7">
      <w:pPr>
        <w:pStyle w:val="5"/>
        <w:rPr>
          <w:rFonts w:hint="eastAsia"/>
          <w:color w:val="000000"/>
          <w:kern w:val="0"/>
          <w:sz w:val="21"/>
          <w:szCs w:val="21"/>
          <w:lang w:bidi="ar"/>
        </w:rPr>
        <w:sectPr>
          <w:headerReference r:id="rId6" w:type="default"/>
          <w:footerReference r:id="rId7" w:type="default"/>
          <w:pgSz w:w="16839" w:h="11906" w:orient="landscape"/>
          <w:pgMar w:top="1785" w:right="1140" w:bottom="1785" w:left="1057" w:header="480" w:footer="712" w:gutter="0"/>
          <w:pgNumType w:fmt="decimal"/>
          <w:cols w:space="720" w:num="1"/>
        </w:sectPr>
      </w:pPr>
    </w:p>
    <w:p w14:paraId="4EA4730A">
      <w:pPr>
        <w:pStyle w:val="15"/>
        <w:bidi w:val="0"/>
        <w:ind w:left="0" w:leftChars="0" w:firstLine="0" w:firstLineChars="0"/>
        <w:rPr>
          <w:rFonts w:hint="eastAsia"/>
        </w:rPr>
      </w:pPr>
      <w:bookmarkStart w:id="10" w:name="_Toc20338"/>
      <w:bookmarkStart w:id="11" w:name="_Toc25140"/>
      <w:r>
        <w:rPr>
          <w:rFonts w:hint="eastAsia"/>
        </w:rPr>
        <w:t>项目资金筹措</w:t>
      </w:r>
      <w:bookmarkEnd w:id="10"/>
      <w:bookmarkEnd w:id="11"/>
    </w:p>
    <w:p w14:paraId="15DE24AC">
      <w:pPr>
        <w:pStyle w:val="6"/>
        <w:ind w:firstLine="560"/>
        <w:rPr>
          <w:rFonts w:ascii="仿宋" w:hAnsi="仿宋" w:cs="仿宋"/>
        </w:rPr>
      </w:pPr>
      <w:r>
        <w:rPr>
          <w:rFonts w:ascii="仿宋" w:hAnsi="仿宋" w:cs="仿宋"/>
        </w:rPr>
        <w:t>本项目建设总投资估算22000.00万元。项目资金来源为：建设单位自筹资本金为9000.00万元，占总投资比例为40.91%，剩余13000.00万元拟申请地方政府专项债券，占总投资比例为59.09%。</w:t>
      </w:r>
    </w:p>
    <w:p w14:paraId="06318C64">
      <w:pPr>
        <w:pStyle w:val="15"/>
        <w:bidi w:val="0"/>
        <w:ind w:left="0" w:leftChars="0" w:firstLine="0" w:firstLineChars="0"/>
        <w:rPr>
          <w:rFonts w:hint="eastAsia"/>
        </w:rPr>
      </w:pPr>
      <w:bookmarkStart w:id="12" w:name="_Toc2724"/>
      <w:bookmarkStart w:id="13" w:name="_Toc18517"/>
      <w:r>
        <w:rPr>
          <w:rFonts w:hint="eastAsia"/>
        </w:rPr>
        <w:t>项目分年投资计划</w:t>
      </w:r>
      <w:bookmarkEnd w:id="12"/>
      <w:bookmarkEnd w:id="13"/>
    </w:p>
    <w:p w14:paraId="35E38AC1">
      <w:pPr>
        <w:pStyle w:val="6"/>
        <w:ind w:firstLine="560"/>
        <w:rPr>
          <w:rFonts w:ascii="仿宋" w:hAnsi="仿宋" w:cs="仿宋"/>
        </w:rPr>
      </w:pPr>
      <w:r>
        <w:rPr>
          <w:rFonts w:ascii="仿宋" w:hAnsi="仿宋" w:cs="仿宋"/>
        </w:rPr>
        <w:t>本项目依据项目建设进度和资金到位情况制定分年投资计划，具体见下图所示。</w:t>
      </w:r>
      <w:bookmarkStart w:id="14" w:name="_Toc109649569"/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"/>
        <w:gridCol w:w="2586"/>
        <w:gridCol w:w="1726"/>
        <w:gridCol w:w="1726"/>
        <w:gridCol w:w="1536"/>
      </w:tblGrid>
      <w:tr w14:paraId="169519DB">
        <w:trPr>
          <w:trHeight w:val="280" w:hRule="atLeast"/>
        </w:trPr>
        <w:tc>
          <w:tcPr>
            <w:tcW w:w="57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17995193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  <w:t>序号</w:t>
            </w:r>
          </w:p>
        </w:tc>
        <w:tc>
          <w:tcPr>
            <w:tcW w:w="151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6FDB278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  <w:t>项目</w:t>
            </w:r>
          </w:p>
        </w:tc>
        <w:tc>
          <w:tcPr>
            <w:tcW w:w="100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4587550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  <w:t>合计</w:t>
            </w:r>
          </w:p>
        </w:tc>
        <w:tc>
          <w:tcPr>
            <w:tcW w:w="1907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D9D9D9"/>
            <w:noWrap/>
            <w:vAlign w:val="center"/>
          </w:tcPr>
          <w:p w14:paraId="73D6E82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  <w:t>建设期</w:t>
            </w:r>
          </w:p>
        </w:tc>
      </w:tr>
      <w:tr w14:paraId="4296B491">
        <w:trPr>
          <w:trHeight w:val="280" w:hRule="atLeast"/>
        </w:trPr>
        <w:tc>
          <w:tcPr>
            <w:tcW w:w="57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0D996F">
            <w:pPr>
              <w:rPr>
                <w:rFonts w:ascii="宋体" w:hAnsi="宋体" w:eastAsia="宋体" w:cs="宋体"/>
                <w:b/>
                <w:bCs/>
                <w:color w:val="000000"/>
                <w:kern w:val="0"/>
              </w:rPr>
            </w:pPr>
          </w:p>
        </w:tc>
        <w:tc>
          <w:tcPr>
            <w:tcW w:w="151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C41DFA">
            <w:pPr>
              <w:rPr>
                <w:rFonts w:ascii="宋体" w:hAnsi="宋体" w:eastAsia="宋体" w:cs="宋体"/>
                <w:b/>
                <w:bCs/>
                <w:color w:val="000000"/>
                <w:kern w:val="0"/>
              </w:rPr>
            </w:pPr>
          </w:p>
        </w:tc>
        <w:tc>
          <w:tcPr>
            <w:tcW w:w="100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BED3F7">
            <w:pPr>
              <w:rPr>
                <w:rFonts w:ascii="宋体" w:hAnsi="宋体" w:eastAsia="宋体" w:cs="宋体"/>
                <w:b/>
                <w:bCs/>
                <w:color w:val="000000"/>
                <w:kern w:val="0"/>
              </w:rPr>
            </w:pP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72D683E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  <w:t>2025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2A8EC7E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  <w:t>2026</w:t>
            </w:r>
          </w:p>
        </w:tc>
      </w:tr>
      <w:tr w14:paraId="67EED3FF">
        <w:trPr>
          <w:trHeight w:val="280" w:hRule="atLeast"/>
        </w:trPr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9F08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  <w:t>一</w:t>
            </w: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C1F7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  <w:t>进度安排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FDE3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</w:pP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CB0A3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109B9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</w:tr>
      <w:tr w14:paraId="16182CDC">
        <w:trPr>
          <w:trHeight w:val="280" w:hRule="atLeast"/>
        </w:trPr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7DD04">
            <w:pPr>
              <w:jc w:val="center"/>
              <w:rPr>
                <w:rFonts w:ascii="Times New Roman" w:hAnsi="Times New Roman" w:eastAsia="等线"/>
                <w:color w:val="000000"/>
                <w:kern w:val="0"/>
              </w:rPr>
            </w:pPr>
            <w:r>
              <w:rPr>
                <w:rFonts w:ascii="Times New Roman" w:hAnsi="Times New Roman" w:eastAsia="等线"/>
                <w:color w:val="000000"/>
                <w:kern w:val="0"/>
              </w:rPr>
              <w:t>1</w:t>
            </w: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6B433">
            <w:pPr>
              <w:jc w:val="center"/>
              <w:rPr>
                <w:rFonts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建设进度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666BE8E2">
            <w:pPr>
              <w:jc w:val="center"/>
              <w:rPr>
                <w:rFonts w:hint="eastAsia" w:ascii="Times New Roman" w:hAnsi="Times New Roman" w:eastAsia="等线"/>
                <w:color w:val="000000"/>
                <w:kern w:val="0"/>
              </w:rPr>
            </w:pPr>
            <w:r>
              <w:rPr>
                <w:rFonts w:ascii="Times New Roman" w:hAnsi="Times New Roman" w:eastAsia="等线"/>
                <w:color w:val="000000"/>
                <w:kern w:val="0"/>
              </w:rPr>
              <w:t>100%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noWrap/>
            <w:vAlign w:val="center"/>
          </w:tcPr>
          <w:p w14:paraId="54D216B8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60%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noWrap/>
            <w:vAlign w:val="center"/>
          </w:tcPr>
          <w:p w14:paraId="1ABE6AE9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40%</w:t>
            </w:r>
          </w:p>
        </w:tc>
      </w:tr>
      <w:tr w14:paraId="0E29F589">
        <w:trPr>
          <w:trHeight w:val="280" w:hRule="atLeast"/>
        </w:trPr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DC0F3">
            <w:pPr>
              <w:jc w:val="center"/>
              <w:rPr>
                <w:rFonts w:hint="eastAsia" w:ascii="Times New Roman" w:hAnsi="Times New Roman" w:eastAsia="等线"/>
                <w:color w:val="000000"/>
                <w:kern w:val="0"/>
              </w:rPr>
            </w:pPr>
            <w:r>
              <w:rPr>
                <w:rFonts w:ascii="Times New Roman" w:hAnsi="Times New Roman" w:eastAsia="等线"/>
                <w:color w:val="000000"/>
                <w:kern w:val="0"/>
              </w:rPr>
              <w:t>2</w:t>
            </w: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FF9A0">
            <w:pPr>
              <w:jc w:val="center"/>
              <w:rPr>
                <w:rFonts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其他费投入进度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3BF856AD">
            <w:pPr>
              <w:jc w:val="center"/>
              <w:rPr>
                <w:rFonts w:hint="eastAsia" w:ascii="Times New Roman" w:hAnsi="Times New Roman" w:eastAsia="等线"/>
                <w:color w:val="000000"/>
                <w:kern w:val="0"/>
              </w:rPr>
            </w:pPr>
            <w:r>
              <w:rPr>
                <w:rFonts w:ascii="Times New Roman" w:hAnsi="Times New Roman" w:eastAsia="等线"/>
                <w:color w:val="000000"/>
                <w:kern w:val="0"/>
              </w:rPr>
              <w:t>100%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noWrap/>
            <w:vAlign w:val="center"/>
          </w:tcPr>
          <w:p w14:paraId="412205BC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60%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noWrap/>
            <w:vAlign w:val="center"/>
          </w:tcPr>
          <w:p w14:paraId="5142E3CC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40%</w:t>
            </w:r>
          </w:p>
        </w:tc>
      </w:tr>
      <w:tr w14:paraId="61F5187B">
        <w:trPr>
          <w:trHeight w:val="280" w:hRule="atLeast"/>
        </w:trPr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D35E0">
            <w:pPr>
              <w:jc w:val="center"/>
              <w:rPr>
                <w:rFonts w:hint="eastAsia" w:ascii="Times New Roman" w:hAnsi="Times New Roman" w:eastAsia="等线"/>
                <w:color w:val="000000"/>
                <w:kern w:val="0"/>
              </w:rPr>
            </w:pPr>
            <w:r>
              <w:rPr>
                <w:rFonts w:ascii="Times New Roman" w:hAnsi="Times New Roman" w:eastAsia="等线"/>
                <w:color w:val="000000"/>
                <w:kern w:val="0"/>
              </w:rPr>
              <w:t>3</w:t>
            </w: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8B98D">
            <w:pPr>
              <w:jc w:val="center"/>
              <w:rPr>
                <w:rFonts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专项债投入进度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7A8334B4">
            <w:pPr>
              <w:jc w:val="center"/>
              <w:rPr>
                <w:rFonts w:hint="eastAsia" w:ascii="Times New Roman" w:hAnsi="Times New Roman" w:eastAsia="等线"/>
                <w:color w:val="000000"/>
                <w:kern w:val="0"/>
              </w:rPr>
            </w:pPr>
            <w:r>
              <w:rPr>
                <w:rFonts w:ascii="Times New Roman" w:hAnsi="Times New Roman" w:eastAsia="等线"/>
                <w:color w:val="000000"/>
                <w:kern w:val="0"/>
              </w:rPr>
              <w:t>100%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noWrap/>
            <w:vAlign w:val="center"/>
          </w:tcPr>
          <w:p w14:paraId="1689DF78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100%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C99"/>
            <w:noWrap/>
            <w:vAlign w:val="center"/>
          </w:tcPr>
          <w:p w14:paraId="424EBEA8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0%</w:t>
            </w:r>
          </w:p>
        </w:tc>
      </w:tr>
      <w:tr w14:paraId="40A1D1F7">
        <w:trPr>
          <w:trHeight w:val="280" w:hRule="atLeast"/>
        </w:trPr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924A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  <w:t>二</w:t>
            </w: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F680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  <w:t>总投资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64362">
            <w:pPr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22000.00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3EFF4">
            <w:pPr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13173.01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925F4">
            <w:pPr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8826.99</w:t>
            </w:r>
          </w:p>
        </w:tc>
      </w:tr>
      <w:tr w14:paraId="799113B7">
        <w:trPr>
          <w:trHeight w:val="280" w:hRule="atLeast"/>
        </w:trPr>
        <w:tc>
          <w:tcPr>
            <w:tcW w:w="57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0BFC8">
            <w:pPr>
              <w:jc w:val="center"/>
              <w:rPr>
                <w:rFonts w:hint="eastAsia" w:ascii="Times New Roman" w:hAnsi="Times New Roman" w:eastAsia="等线"/>
                <w:color w:val="000000"/>
                <w:kern w:val="0"/>
              </w:rPr>
            </w:pPr>
            <w:r>
              <w:rPr>
                <w:rFonts w:ascii="Times New Roman" w:hAnsi="Times New Roman" w:eastAsia="等线"/>
                <w:color w:val="000000"/>
                <w:kern w:val="0"/>
              </w:rPr>
              <w:t>1</w:t>
            </w: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A2756">
            <w:pPr>
              <w:jc w:val="center"/>
              <w:rPr>
                <w:rFonts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建设投资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3D341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21730.00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C2340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13038.01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148C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8691.99</w:t>
            </w:r>
          </w:p>
        </w:tc>
      </w:tr>
      <w:tr w14:paraId="3A336188">
        <w:trPr>
          <w:trHeight w:val="280" w:hRule="atLeast"/>
        </w:trPr>
        <w:tc>
          <w:tcPr>
            <w:tcW w:w="57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E3A22">
            <w:pPr>
              <w:jc w:val="center"/>
              <w:rPr>
                <w:rFonts w:hint="eastAsia" w:ascii="Times New Roman" w:hAnsi="Times New Roman" w:eastAsia="等线"/>
                <w:color w:val="000000"/>
                <w:kern w:val="0"/>
              </w:rPr>
            </w:pPr>
            <w:r>
              <w:rPr>
                <w:rFonts w:ascii="Times New Roman" w:hAnsi="Times New Roman" w:eastAsia="等线"/>
                <w:color w:val="000000"/>
                <w:kern w:val="0"/>
              </w:rPr>
              <w:t>1.1</w:t>
            </w: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8FE7F">
            <w:pPr>
              <w:jc w:val="center"/>
              <w:rPr>
                <w:rFonts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工程费用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8274C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17385.78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894A8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10431.47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BC93A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6954.31</w:t>
            </w:r>
          </w:p>
        </w:tc>
      </w:tr>
      <w:tr w14:paraId="14A9C665">
        <w:trPr>
          <w:trHeight w:val="280" w:hRule="atLeast"/>
        </w:trPr>
        <w:tc>
          <w:tcPr>
            <w:tcW w:w="57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15F5E">
            <w:pPr>
              <w:jc w:val="center"/>
              <w:rPr>
                <w:rFonts w:hint="eastAsia" w:ascii="Times New Roman" w:hAnsi="Times New Roman" w:eastAsia="等线"/>
                <w:color w:val="000000"/>
                <w:kern w:val="0"/>
              </w:rPr>
            </w:pPr>
            <w:r>
              <w:rPr>
                <w:rFonts w:ascii="Times New Roman" w:hAnsi="Times New Roman" w:eastAsia="等线"/>
                <w:color w:val="000000"/>
                <w:kern w:val="0"/>
              </w:rPr>
              <w:t>1.2</w:t>
            </w: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4857E">
            <w:pPr>
              <w:jc w:val="center"/>
              <w:rPr>
                <w:rFonts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工程建设其他费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225A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2754.06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AC984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1652.44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184A1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1101.62</w:t>
            </w:r>
          </w:p>
        </w:tc>
      </w:tr>
      <w:tr w14:paraId="417F8796">
        <w:trPr>
          <w:trHeight w:val="280" w:hRule="atLeast"/>
        </w:trPr>
        <w:tc>
          <w:tcPr>
            <w:tcW w:w="57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CC31E">
            <w:pPr>
              <w:jc w:val="center"/>
              <w:rPr>
                <w:rFonts w:hint="eastAsia" w:ascii="Times New Roman" w:hAnsi="Times New Roman" w:eastAsia="等线"/>
                <w:color w:val="000000"/>
                <w:kern w:val="0"/>
              </w:rPr>
            </w:pPr>
            <w:r>
              <w:rPr>
                <w:rFonts w:ascii="Times New Roman" w:hAnsi="Times New Roman" w:eastAsia="等线"/>
                <w:color w:val="000000"/>
                <w:kern w:val="0"/>
              </w:rPr>
              <w:t>1.3</w:t>
            </w: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6391A">
            <w:pPr>
              <w:jc w:val="center"/>
              <w:rPr>
                <w:rFonts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基本预备费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9872C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1590.16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34599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954.10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1FBA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636.06</w:t>
            </w:r>
          </w:p>
        </w:tc>
      </w:tr>
      <w:tr w14:paraId="1F6E93C2">
        <w:trPr>
          <w:trHeight w:val="280" w:hRule="atLeast"/>
        </w:trPr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16A7F">
            <w:pPr>
              <w:jc w:val="center"/>
              <w:rPr>
                <w:rFonts w:hint="eastAsia" w:ascii="Times New Roman" w:hAnsi="Times New Roman" w:eastAsia="等线"/>
                <w:color w:val="000000"/>
                <w:kern w:val="0"/>
              </w:rPr>
            </w:pPr>
            <w:r>
              <w:rPr>
                <w:rFonts w:ascii="Times New Roman" w:hAnsi="Times New Roman" w:eastAsia="等线"/>
                <w:color w:val="000000"/>
                <w:kern w:val="0"/>
              </w:rPr>
              <w:t>2</w:t>
            </w: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F5E49">
            <w:pPr>
              <w:jc w:val="center"/>
              <w:rPr>
                <w:rFonts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建设期利息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0C95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82E7A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135.00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BB01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135.00</w:t>
            </w:r>
          </w:p>
        </w:tc>
      </w:tr>
      <w:tr w14:paraId="71A77E1C">
        <w:trPr>
          <w:trHeight w:val="280" w:hRule="atLeast"/>
        </w:trPr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73E8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  <w:t>三</w:t>
            </w: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7DFE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</w:rPr>
              <w:t>资金筹措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630D5">
            <w:pPr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22000.00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C3BE3">
            <w:pPr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13173.01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24B81">
            <w:pPr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8826.99</w:t>
            </w:r>
          </w:p>
        </w:tc>
      </w:tr>
      <w:tr w14:paraId="1F00BDD6">
        <w:trPr>
          <w:trHeight w:val="280" w:hRule="atLeast"/>
        </w:trPr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DE7E4">
            <w:pPr>
              <w:jc w:val="center"/>
              <w:rPr>
                <w:rFonts w:hint="eastAsia" w:ascii="Times New Roman" w:hAnsi="Times New Roman" w:eastAsia="等线"/>
                <w:color w:val="000000"/>
                <w:kern w:val="0"/>
              </w:rPr>
            </w:pPr>
            <w:r>
              <w:rPr>
                <w:rFonts w:ascii="Times New Roman" w:hAnsi="Times New Roman" w:eastAsia="等线"/>
                <w:color w:val="000000"/>
                <w:kern w:val="0"/>
              </w:rPr>
              <w:t>1</w:t>
            </w: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5E912">
            <w:pPr>
              <w:jc w:val="center"/>
              <w:rPr>
                <w:rFonts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项目资本金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B502C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13000.00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F92C2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4173.01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DF019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8826.99</w:t>
            </w:r>
          </w:p>
        </w:tc>
      </w:tr>
      <w:tr w14:paraId="240FA0A3">
        <w:trPr>
          <w:trHeight w:val="280" w:hRule="atLeast"/>
        </w:trPr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F6A8B">
            <w:pPr>
              <w:jc w:val="center"/>
              <w:rPr>
                <w:rFonts w:hint="eastAsia" w:ascii="Times New Roman" w:hAnsi="Times New Roman" w:eastAsia="等线"/>
                <w:color w:val="000000"/>
                <w:kern w:val="0"/>
              </w:rPr>
            </w:pPr>
            <w:r>
              <w:rPr>
                <w:rFonts w:ascii="Times New Roman" w:hAnsi="Times New Roman" w:eastAsia="等线"/>
                <w:color w:val="000000"/>
                <w:kern w:val="0"/>
              </w:rPr>
              <w:t>2</w:t>
            </w:r>
          </w:p>
        </w:tc>
        <w:tc>
          <w:tcPr>
            <w:tcW w:w="15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7525B">
            <w:pPr>
              <w:jc w:val="center"/>
              <w:rPr>
                <w:rFonts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专项债券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F2A46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10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5A8A2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3033A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0.00</w:t>
            </w:r>
          </w:p>
        </w:tc>
      </w:tr>
    </w:tbl>
    <w:p w14:paraId="0D7F03CA">
      <w:pPr>
        <w:pStyle w:val="6"/>
        <w:ind w:firstLine="560"/>
        <w:rPr>
          <w:rFonts w:hint="default"/>
        </w:rPr>
      </w:pPr>
    </w:p>
    <w:bookmarkEnd w:id="14"/>
    <w:p w14:paraId="5CC10451">
      <w:pPr>
        <w:pStyle w:val="4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</w:t>
      </w:r>
      <w:bookmarkStart w:id="15" w:name="_Toc187684090"/>
      <w:r>
        <w:rPr>
          <w:rFonts w:hint="eastAsia"/>
        </w:rPr>
        <w:t>盈利能力分析</w:t>
      </w:r>
      <w:bookmarkEnd w:id="15"/>
    </w:p>
    <w:p w14:paraId="73CF9082">
      <w:pPr>
        <w:pStyle w:val="6"/>
        <w:ind w:firstLine="560"/>
        <w:rPr>
          <w:rFonts w:ascii="仿宋" w:hAnsi="仿宋" w:cs="仿宋"/>
        </w:rPr>
      </w:pPr>
      <w:r>
        <w:rPr>
          <w:rFonts w:ascii="仿宋" w:hAnsi="仿宋" w:cs="仿宋"/>
        </w:rPr>
        <w:t>本项目财务评价计算分析，主要依据《投资项目可行性研究指南》及国家发改委、建设部公布的《建设项目经济评价—方法与参数》（第三版），国家和地方财税规定，结合项目工程技术方案，设计参数等值测算项目的有关效益和费用来进行相关财务评价分析。本评估以人民币为本位币，按最终建成规模进行财务评价。</w:t>
      </w:r>
    </w:p>
    <w:p w14:paraId="7CE7B971">
      <w:pPr>
        <w:pStyle w:val="6"/>
        <w:ind w:firstLine="560"/>
        <w:rPr>
          <w:rFonts w:ascii="仿宋" w:hAnsi="仿宋" w:cs="仿宋"/>
        </w:rPr>
      </w:pPr>
      <w:r>
        <w:rPr>
          <w:rFonts w:ascii="仿宋" w:hAnsi="仿宋" w:cs="仿宋"/>
        </w:rPr>
        <w:t>本项目计算</w:t>
      </w: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期为30年（含建设期1年，运营期29年）</w:t>
      </w:r>
      <w:r>
        <w:rPr>
          <w:rFonts w:ascii="仿宋" w:hAnsi="仿宋" w:cs="仿宋"/>
        </w:rPr>
        <w:t>。</w:t>
      </w:r>
    </w:p>
    <w:p w14:paraId="60C22BBF">
      <w:pPr>
        <w:pStyle w:val="15"/>
        <w:bidi w:val="0"/>
        <w:ind w:left="0" w:leftChars="0" w:firstLine="0" w:firstLineChars="0"/>
        <w:rPr>
          <w:rFonts w:hint="eastAsia"/>
        </w:rPr>
      </w:pPr>
      <w:bookmarkStart w:id="16" w:name="_Toc22391"/>
      <w:bookmarkStart w:id="17" w:name="_Toc27249"/>
      <w:r>
        <w:rPr>
          <w:rFonts w:hint="eastAsia"/>
        </w:rPr>
        <w:t>项目收益点分析</w:t>
      </w:r>
      <w:bookmarkEnd w:id="16"/>
      <w:bookmarkEnd w:id="17"/>
    </w:p>
    <w:p w14:paraId="1415166E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本项目可以产生实际收益的收益项包括：</w:t>
      </w:r>
    </w:p>
    <w:p w14:paraId="080A3DDA">
      <w:pPr>
        <w:pStyle w:val="6"/>
        <w:ind w:firstLine="560"/>
        <w:rPr>
          <w:rFonts w:ascii="仿宋" w:hAnsi="仿宋" w:cs="仿宋"/>
        </w:rPr>
      </w:pPr>
      <w:bookmarkStart w:id="18" w:name="_Toc22527"/>
      <w:bookmarkStart w:id="19" w:name="_Ref25856"/>
      <w:bookmarkStart w:id="20" w:name="_Toc27648"/>
      <w:r>
        <w:rPr>
          <w:rFonts w:ascii="仿宋" w:hAnsi="仿宋" w:cs="仿宋"/>
        </w:rPr>
        <w:t>1、种植基地出租收入；</w:t>
      </w:r>
    </w:p>
    <w:p w14:paraId="0BF3770A">
      <w:pPr>
        <w:pStyle w:val="6"/>
        <w:ind w:firstLine="560"/>
        <w:rPr>
          <w:rFonts w:ascii="仿宋" w:hAnsi="仿宋" w:cs="仿宋"/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2、</w:t>
      </w:r>
      <w:r>
        <w:rPr>
          <w:rFonts w:ascii="仿宋" w:hAnsi="仿宋" w:cs="仿宋"/>
        </w:rPr>
        <w:t>停车位收入；</w:t>
      </w:r>
    </w:p>
    <w:p w14:paraId="1F50E7BA">
      <w:pPr>
        <w:pStyle w:val="6"/>
        <w:ind w:firstLine="560"/>
        <w:rPr>
          <w:rFonts w:hint="default" w:ascii="仿宋" w:hAnsi="仿宋" w:cs="仿宋"/>
        </w:rPr>
      </w:pPr>
      <w:r>
        <w:rPr>
          <w:rFonts w:ascii="仿宋" w:hAnsi="仿宋" w:cs="仿宋"/>
        </w:rPr>
        <w:t>3、充电桩收入；</w:t>
      </w:r>
    </w:p>
    <w:p w14:paraId="162A7FDF">
      <w:pPr>
        <w:pStyle w:val="6"/>
        <w:ind w:firstLine="560"/>
        <w:rPr>
          <w:rFonts w:ascii="仿宋" w:hAnsi="仿宋" w:cs="仿宋"/>
        </w:rPr>
      </w:pPr>
      <w:r>
        <w:rPr>
          <w:rFonts w:ascii="仿宋" w:hAnsi="仿宋" w:cs="仿宋"/>
        </w:rPr>
        <w:t>4、厂房出租收入。</w:t>
      </w:r>
    </w:p>
    <w:p w14:paraId="77783B31">
      <w:pPr>
        <w:pStyle w:val="15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收益单价增长率预测区间</w:t>
      </w:r>
      <w:bookmarkEnd w:id="18"/>
      <w:bookmarkEnd w:id="19"/>
      <w:bookmarkEnd w:id="20"/>
    </w:p>
    <w:p w14:paraId="5A83B4F2">
      <w:pPr>
        <w:pStyle w:val="6"/>
        <w:ind w:firstLine="560"/>
        <w:rPr>
          <w:rFonts w:ascii="仿宋" w:hAnsi="仿宋" w:cs="仿宋"/>
        </w:rPr>
      </w:pPr>
      <w:r>
        <w:rPr>
          <w:rFonts w:ascii="仿宋" w:hAnsi="仿宋" w:cs="仿宋"/>
        </w:rPr>
        <w:t>通货膨胀率是货币超发部分与实际需要的货币量之比,用以反映通货膨胀、货币贬值的程度。现在世界各国一般使用CPI（居民消费价格指数）的增长率来反映通货膨涨率。</w:t>
      </w:r>
    </w:p>
    <w:p w14:paraId="09C1825B">
      <w:pPr>
        <w:pStyle w:val="6"/>
        <w:ind w:firstLine="560"/>
        <w:rPr>
          <w:rFonts w:ascii="仿宋" w:hAnsi="仿宋" w:cs="仿宋"/>
        </w:rPr>
      </w:pPr>
      <w:r>
        <w:rPr>
          <w:rFonts w:ascii="仿宋" w:hAnsi="仿宋" w:cs="仿宋"/>
        </w:rPr>
        <w:t>因此，本项目价格增长幅度将参考我国近五年CPI年度同比增幅加以确定，2018年9月-2022年9月，我国CPI年度同比增幅如下表下图所示。</w:t>
      </w: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2256"/>
        <w:gridCol w:w="4085"/>
      </w:tblGrid>
      <w:tr w14:paraId="582A9F37">
        <w:trPr>
          <w:trHeight w:val="255" w:hRule="atLeast"/>
          <w:tblHeader/>
          <w:jc w:val="center"/>
        </w:trPr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B299C0">
            <w:pPr>
              <w:jc w:val="center"/>
              <w:textAlignment w:val="center"/>
              <w:rPr>
                <w:rFonts w:hint="eastAsia" w:cs="仿宋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cs="仿宋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序号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C13988">
            <w:pPr>
              <w:jc w:val="center"/>
              <w:textAlignment w:val="center"/>
              <w:rPr>
                <w:rFonts w:hint="eastAsia" w:cs="仿宋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cs="仿宋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统计时间</w:t>
            </w:r>
          </w:p>
        </w:tc>
        <w:tc>
          <w:tcPr>
            <w:tcW w:w="4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C90DFE">
            <w:pPr>
              <w:jc w:val="center"/>
              <w:textAlignment w:val="center"/>
              <w:rPr>
                <w:rFonts w:hint="eastAsia" w:cs="仿宋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cs="仿宋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居民消费价格年度同比涨跌（</w:t>
            </w:r>
            <w:r>
              <w:rPr>
                <w:rFonts w:hint="eastAsia" w:cs="仿宋"/>
                <w:sz w:val="24"/>
                <w:szCs w:val="24"/>
                <w:lang w:bidi="ar"/>
              </w:rPr>
              <w:t>%）</w:t>
            </w:r>
          </w:p>
        </w:tc>
      </w:tr>
      <w:tr w14:paraId="143B450F">
        <w:trPr>
          <w:trHeight w:val="255" w:hRule="atLeast"/>
          <w:jc w:val="center"/>
        </w:trPr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2AE7EE">
            <w:pPr>
              <w:jc w:val="center"/>
              <w:textAlignment w:val="center"/>
              <w:rPr>
                <w:rFonts w:hint="eastAsia" w:cs="仿宋"/>
                <w:color w:val="000000"/>
                <w:sz w:val="24"/>
                <w:szCs w:val="24"/>
              </w:rPr>
            </w:pPr>
            <w:r>
              <w:rPr>
                <w:rFonts w:hint="eastAsia" w:cs="仿宋"/>
                <w:color w:val="000000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108554">
            <w:pPr>
              <w:jc w:val="center"/>
              <w:textAlignment w:val="center"/>
              <w:rPr>
                <w:rFonts w:hint="eastAsia" w:cs="仿宋"/>
                <w:color w:val="000000"/>
                <w:sz w:val="24"/>
                <w:szCs w:val="24"/>
              </w:rPr>
            </w:pPr>
            <w:r>
              <w:rPr>
                <w:rFonts w:hint="eastAsia" w:cs="仿宋"/>
                <w:color w:val="000000"/>
                <w:kern w:val="0"/>
                <w:sz w:val="24"/>
                <w:szCs w:val="24"/>
                <w:lang w:bidi="ar"/>
              </w:rPr>
              <w:t>2018年9月</w:t>
            </w:r>
          </w:p>
        </w:tc>
        <w:tc>
          <w:tcPr>
            <w:tcW w:w="4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D7C8B2">
            <w:pPr>
              <w:jc w:val="center"/>
              <w:textAlignment w:val="center"/>
              <w:rPr>
                <w:rFonts w:hint="eastAsia" w:cs="仿宋"/>
                <w:color w:val="000000"/>
                <w:sz w:val="24"/>
                <w:szCs w:val="24"/>
              </w:rPr>
            </w:pPr>
            <w:r>
              <w:rPr>
                <w:rFonts w:hint="eastAsia" w:cs="仿宋"/>
                <w:color w:val="000000"/>
                <w:kern w:val="0"/>
                <w:sz w:val="24"/>
                <w:szCs w:val="24"/>
                <w:lang w:bidi="ar"/>
              </w:rPr>
              <w:t>2.5</w:t>
            </w:r>
          </w:p>
        </w:tc>
      </w:tr>
      <w:tr w14:paraId="68186714">
        <w:trPr>
          <w:trHeight w:val="255" w:hRule="atLeast"/>
          <w:jc w:val="center"/>
        </w:trPr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D5159C">
            <w:pPr>
              <w:jc w:val="center"/>
              <w:textAlignment w:val="center"/>
              <w:rPr>
                <w:rFonts w:hint="eastAsia" w:cs="仿宋"/>
                <w:color w:val="000000"/>
                <w:sz w:val="24"/>
                <w:szCs w:val="24"/>
              </w:rPr>
            </w:pPr>
            <w:r>
              <w:rPr>
                <w:rFonts w:hint="eastAsia" w:cs="仿宋"/>
                <w:color w:val="000000"/>
                <w:kern w:val="0"/>
                <w:sz w:val="24"/>
                <w:szCs w:val="24"/>
                <w:lang w:bidi="ar"/>
              </w:rPr>
              <w:t>2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AACE40">
            <w:pPr>
              <w:jc w:val="center"/>
              <w:textAlignment w:val="center"/>
              <w:rPr>
                <w:rFonts w:hint="eastAsia" w:cs="仿宋"/>
                <w:color w:val="000000"/>
                <w:sz w:val="24"/>
                <w:szCs w:val="24"/>
              </w:rPr>
            </w:pPr>
            <w:r>
              <w:rPr>
                <w:rFonts w:hint="eastAsia" w:cs="仿宋"/>
                <w:color w:val="000000"/>
                <w:kern w:val="0"/>
                <w:sz w:val="24"/>
                <w:szCs w:val="24"/>
                <w:lang w:bidi="ar"/>
              </w:rPr>
              <w:t>2019年9月</w:t>
            </w:r>
          </w:p>
        </w:tc>
        <w:tc>
          <w:tcPr>
            <w:tcW w:w="4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B73927">
            <w:pPr>
              <w:jc w:val="center"/>
              <w:textAlignment w:val="center"/>
              <w:rPr>
                <w:rFonts w:hint="eastAsia" w:cs="仿宋"/>
                <w:color w:val="000000"/>
                <w:sz w:val="24"/>
                <w:szCs w:val="24"/>
              </w:rPr>
            </w:pPr>
            <w:r>
              <w:rPr>
                <w:rFonts w:hint="eastAsia" w:cs="仿宋"/>
                <w:color w:val="000000"/>
                <w:kern w:val="0"/>
                <w:sz w:val="24"/>
                <w:szCs w:val="24"/>
                <w:lang w:bidi="ar"/>
              </w:rPr>
              <w:t>3</w:t>
            </w:r>
          </w:p>
        </w:tc>
      </w:tr>
      <w:tr w14:paraId="05930CB4">
        <w:trPr>
          <w:trHeight w:val="255" w:hRule="atLeast"/>
          <w:jc w:val="center"/>
        </w:trPr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376946">
            <w:pPr>
              <w:jc w:val="center"/>
              <w:textAlignment w:val="center"/>
              <w:rPr>
                <w:rFonts w:hint="eastAsia" w:cs="仿宋"/>
                <w:color w:val="000000"/>
                <w:sz w:val="24"/>
                <w:szCs w:val="24"/>
              </w:rPr>
            </w:pPr>
            <w:r>
              <w:rPr>
                <w:rFonts w:hint="eastAsia" w:cs="仿宋"/>
                <w:color w:val="000000"/>
                <w:kern w:val="0"/>
                <w:sz w:val="24"/>
                <w:szCs w:val="24"/>
                <w:lang w:bidi="ar"/>
              </w:rPr>
              <w:t>3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CE5155">
            <w:pPr>
              <w:jc w:val="center"/>
              <w:textAlignment w:val="center"/>
              <w:rPr>
                <w:rFonts w:hint="eastAsia" w:cs="仿宋"/>
                <w:color w:val="000000"/>
                <w:sz w:val="24"/>
                <w:szCs w:val="24"/>
              </w:rPr>
            </w:pPr>
            <w:r>
              <w:rPr>
                <w:rFonts w:hint="eastAsia" w:cs="仿宋"/>
                <w:color w:val="000000"/>
                <w:kern w:val="0"/>
                <w:sz w:val="24"/>
                <w:szCs w:val="24"/>
                <w:lang w:bidi="ar"/>
              </w:rPr>
              <w:t>2020年9月</w:t>
            </w:r>
          </w:p>
        </w:tc>
        <w:tc>
          <w:tcPr>
            <w:tcW w:w="4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131ED7">
            <w:pPr>
              <w:jc w:val="center"/>
              <w:textAlignment w:val="center"/>
              <w:rPr>
                <w:rFonts w:hint="eastAsia" w:cs="仿宋"/>
                <w:color w:val="000000"/>
                <w:sz w:val="24"/>
                <w:szCs w:val="24"/>
              </w:rPr>
            </w:pPr>
            <w:r>
              <w:rPr>
                <w:rFonts w:hint="eastAsia" w:cs="仿宋"/>
                <w:color w:val="000000"/>
                <w:kern w:val="0"/>
                <w:sz w:val="24"/>
                <w:szCs w:val="24"/>
                <w:lang w:bidi="ar"/>
              </w:rPr>
              <w:t>1.7</w:t>
            </w:r>
          </w:p>
        </w:tc>
      </w:tr>
      <w:tr w14:paraId="2261E239">
        <w:trPr>
          <w:trHeight w:val="255" w:hRule="atLeast"/>
          <w:jc w:val="center"/>
        </w:trPr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5B0CC2">
            <w:pPr>
              <w:jc w:val="center"/>
              <w:textAlignment w:val="center"/>
              <w:rPr>
                <w:rFonts w:hint="eastAsia" w:cs="仿宋"/>
                <w:color w:val="000000"/>
                <w:sz w:val="24"/>
                <w:szCs w:val="24"/>
              </w:rPr>
            </w:pPr>
            <w:r>
              <w:rPr>
                <w:rFonts w:hint="eastAsia" w:cs="仿宋"/>
                <w:color w:val="000000"/>
                <w:kern w:val="0"/>
                <w:sz w:val="24"/>
                <w:szCs w:val="24"/>
                <w:lang w:bidi="ar"/>
              </w:rPr>
              <w:t>4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057798">
            <w:pPr>
              <w:jc w:val="center"/>
              <w:textAlignment w:val="center"/>
              <w:rPr>
                <w:rFonts w:hint="eastAsia" w:cs="仿宋"/>
                <w:color w:val="000000"/>
                <w:sz w:val="24"/>
                <w:szCs w:val="24"/>
              </w:rPr>
            </w:pPr>
            <w:r>
              <w:rPr>
                <w:rFonts w:hint="eastAsia" w:cs="仿宋"/>
                <w:color w:val="000000"/>
                <w:kern w:val="0"/>
                <w:sz w:val="24"/>
                <w:szCs w:val="24"/>
                <w:lang w:bidi="ar"/>
              </w:rPr>
              <w:t>2021年9月</w:t>
            </w:r>
          </w:p>
        </w:tc>
        <w:tc>
          <w:tcPr>
            <w:tcW w:w="4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9EBA6">
            <w:pPr>
              <w:jc w:val="center"/>
              <w:textAlignment w:val="center"/>
              <w:rPr>
                <w:rFonts w:hint="eastAsia" w:cs="仿宋"/>
                <w:color w:val="000000"/>
                <w:sz w:val="24"/>
                <w:szCs w:val="24"/>
              </w:rPr>
            </w:pPr>
            <w:r>
              <w:rPr>
                <w:rFonts w:hint="eastAsia" w:cs="仿宋"/>
                <w:color w:val="000000"/>
                <w:kern w:val="0"/>
                <w:sz w:val="24"/>
                <w:szCs w:val="24"/>
                <w:lang w:bidi="ar"/>
              </w:rPr>
              <w:t>0.7</w:t>
            </w:r>
          </w:p>
        </w:tc>
      </w:tr>
      <w:tr w14:paraId="5F200F81">
        <w:trPr>
          <w:trHeight w:val="255" w:hRule="atLeast"/>
          <w:jc w:val="center"/>
        </w:trPr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3070E9">
            <w:pPr>
              <w:jc w:val="center"/>
              <w:textAlignment w:val="center"/>
              <w:rPr>
                <w:rFonts w:hint="eastAsia" w:cs="仿宋"/>
                <w:color w:val="000000"/>
                <w:sz w:val="24"/>
                <w:szCs w:val="24"/>
              </w:rPr>
            </w:pPr>
            <w:r>
              <w:rPr>
                <w:rFonts w:hint="eastAsia" w:cs="仿宋"/>
                <w:color w:val="000000"/>
                <w:kern w:val="0"/>
                <w:sz w:val="24"/>
                <w:szCs w:val="24"/>
                <w:lang w:bidi="ar"/>
              </w:rPr>
              <w:t>5</w:t>
            </w:r>
          </w:p>
        </w:tc>
        <w:tc>
          <w:tcPr>
            <w:tcW w:w="2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686A11">
            <w:pPr>
              <w:jc w:val="center"/>
              <w:textAlignment w:val="center"/>
              <w:rPr>
                <w:rFonts w:hint="eastAsia" w:cs="仿宋"/>
                <w:color w:val="000000"/>
                <w:sz w:val="24"/>
                <w:szCs w:val="24"/>
              </w:rPr>
            </w:pPr>
            <w:r>
              <w:rPr>
                <w:rFonts w:hint="eastAsia" w:cs="仿宋"/>
                <w:color w:val="000000"/>
                <w:kern w:val="0"/>
                <w:sz w:val="24"/>
                <w:szCs w:val="24"/>
                <w:lang w:bidi="ar"/>
              </w:rPr>
              <w:t>2022年9月</w:t>
            </w:r>
          </w:p>
        </w:tc>
        <w:tc>
          <w:tcPr>
            <w:tcW w:w="4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B9FCB2">
            <w:pPr>
              <w:jc w:val="center"/>
              <w:textAlignment w:val="center"/>
              <w:rPr>
                <w:rFonts w:hint="eastAsia" w:cs="仿宋"/>
                <w:color w:val="000000"/>
                <w:sz w:val="24"/>
                <w:szCs w:val="24"/>
              </w:rPr>
            </w:pPr>
            <w:r>
              <w:rPr>
                <w:rFonts w:hint="eastAsia" w:cs="仿宋"/>
                <w:color w:val="000000"/>
                <w:kern w:val="0"/>
                <w:sz w:val="24"/>
                <w:szCs w:val="24"/>
                <w:lang w:bidi="ar"/>
              </w:rPr>
              <w:t>2.8</w:t>
            </w:r>
          </w:p>
        </w:tc>
      </w:tr>
      <w:tr w14:paraId="08A8D816">
        <w:trPr>
          <w:trHeight w:val="90" w:hRule="atLeast"/>
          <w:jc w:val="center"/>
        </w:trPr>
        <w:tc>
          <w:tcPr>
            <w:tcW w:w="34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699"/>
            <w:noWrap/>
            <w:vAlign w:val="center"/>
          </w:tcPr>
          <w:p w14:paraId="6BFFB5B5">
            <w:pPr>
              <w:jc w:val="center"/>
              <w:textAlignment w:val="center"/>
              <w:rPr>
                <w:rFonts w:hint="eastAsia" w:cs="仿宋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cs="仿宋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平均值</w:t>
            </w:r>
          </w:p>
        </w:tc>
        <w:tc>
          <w:tcPr>
            <w:tcW w:w="4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699"/>
            <w:noWrap/>
            <w:vAlign w:val="center"/>
          </w:tcPr>
          <w:p w14:paraId="4BEAC588">
            <w:pPr>
              <w:jc w:val="center"/>
              <w:textAlignment w:val="center"/>
              <w:rPr>
                <w:rFonts w:hint="eastAsia" w:cs="仿宋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cs="仿宋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2.14</w:t>
            </w:r>
          </w:p>
        </w:tc>
      </w:tr>
      <w:tr w14:paraId="3610F0DE">
        <w:trPr>
          <w:trHeight w:val="264" w:hRule="atLeast"/>
          <w:jc w:val="center"/>
        </w:trPr>
        <w:tc>
          <w:tcPr>
            <w:tcW w:w="34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CC2E5"/>
            <w:noWrap/>
            <w:vAlign w:val="center"/>
          </w:tcPr>
          <w:p w14:paraId="50768A20">
            <w:pPr>
              <w:jc w:val="center"/>
              <w:textAlignment w:val="center"/>
              <w:rPr>
                <w:rFonts w:hint="eastAsia" w:cs="仿宋"/>
                <w:b/>
                <w:bCs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cs="仿宋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合计值</w:t>
            </w:r>
          </w:p>
        </w:tc>
        <w:tc>
          <w:tcPr>
            <w:tcW w:w="4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CC2E5"/>
            <w:noWrap/>
            <w:vAlign w:val="center"/>
          </w:tcPr>
          <w:p w14:paraId="6E9DC810">
            <w:pPr>
              <w:jc w:val="center"/>
              <w:textAlignment w:val="center"/>
              <w:rPr>
                <w:rFonts w:hint="eastAsia" w:cs="仿宋"/>
                <w:b/>
                <w:bCs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cs="仿宋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10.70</w:t>
            </w:r>
          </w:p>
        </w:tc>
      </w:tr>
    </w:tbl>
    <w:p w14:paraId="42F55395">
      <w:pPr>
        <w:rPr>
          <w:rFonts w:hint="eastAsia" w:cs="仿宋"/>
        </w:rPr>
      </w:pPr>
    </w:p>
    <w:p w14:paraId="58945A49">
      <w:pPr>
        <w:pStyle w:val="5"/>
        <w:ind w:firstLine="482" w:firstLineChars="200"/>
        <w:rPr>
          <w:rFonts w:hint="eastAsia"/>
        </w:rPr>
      </w:pPr>
      <w:r>
        <w:rPr>
          <w:rFonts w:hint="eastAsia"/>
        </w:rPr>
        <w:t>表 7-3：近五年我国CPI年度同比增幅趋势图</w:t>
      </w:r>
    </w:p>
    <w:p w14:paraId="4E589695">
      <w:pPr>
        <w:pStyle w:val="5"/>
        <w:ind w:firstLine="482" w:firstLineChars="20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4317365" cy="2418080"/>
            <wp:effectExtent l="0" t="0" r="635" b="2032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5B9D5">
      <w:pPr>
        <w:pStyle w:val="6"/>
        <w:ind w:firstLine="560"/>
        <w:rPr>
          <w:rFonts w:ascii="仿宋" w:hAnsi="仿宋" w:cs="仿宋"/>
        </w:rPr>
      </w:pPr>
      <w:r>
        <w:rPr>
          <w:rFonts w:ascii="仿宋" w:hAnsi="仿宋" w:cs="仿宋"/>
        </w:rPr>
        <w:t>由上述图表可以看出，我国近五年通货膨胀率年均涨幅约2.14%，合计值10.70%。因此，本项目价格增长预期采用保守估算原则，设定单价每五年增长率保持在</w:t>
      </w:r>
      <w:r>
        <w:rPr>
          <w:rFonts w:ascii="仿宋" w:hAnsi="仿宋" w:cs="仿宋"/>
          <w:b/>
          <w:bCs/>
        </w:rPr>
        <w:t>5%-10%</w:t>
      </w:r>
      <w:r>
        <w:rPr>
          <w:rFonts w:ascii="仿宋" w:hAnsi="仿宋" w:cs="仿宋"/>
        </w:rPr>
        <w:t>之间，均符合我国通货膨胀率合理区间。</w:t>
      </w:r>
    </w:p>
    <w:p w14:paraId="0606E2D8">
      <w:pPr>
        <w:pStyle w:val="15"/>
        <w:bidi w:val="0"/>
        <w:ind w:left="0" w:leftChars="0" w:firstLine="0" w:firstLineChars="0"/>
        <w:rPr>
          <w:rFonts w:hint="eastAsia"/>
        </w:rPr>
      </w:pPr>
      <w:bookmarkStart w:id="21" w:name="_Toc994"/>
      <w:bookmarkStart w:id="22" w:name="_Toc31779"/>
      <w:r>
        <w:rPr>
          <w:rFonts w:hint="eastAsia"/>
        </w:rPr>
        <w:t>收益测算</w:t>
      </w:r>
      <w:bookmarkEnd w:id="21"/>
      <w:bookmarkEnd w:id="22"/>
    </w:p>
    <w:p w14:paraId="5139305D">
      <w:pPr>
        <w:pStyle w:val="6"/>
        <w:numPr>
          <w:ilvl w:val="0"/>
          <w:numId w:val="2"/>
        </w:numPr>
        <w:ind w:firstLine="560"/>
        <w:rPr>
          <w:rFonts w:ascii="仿宋" w:hAnsi="仿宋" w:cs="仿宋"/>
        </w:rPr>
      </w:pPr>
      <w:r>
        <w:rPr>
          <w:rFonts w:ascii="仿宋" w:hAnsi="仿宋" w:cs="仿宋"/>
        </w:rPr>
        <w:t>种植基地出租收入</w:t>
      </w:r>
    </w:p>
    <w:p w14:paraId="1A014CF5">
      <w:pPr>
        <w:pStyle w:val="16"/>
        <w:numPr>
          <w:ilvl w:val="0"/>
          <w:numId w:val="0"/>
        </w:numPr>
        <w:ind w:firstLine="560" w:firstLineChars="200"/>
        <w:rPr>
          <w:rFonts w:ascii="Times New Roman" w:hAnsi="Times New Roman"/>
          <w:kern w:val="44"/>
        </w:rPr>
      </w:pPr>
      <w:r>
        <w:rPr>
          <w:rFonts w:hint="eastAsia" w:ascii="Times New Roman" w:hAnsi="Times New Roman"/>
          <w:kern w:val="44"/>
        </w:rPr>
        <w:t>1)计费方式</w:t>
      </w:r>
    </w:p>
    <w:p w14:paraId="3EF21F6E">
      <w:pPr>
        <w:pStyle w:val="6"/>
        <w:ind w:firstLine="560"/>
        <w:rPr>
          <w:rFonts w:ascii="仿宋" w:hAnsi="仿宋" w:cs="仿宋"/>
        </w:rPr>
      </w:pPr>
      <w:r>
        <w:rPr>
          <w:rFonts w:ascii="仿宋" w:hAnsi="仿宋" w:cs="仿宋"/>
        </w:rPr>
        <w:t>本项目可出租种植基为标准化农田49237平方米（约73.86亩），建设标准化高效栽培试验示范13631平方米（约20.45亩），育苗基地12972平方米（约19.46亩），共计约113.76亩。参考九江当地市场种植出租价格，保守起见本项目的租赁价格按850元/亩/年计算，价格每5年上涨5%，运营期首年负荷率为50%，每年增长5%，增长到75%后稳定不变。</w:t>
      </w:r>
    </w:p>
    <w:p w14:paraId="69ACA34A">
      <w:pPr>
        <w:pStyle w:val="6"/>
        <w:ind w:firstLine="560"/>
        <w:rPr>
          <w:rFonts w:ascii="仿宋" w:hAnsi="仿宋" w:cs="仿宋"/>
        </w:rPr>
      </w:pPr>
      <w:r>
        <w:t>2）定价参考依据</w:t>
      </w:r>
    </w:p>
    <w:p w14:paraId="1F01300B">
      <w:pPr>
        <w:pStyle w:val="6"/>
        <w:ind w:firstLine="56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4922520" cy="2095500"/>
            <wp:effectExtent l="0" t="0" r="5080" b="12700"/>
            <wp:docPr id="31" name="图片 31" descr="eb1c9d1e2cceb478d72098918472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eb1c9d1e2cceb478d7209891847258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7400" cy="209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C787">
      <w:pPr>
        <w:pStyle w:val="6"/>
        <w:ind w:firstLine="560"/>
        <w:rPr>
          <w:rFonts w:hint="default"/>
        </w:rPr>
      </w:pPr>
    </w:p>
    <w:p w14:paraId="189F3BFE">
      <w:pPr>
        <w:pStyle w:val="6"/>
        <w:ind w:firstLine="560"/>
        <w:rPr>
          <w:rFonts w:hint="default"/>
        </w:rPr>
        <w:sectPr>
          <w:headerReference r:id="rId8" w:type="default"/>
          <w:footerReference r:id="rId9" w:type="default"/>
          <w:pgSz w:w="11906" w:h="16839"/>
          <w:pgMar w:top="1140" w:right="1785" w:bottom="1057" w:left="1785" w:header="480" w:footer="712" w:gutter="0"/>
          <w:pgNumType w:fmt="decimal"/>
          <w:cols w:space="720" w:num="1"/>
        </w:sectPr>
      </w:pPr>
    </w:p>
    <w:p w14:paraId="2FCD50B9">
      <w:pPr>
        <w:pStyle w:val="6"/>
        <w:numPr>
          <w:ilvl w:val="0"/>
          <w:numId w:val="2"/>
        </w:numPr>
        <w:ind w:firstLine="560"/>
        <w:rPr>
          <w:rFonts w:ascii="仿宋" w:hAnsi="仿宋" w:cs="仿宋"/>
        </w:rPr>
      </w:pPr>
      <w:r>
        <w:rPr>
          <w:rFonts w:ascii="仿宋" w:hAnsi="仿宋" w:cs="仿宋"/>
        </w:rPr>
        <w:t>停车位收入</w:t>
      </w:r>
    </w:p>
    <w:p w14:paraId="729E8DB0">
      <w:pPr>
        <w:pStyle w:val="6"/>
        <w:ind w:firstLine="560"/>
        <w:rPr>
          <w:rFonts w:hint="default"/>
        </w:rPr>
      </w:pPr>
      <w:r>
        <w:t>1）规模确定：</w:t>
      </w:r>
    </w:p>
    <w:p w14:paraId="47AE99E4">
      <w:pPr>
        <w:pStyle w:val="6"/>
        <w:ind w:firstLine="560"/>
        <w:rPr>
          <w:rFonts w:hint="default"/>
        </w:rPr>
      </w:pPr>
      <w:r>
        <w:t>根据江西省建设用地指标（2018年版）地面停车场停车位用地面积为（25~30）m</w:t>
      </w:r>
      <w:r>
        <w:rPr>
          <w:rFonts w:hint="default" w:ascii="Calibri" w:hAnsi="Calibri" w:cs="Calibri"/>
        </w:rPr>
        <w:t>²</w:t>
      </w:r>
      <w:r>
        <w:t>/标准停车车位，地下停车车位建筑面积为（30~40）m</w:t>
      </w:r>
      <w:r>
        <w:rPr>
          <w:rFonts w:hint="default" w:ascii="Calibri" w:hAnsi="Calibri" w:cs="Calibri"/>
        </w:rPr>
        <w:t>²</w:t>
      </w:r>
      <w:r>
        <w:t>/标准停车车位,本项目地面停车场采用25m</w:t>
      </w:r>
      <w:r>
        <w:rPr>
          <w:rFonts w:hint="default" w:ascii="Calibri" w:hAnsi="Calibri" w:cs="Calibri"/>
        </w:rPr>
        <w:t>²</w:t>
      </w:r>
      <w:r>
        <w:t>/标准停车车位，地上公共停车位占地面积为1050平方米，地下公共停车位面积为6000平方米最多可设272个停车位。</w:t>
      </w:r>
    </w:p>
    <w:p w14:paraId="10528A89">
      <w:pPr>
        <w:pStyle w:val="6"/>
        <w:ind w:firstLine="560"/>
        <w:rPr>
          <w:rFonts w:hint="default"/>
        </w:rPr>
      </w:pPr>
      <w:r>
        <w:t>本项目共设置265个停车位，改造规模符合规范标准。</w:t>
      </w:r>
    </w:p>
    <w:p w14:paraId="499960EB">
      <w:pPr>
        <w:pStyle w:val="6"/>
        <w:numPr>
          <w:ilvl w:val="1"/>
          <w:numId w:val="0"/>
        </w:numPr>
        <w:jc w:val="center"/>
        <w:rPr>
          <w:rFonts w:hint="default"/>
        </w:rPr>
      </w:pPr>
      <w:bookmarkStart w:id="49" w:name="_GoBack"/>
      <w:r>
        <w:drawing>
          <wp:inline distT="0" distB="0" distL="114300" distR="114300">
            <wp:extent cx="5265420" cy="1301115"/>
            <wp:effectExtent l="0" t="0" r="17780" b="19685"/>
            <wp:docPr id="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9"/>
    </w:p>
    <w:p w14:paraId="1C27E539">
      <w:pPr>
        <w:pStyle w:val="6"/>
        <w:ind w:firstLine="560"/>
        <w:rPr>
          <w:rFonts w:hint="default"/>
        </w:rPr>
      </w:pPr>
      <w:r>
        <w:t>2）价格确定</w:t>
      </w:r>
    </w:p>
    <w:p w14:paraId="41918AFB">
      <w:pPr>
        <w:numPr>
          <w:ilvl w:val="1"/>
          <w:numId w:val="0"/>
        </w:numPr>
        <w:topLinePunct/>
        <w:adjustRightInd w:val="0"/>
        <w:snapToGrid w:val="0"/>
        <w:spacing w:line="360" w:lineRule="auto"/>
        <w:ind w:firstLine="560" w:firstLineChars="200"/>
        <w:jc w:val="both"/>
        <w:rPr>
          <w:rFonts w:ascii="Times New Roman" w:hAnsi="Times New Roman"/>
          <w:kern w:val="44"/>
          <w:sz w:val="28"/>
          <w:szCs w:val="28"/>
        </w:rPr>
      </w:pPr>
      <w:r>
        <w:rPr>
          <w:rFonts w:hint="eastAsia" w:ascii="Times New Roman" w:hAnsi="Times New Roman"/>
          <w:kern w:val="44"/>
          <w:sz w:val="28"/>
          <w:szCs w:val="28"/>
        </w:rPr>
        <w:t>本项目设置停车位265个。停车采用落杆式刷卡收费及地锁扫码收费。根据《江西省政府定价经营服务性收费目录清单》，参考其收费标准，对本项目的经营收入进行具体分析。</w:t>
      </w:r>
      <w:bookmarkStart w:id="23" w:name="_Hlk180423976"/>
      <w:r>
        <w:rPr>
          <w:rFonts w:hint="eastAsia" w:ascii="Times New Roman" w:hAnsi="Times New Roman"/>
          <w:kern w:val="44"/>
          <w:sz w:val="28"/>
          <w:szCs w:val="28"/>
        </w:rPr>
        <w:t>本项目停车</w:t>
      </w:r>
      <w:bookmarkStart w:id="24" w:name="_Hlk187740053"/>
      <w:r>
        <w:rPr>
          <w:rFonts w:hint="eastAsia" w:ascii="Times New Roman" w:hAnsi="Times New Roman"/>
          <w:kern w:val="44"/>
          <w:sz w:val="28"/>
          <w:szCs w:val="28"/>
        </w:rPr>
        <w:t>按小时收费，停车场营业时间为24小时，1</w:t>
      </w:r>
      <w:r>
        <w:rPr>
          <w:rFonts w:ascii="Times New Roman" w:hAnsi="Times New Roman"/>
          <w:kern w:val="44"/>
          <w:sz w:val="28"/>
          <w:szCs w:val="28"/>
        </w:rPr>
        <w:t>小时内</w:t>
      </w:r>
      <w:r>
        <w:rPr>
          <w:rFonts w:hint="eastAsia" w:ascii="Times New Roman" w:hAnsi="Times New Roman"/>
          <w:kern w:val="44"/>
          <w:sz w:val="28"/>
          <w:szCs w:val="28"/>
        </w:rPr>
        <w:t>收费3</w:t>
      </w:r>
      <w:r>
        <w:rPr>
          <w:rFonts w:ascii="Times New Roman" w:hAnsi="Times New Roman"/>
          <w:kern w:val="44"/>
          <w:sz w:val="28"/>
          <w:szCs w:val="28"/>
        </w:rPr>
        <w:t>元，每</w:t>
      </w:r>
      <w:r>
        <w:rPr>
          <w:rFonts w:hint="eastAsia" w:ascii="Times New Roman" w:hAnsi="Times New Roman"/>
          <w:kern w:val="44"/>
          <w:sz w:val="28"/>
          <w:szCs w:val="28"/>
        </w:rPr>
        <w:t>增1</w:t>
      </w:r>
      <w:r>
        <w:rPr>
          <w:rFonts w:ascii="Times New Roman" w:hAnsi="Times New Roman"/>
          <w:kern w:val="44"/>
          <w:sz w:val="28"/>
          <w:szCs w:val="28"/>
        </w:rPr>
        <w:t>小时加收1元，全天最高限价</w:t>
      </w:r>
      <w:r>
        <w:rPr>
          <w:rFonts w:hint="eastAsia" w:ascii="Times New Roman" w:hAnsi="Times New Roman"/>
          <w:kern w:val="44"/>
          <w:sz w:val="28"/>
          <w:szCs w:val="28"/>
        </w:rPr>
        <w:t>20</w:t>
      </w:r>
      <w:r>
        <w:rPr>
          <w:rFonts w:ascii="Times New Roman" w:hAnsi="Times New Roman"/>
          <w:kern w:val="44"/>
          <w:sz w:val="28"/>
          <w:szCs w:val="28"/>
        </w:rPr>
        <w:t>元。</w:t>
      </w:r>
      <w:r>
        <w:rPr>
          <w:rFonts w:hint="eastAsia" w:ascii="Times New Roman" w:hAnsi="Times New Roman"/>
          <w:kern w:val="44"/>
          <w:sz w:val="28"/>
          <w:szCs w:val="28"/>
        </w:rPr>
        <w:t>一个车位平均停车次数按2次计算，单车位平均收费8元/天。</w:t>
      </w:r>
      <w:bookmarkEnd w:id="24"/>
    </w:p>
    <w:bookmarkEnd w:id="23"/>
    <w:p w14:paraId="078D9FC5">
      <w:pPr>
        <w:pStyle w:val="6"/>
        <w:numPr>
          <w:ilvl w:val="1"/>
          <w:numId w:val="0"/>
        </w:numPr>
        <w:rPr>
          <w:rFonts w:hint="default"/>
        </w:rPr>
      </w:pPr>
      <w:r>
        <w:drawing>
          <wp:inline distT="0" distB="0" distL="114300" distR="114300">
            <wp:extent cx="5268595" cy="811530"/>
            <wp:effectExtent l="0" t="0" r="14605" b="1270"/>
            <wp:docPr id="16099030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03006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70136">
      <w:pPr>
        <w:pStyle w:val="6"/>
        <w:ind w:firstLine="560"/>
        <w:rPr>
          <w:rFonts w:hint="default"/>
        </w:rPr>
      </w:pPr>
      <w:r>
        <w:t>3）单价增长率确定</w:t>
      </w:r>
    </w:p>
    <w:p w14:paraId="53DA8D23">
      <w:pPr>
        <w:numPr>
          <w:ilvl w:val="1"/>
          <w:numId w:val="0"/>
        </w:numPr>
        <w:ind w:firstLine="560" w:firstLineChars="200"/>
        <w:rPr>
          <w:rFonts w:ascii="Times New Roman" w:hAnsi="Times New Roman"/>
          <w:kern w:val="44"/>
          <w:sz w:val="28"/>
          <w:szCs w:val="28"/>
        </w:rPr>
      </w:pPr>
      <w:r>
        <w:rPr>
          <w:rFonts w:hint="eastAsia" w:ascii="Times New Roman" w:hAnsi="Times New Roman"/>
          <w:kern w:val="44"/>
          <w:sz w:val="28"/>
          <w:szCs w:val="28"/>
        </w:rPr>
        <w:t>根据分析结果，停车位收入每五年单价增长率设定为5%，是符合市场单价一般规律的。</w:t>
      </w:r>
    </w:p>
    <w:p w14:paraId="026567BD">
      <w:pPr>
        <w:pStyle w:val="6"/>
        <w:ind w:firstLine="560"/>
        <w:rPr>
          <w:rFonts w:hint="default"/>
        </w:rPr>
      </w:pPr>
      <w:r>
        <w:t>4）收益计算</w:t>
      </w:r>
    </w:p>
    <w:p w14:paraId="07495FFB">
      <w:pPr>
        <w:numPr>
          <w:ilvl w:val="1"/>
          <w:numId w:val="0"/>
        </w:numPr>
        <w:topLinePunct/>
        <w:adjustRightInd w:val="0"/>
        <w:snapToGrid w:val="0"/>
        <w:spacing w:line="360" w:lineRule="auto"/>
        <w:ind w:firstLine="560" w:firstLineChars="200"/>
        <w:jc w:val="both"/>
        <w:rPr>
          <w:rFonts w:ascii="Times New Roman" w:hAnsi="Times New Roman"/>
          <w:kern w:val="44"/>
          <w:sz w:val="28"/>
          <w:szCs w:val="28"/>
        </w:rPr>
      </w:pPr>
      <w:r>
        <w:rPr>
          <w:rFonts w:hint="eastAsia" w:ascii="Times New Roman" w:hAnsi="Times New Roman"/>
          <w:kern w:val="44"/>
          <w:sz w:val="28"/>
          <w:szCs w:val="28"/>
        </w:rPr>
        <w:t>考虑实际运营中，市场受诸多外部条件限制，影响实际运营负荷率。为进一步压实收益，</w:t>
      </w:r>
      <w:bookmarkStart w:id="25" w:name="_Hlk187740122"/>
      <w:r>
        <w:rPr>
          <w:rFonts w:hint="eastAsia" w:ascii="Times New Roman" w:hAnsi="Times New Roman"/>
          <w:kern w:val="44"/>
          <w:sz w:val="28"/>
          <w:szCs w:val="28"/>
        </w:rPr>
        <w:t>首年运营负荷率设计为40%。随着项目运营管理的逐渐成熟和市场影响力的逐年增长，运营负荷率年度增长率保守设定为5%，增长至65%后，维持不变</w:t>
      </w:r>
      <w:bookmarkEnd w:id="25"/>
      <w:r>
        <w:rPr>
          <w:rFonts w:hint="eastAsia" w:ascii="Times New Roman" w:hAnsi="Times New Roman"/>
          <w:kern w:val="44"/>
          <w:sz w:val="28"/>
          <w:szCs w:val="28"/>
        </w:rPr>
        <w:t>。</w:t>
      </w:r>
    </w:p>
    <w:p w14:paraId="62ECEB9C">
      <w:pPr>
        <w:pStyle w:val="6"/>
        <w:numPr>
          <w:ilvl w:val="0"/>
          <w:numId w:val="2"/>
        </w:numPr>
        <w:ind w:firstLine="560"/>
        <w:rPr>
          <w:rFonts w:hint="default" w:ascii="仿宋" w:hAnsi="仿宋" w:cs="仿宋"/>
        </w:rPr>
      </w:pPr>
      <w:r>
        <w:rPr>
          <w:rFonts w:ascii="仿宋" w:hAnsi="仿宋" w:cs="仿宋"/>
        </w:rPr>
        <w:t>充电桩收入</w:t>
      </w:r>
    </w:p>
    <w:p w14:paraId="5FF5E255">
      <w:pPr>
        <w:pStyle w:val="6"/>
        <w:ind w:firstLine="560"/>
        <w:rPr>
          <w:rFonts w:cs="仿宋"/>
        </w:rPr>
      </w:pPr>
      <w:r>
        <w:rPr>
          <w:rFonts w:cs="仿宋"/>
        </w:rPr>
        <w:t>（1）单价增长率确定</w:t>
      </w:r>
    </w:p>
    <w:p w14:paraId="76F8B49C">
      <w:pPr>
        <w:pStyle w:val="6"/>
        <w:ind w:firstLine="560"/>
        <w:rPr>
          <w:rFonts w:cs="仿宋"/>
        </w:rPr>
      </w:pPr>
      <w:r>
        <w:rPr>
          <w:rFonts w:cs="仿宋"/>
        </w:rPr>
        <w:t>根据“收益单价增长率预测区间”分析结果，充电桩收入每五年单价增长率设定为5%，是符合市场价格一般规律的。</w:t>
      </w:r>
    </w:p>
    <w:p w14:paraId="3E35CDCB">
      <w:pPr>
        <w:pStyle w:val="6"/>
        <w:ind w:firstLine="560"/>
        <w:rPr>
          <w:rFonts w:cs="仿宋"/>
        </w:rPr>
      </w:pPr>
      <w:r>
        <w:rPr>
          <w:rFonts w:cs="仿宋"/>
        </w:rPr>
        <w:t>（2）收益计算</w:t>
      </w:r>
    </w:p>
    <w:p w14:paraId="3124A7CF">
      <w:pPr>
        <w:pStyle w:val="6"/>
        <w:ind w:firstLine="560"/>
        <w:rPr>
          <w:rFonts w:cs="仿宋"/>
        </w:rPr>
      </w:pPr>
      <w:bookmarkStart w:id="26" w:name="OLE_LINK1"/>
      <w:r>
        <w:rPr>
          <w:rFonts w:cs="仿宋"/>
        </w:rPr>
        <w:t>本项目建成后将新增120kW充电桩40个，</w:t>
      </w:r>
      <w:bookmarkEnd w:id="26"/>
      <w:r>
        <w:rPr>
          <w:rFonts w:cs="仿宋"/>
        </w:rPr>
        <w:t>每个充电桩每天充电时长按2小时计算，充电功率按每个充电桩的平均功率83.36kW计算，每年按330天计算，服务费单价参考九江市市场按0.60元/kwh（不含成本）计算，经营期第一年使用率30%，每年5上涨5%计算，达到60%封顶。</w:t>
      </w:r>
    </w:p>
    <w:p w14:paraId="6646797A">
      <w:pPr>
        <w:pStyle w:val="6"/>
        <w:ind w:firstLine="560"/>
        <w:rPr>
          <w:rFonts w:cs="仿宋"/>
        </w:rPr>
      </w:pPr>
      <w:r>
        <w:rPr>
          <w:rFonts w:cs="仿宋"/>
        </w:rPr>
        <w:t>（3）定价参考依据</w:t>
      </w:r>
    </w:p>
    <w:p w14:paraId="38AF2FE3">
      <w:pPr>
        <w:pStyle w:val="6"/>
        <w:ind w:firstLine="560"/>
        <w:rPr>
          <w:rFonts w:cs="仿宋"/>
        </w:rPr>
      </w:pPr>
      <w:r>
        <w:rPr>
          <w:rFonts w:cs="仿宋"/>
        </w:rPr>
        <w:t>新能源汽车充电桩利润分析根据《江西省发改委关于电动汽车充换电服务费有关问题的通知》“对向电网经营企业直接报装接电的经营性集中式充换电设施用电，执行大工业用电价格”。《江西省发展和改革委员会关于调整我省电力价格的通知》 （赣发改商价字〔2011〕2690 号）“江西省大工业用电在 0.64-0.68元/千瓦时”，本项目按0.60元/千瓦时计算成本。</w:t>
      </w:r>
    </w:p>
    <w:p w14:paraId="74027D5D">
      <w:pPr>
        <w:pStyle w:val="6"/>
        <w:ind w:firstLine="560"/>
        <w:rPr>
          <w:rFonts w:cs="仿宋"/>
        </w:rPr>
      </w:pPr>
      <w:r>
        <w:rPr>
          <w:rFonts w:cs="仿宋"/>
        </w:rPr>
        <w:drawing>
          <wp:inline distT="0" distB="0" distL="0" distR="0">
            <wp:extent cx="5293360" cy="2602230"/>
            <wp:effectExtent l="0" t="0" r="15240" b="13970"/>
            <wp:docPr id="113863855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38559" name="图片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3DB02">
      <w:pPr>
        <w:pStyle w:val="6"/>
        <w:numPr>
          <w:ilvl w:val="0"/>
          <w:numId w:val="2"/>
        </w:numPr>
        <w:ind w:firstLine="560"/>
        <w:rPr>
          <w:rFonts w:ascii="仿宋" w:hAnsi="仿宋" w:cs="仿宋"/>
        </w:rPr>
      </w:pPr>
      <w:r>
        <w:rPr>
          <w:rFonts w:ascii="仿宋" w:hAnsi="仿宋" w:cs="仿宋"/>
        </w:rPr>
        <w:t>厂房出租收入</w:t>
      </w:r>
    </w:p>
    <w:p w14:paraId="3A259663">
      <w:pPr>
        <w:pStyle w:val="16"/>
        <w:numPr>
          <w:ilvl w:val="0"/>
          <w:numId w:val="0"/>
        </w:numPr>
        <w:ind w:firstLine="560" w:firstLineChars="200"/>
        <w:rPr>
          <w:rFonts w:hint="eastAsia" w:cs="仿宋"/>
        </w:rPr>
      </w:pPr>
      <w:r>
        <w:rPr>
          <w:rFonts w:hint="eastAsia" w:ascii="Times New Roman" w:hAnsi="Times New Roman"/>
          <w:kern w:val="44"/>
        </w:rPr>
        <w:t>1)计费方式</w:t>
      </w:r>
    </w:p>
    <w:p w14:paraId="4F07272C">
      <w:pPr>
        <w:pStyle w:val="6"/>
        <w:ind w:firstLine="560"/>
        <w:rPr>
          <w:rFonts w:ascii="仿宋" w:hAnsi="仿宋" w:cs="仿宋"/>
        </w:rPr>
      </w:pPr>
      <w:r>
        <w:rPr>
          <w:rFonts w:ascii="仿宋" w:hAnsi="仿宋" w:cs="仿宋"/>
        </w:rPr>
        <w:t>本项目总建筑面积34489㎡，主要建设分拣仓库1000㎡，农产品加工厂房1000㎡，保鲜仓储中心500㎡，科研基地实验室3000㎡，实践教育综合基地3000㎡，创新创业孵化平台20089m</w:t>
      </w:r>
      <w:r>
        <w:rPr>
          <w:rFonts w:ascii="仿宋" w:hAnsi="仿宋" w:cs="仿宋"/>
          <w:vertAlign w:val="superscript"/>
        </w:rPr>
        <w:t>2</w:t>
      </w:r>
      <w:r>
        <w:rPr>
          <w:rFonts w:ascii="仿宋" w:hAnsi="仿宋" w:cs="仿宋"/>
        </w:rPr>
        <w:t>，实践教育综合基地5300m</w:t>
      </w:r>
      <w:r>
        <w:rPr>
          <w:rFonts w:ascii="仿宋" w:hAnsi="仿宋" w:cs="仿宋"/>
          <w:vertAlign w:val="superscript"/>
        </w:rPr>
        <w:t>2</w:t>
      </w:r>
      <w:r>
        <w:rPr>
          <w:rFonts w:ascii="仿宋" w:hAnsi="仿宋" w:cs="仿宋"/>
        </w:rPr>
        <w:t>，农业技术推广中心600m</w:t>
      </w:r>
      <w:r>
        <w:rPr>
          <w:rFonts w:ascii="仿宋" w:hAnsi="仿宋" w:cs="仿宋"/>
          <w:vertAlign w:val="superscript"/>
        </w:rPr>
        <w:t>2</w:t>
      </w:r>
      <w:r>
        <w:rPr>
          <w:rFonts w:ascii="仿宋" w:hAnsi="仿宋" w:cs="仿宋"/>
        </w:rPr>
        <w:t>，</w:t>
      </w:r>
      <w:bookmarkStart w:id="27" w:name="_Hlk187740181"/>
      <w:r>
        <w:rPr>
          <w:rFonts w:ascii="仿宋" w:hAnsi="仿宋" w:cs="仿宋"/>
        </w:rPr>
        <w:t>可供出租的建筑面积共计28489㎡</w:t>
      </w:r>
      <w:bookmarkEnd w:id="27"/>
      <w:r>
        <w:rPr>
          <w:rFonts w:ascii="仿宋" w:hAnsi="仿宋" w:cs="仿宋"/>
        </w:rPr>
        <w:t>。</w:t>
      </w:r>
    </w:p>
    <w:p w14:paraId="6076A4FD">
      <w:pPr>
        <w:pStyle w:val="6"/>
        <w:ind w:firstLine="560"/>
        <w:rPr>
          <w:rFonts w:ascii="仿宋" w:hAnsi="仿宋" w:cs="仿宋"/>
        </w:rPr>
      </w:pPr>
      <w:r>
        <w:rPr>
          <w:rFonts w:ascii="仿宋" w:hAnsi="仿宋" w:cs="仿宋"/>
        </w:rPr>
        <w:t>为方便管理，本项目厂房出租以合并出租方式由一家单位或公司承租，</w:t>
      </w:r>
      <w:bookmarkStart w:id="28" w:name="_Hlk187740197"/>
      <w:r>
        <w:rPr>
          <w:rFonts w:ascii="仿宋" w:hAnsi="仿宋" w:cs="仿宋"/>
        </w:rPr>
        <w:t>按每平35元/月计算，首年运营负荷率设计为50%。随着项目运营管理的逐渐成熟和市场影响力的逐年增长，运营负荷率年度增长率保守设定为5%，增长至75%后，维持不变</w:t>
      </w:r>
      <w:bookmarkEnd w:id="28"/>
      <w:r>
        <w:rPr>
          <w:rFonts w:ascii="仿宋" w:hAnsi="仿宋" w:cs="仿宋"/>
        </w:rPr>
        <w:t>。</w:t>
      </w:r>
    </w:p>
    <w:p w14:paraId="42A46E3A">
      <w:pPr>
        <w:pStyle w:val="6"/>
        <w:numPr>
          <w:ilvl w:val="0"/>
          <w:numId w:val="3"/>
        </w:numPr>
        <w:ind w:firstLine="560"/>
        <w:rPr>
          <w:rFonts w:hint="default"/>
        </w:rPr>
      </w:pPr>
      <w:r>
        <w:t>定价参考依据</w:t>
      </w:r>
    </w:p>
    <w:p w14:paraId="39258BA0">
      <w:pPr>
        <w:pStyle w:val="6"/>
        <w:ind w:firstLine="0" w:firstLineChars="0"/>
        <w:rPr>
          <w:rFonts w:hint="default"/>
        </w:rPr>
      </w:pPr>
      <w:r>
        <w:drawing>
          <wp:inline distT="0" distB="0" distL="0" distR="0">
            <wp:extent cx="5293360" cy="2552065"/>
            <wp:effectExtent l="0" t="0" r="15240" b="13335"/>
            <wp:docPr id="14749141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14127" name="图片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A49D2">
      <w:pPr>
        <w:pStyle w:val="6"/>
        <w:ind w:firstLine="560"/>
        <w:rPr>
          <w:rFonts w:hint="default"/>
        </w:rPr>
      </w:pPr>
    </w:p>
    <w:p w14:paraId="389EEF2E">
      <w:pPr>
        <w:pStyle w:val="6"/>
        <w:ind w:firstLine="0" w:firstLineChars="0"/>
        <w:rPr>
          <w:rFonts w:hint="default"/>
        </w:rPr>
      </w:pPr>
    </w:p>
    <w:p w14:paraId="444A9526">
      <w:pPr>
        <w:pStyle w:val="6"/>
        <w:ind w:firstLine="0" w:firstLineChars="0"/>
        <w:rPr>
          <w:rFonts w:ascii="仿宋" w:hAnsi="仿宋" w:cs="仿宋"/>
        </w:rPr>
        <w:sectPr>
          <w:footerReference r:id="rId10" w:type="default"/>
          <w:pgSz w:w="11906" w:h="16839"/>
          <w:pgMar w:top="1140" w:right="1785" w:bottom="1057" w:left="1785" w:header="480" w:footer="712" w:gutter="0"/>
          <w:pgNumType w:fmt="decimal"/>
          <w:cols w:space="720" w:num="1"/>
        </w:sectPr>
      </w:pPr>
    </w:p>
    <w:p w14:paraId="7C4899AF">
      <w:pPr>
        <w:pStyle w:val="6"/>
        <w:ind w:firstLine="562"/>
        <w:jc w:val="center"/>
        <w:rPr>
          <w:rFonts w:hint="default"/>
          <w:b/>
          <w:bCs/>
        </w:rPr>
      </w:pPr>
      <w:bookmarkStart w:id="29" w:name="_Ref26676"/>
      <w:r>
        <w:rPr>
          <w:b/>
          <w:bCs/>
        </w:rPr>
        <w:t>表 7-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表 \* ARABIC \s 1 </w:instrText>
      </w:r>
      <w:r>
        <w:rPr>
          <w:b/>
          <w:bCs/>
        </w:rPr>
        <w:fldChar w:fldCharType="separate"/>
      </w:r>
      <w:r>
        <w:rPr>
          <w:rFonts w:hint="default"/>
          <w:b/>
          <w:bCs/>
        </w:rPr>
        <w:t>2</w:t>
      </w:r>
      <w:r>
        <w:rPr>
          <w:b/>
          <w:bCs/>
        </w:rPr>
        <w:fldChar w:fldCharType="end"/>
      </w:r>
      <w:bookmarkEnd w:id="29"/>
      <w:r>
        <w:rPr>
          <w:b/>
          <w:bCs/>
        </w:rPr>
        <w:t>：收入计算表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571"/>
        <w:gridCol w:w="481"/>
        <w:gridCol w:w="921"/>
        <w:gridCol w:w="746"/>
        <w:gridCol w:w="746"/>
        <w:gridCol w:w="481"/>
        <w:gridCol w:w="654"/>
        <w:gridCol w:w="743"/>
        <w:gridCol w:w="835"/>
        <w:gridCol w:w="481"/>
        <w:gridCol w:w="660"/>
        <w:gridCol w:w="746"/>
        <w:gridCol w:w="746"/>
        <w:gridCol w:w="568"/>
        <w:gridCol w:w="838"/>
        <w:gridCol w:w="481"/>
        <w:gridCol w:w="654"/>
        <w:gridCol w:w="918"/>
        <w:gridCol w:w="924"/>
        <w:gridCol w:w="921"/>
      </w:tblGrid>
      <w:tr w14:paraId="593337D8">
        <w:trPr>
          <w:trHeight w:val="280" w:hRule="atLeast"/>
        </w:trPr>
        <w:tc>
          <w:tcPr>
            <w:tcW w:w="25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31DC17B2">
            <w:pPr>
              <w:jc w:val="center"/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周期</w:t>
            </w:r>
          </w:p>
        </w:tc>
        <w:tc>
          <w:tcPr>
            <w:tcW w:w="19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6385CF12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年度</w:t>
            </w:r>
          </w:p>
        </w:tc>
        <w:tc>
          <w:tcPr>
            <w:tcW w:w="97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1F65C35A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种植基地出租收入</w:t>
            </w:r>
          </w:p>
        </w:tc>
        <w:tc>
          <w:tcPr>
            <w:tcW w:w="913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D9D9D9"/>
            <w:noWrap/>
            <w:vAlign w:val="center"/>
          </w:tcPr>
          <w:p w14:paraId="1E04170F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停车位收入</w:t>
            </w:r>
          </w:p>
        </w:tc>
        <w:tc>
          <w:tcPr>
            <w:tcW w:w="1359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1DF5593E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充电桩收入</w:t>
            </w:r>
          </w:p>
        </w:tc>
        <w:tc>
          <w:tcPr>
            <w:tcW w:w="1002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686D5B3D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厂房出租收入</w:t>
            </w:r>
          </w:p>
        </w:tc>
        <w:tc>
          <w:tcPr>
            <w:tcW w:w="31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6522A72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经营收</w:t>
            </w: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br w:type="textWrapping"/>
            </w: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入合计</w:t>
            </w:r>
          </w:p>
        </w:tc>
      </w:tr>
      <w:tr w14:paraId="0DF75353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F250E8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169C4A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9768BB6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负荷率</w:t>
            </w:r>
          </w:p>
        </w:tc>
        <w:tc>
          <w:tcPr>
            <w:tcW w:w="31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3DAB43D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出租价格（元/年·亩）</w:t>
            </w:r>
          </w:p>
        </w:tc>
        <w:tc>
          <w:tcPr>
            <w:tcW w:w="25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84149F2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数量（亩）</w:t>
            </w:r>
          </w:p>
        </w:tc>
        <w:tc>
          <w:tcPr>
            <w:tcW w:w="25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BBEB530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年运营收入（万元）</w:t>
            </w:r>
          </w:p>
        </w:tc>
        <w:tc>
          <w:tcPr>
            <w:tcW w:w="16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E39B7F8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负荷率</w:t>
            </w:r>
          </w:p>
        </w:tc>
        <w:tc>
          <w:tcPr>
            <w:tcW w:w="22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7539484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单价</w:t>
            </w:r>
          </w:p>
        </w:tc>
        <w:tc>
          <w:tcPr>
            <w:tcW w:w="25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C75433F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数量</w:t>
            </w:r>
          </w:p>
        </w:tc>
        <w:tc>
          <w:tcPr>
            <w:tcW w:w="28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9A1CA0A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年运营收入（万元）</w:t>
            </w:r>
          </w:p>
        </w:tc>
        <w:tc>
          <w:tcPr>
            <w:tcW w:w="16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ED0A8BE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负荷率</w:t>
            </w:r>
          </w:p>
        </w:tc>
        <w:tc>
          <w:tcPr>
            <w:tcW w:w="22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5E642F5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单价（元/kwh)</w:t>
            </w:r>
          </w:p>
        </w:tc>
        <w:tc>
          <w:tcPr>
            <w:tcW w:w="25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DA3AB37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收费数量（个）</w:t>
            </w:r>
          </w:p>
        </w:tc>
        <w:tc>
          <w:tcPr>
            <w:tcW w:w="25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AEC1A59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充电桩功率（kw）</w:t>
            </w:r>
          </w:p>
        </w:tc>
        <w:tc>
          <w:tcPr>
            <w:tcW w:w="19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EBB991B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日充电时长</w:t>
            </w:r>
          </w:p>
        </w:tc>
        <w:tc>
          <w:tcPr>
            <w:tcW w:w="28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DED734E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年运营收入（万元）</w:t>
            </w:r>
          </w:p>
        </w:tc>
        <w:tc>
          <w:tcPr>
            <w:tcW w:w="16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96D50A6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负荷率</w:t>
            </w:r>
          </w:p>
        </w:tc>
        <w:tc>
          <w:tcPr>
            <w:tcW w:w="22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1BBDDED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单价</w:t>
            </w: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br w:type="textWrapping"/>
            </w: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（元/月）</w:t>
            </w:r>
          </w:p>
        </w:tc>
        <w:tc>
          <w:tcPr>
            <w:tcW w:w="30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F3D9CF9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出租面积</w:t>
            </w:r>
          </w:p>
        </w:tc>
        <w:tc>
          <w:tcPr>
            <w:tcW w:w="31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9BBC80F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年运营收入（万元）</w:t>
            </w:r>
          </w:p>
        </w:tc>
        <w:tc>
          <w:tcPr>
            <w:tcW w:w="31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F6CBDA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14:paraId="085A8A3A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44448F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06FEA3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638123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5E1853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5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D7DE41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5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761CA3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355576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2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1C44D9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89D60E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8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E5AAC8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D59EC3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2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386C17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5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97929C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5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E04602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EAA4AD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8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BC548A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6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042E37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2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6DC608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30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52D069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31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122C21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33BB9C">
            <w:pPr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</w:tr>
      <w:tr w14:paraId="1AC4C3F8">
        <w:trPr>
          <w:trHeight w:val="280" w:hRule="atLeast"/>
        </w:trPr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59190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建设期</w:t>
            </w: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E078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35AB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C4A24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5263D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8BFDD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5429F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9B697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E76C1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E90EB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A7A29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D5B38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17BDE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9A553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84B66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177A0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6FA5B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F6EF7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0E7E0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C56AA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7F458CDF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</w:tr>
      <w:tr w14:paraId="581AA4A1">
        <w:trPr>
          <w:trHeight w:val="280" w:hRule="atLeast"/>
        </w:trPr>
        <w:tc>
          <w:tcPr>
            <w:tcW w:w="250" w:type="pct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EBEB0">
            <w:pPr>
              <w:jc w:val="center"/>
              <w:rPr>
                <w:rFonts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运营期</w:t>
            </w: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6254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FF4B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50%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D1DD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850.00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E0AB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DA0B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4.83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A5F1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F0FC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8.00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8D535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3B2E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30.95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2665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30%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DC49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0.60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BC7A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6E94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FDE4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FE87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57.02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61BC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50%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4BFD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35.00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0826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8A26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598.27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37CA5D1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691.07</w:t>
            </w:r>
          </w:p>
        </w:tc>
      </w:tr>
      <w:tr w14:paraId="72F312FF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112AA75B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312F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3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C784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046F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850.00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F4AA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0735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5.32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595B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C6CE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8.00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AF6A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5D7A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34.82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F4A8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C137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0.60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3629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A3B0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8802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7FEA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76.03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11AE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18EF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35.00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5A5E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9FCB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658.10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5B60A6A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774.27</w:t>
            </w:r>
          </w:p>
        </w:tc>
      </w:tr>
      <w:tr w14:paraId="006DF0DA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722CC0FC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4899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F646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BE1F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850.00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8A80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40D7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5.80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43ED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50%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AD14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8.00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B378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E32B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38.69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CC6A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D367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0.60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FC94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A724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F64D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C4B6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95.04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6345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3D49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35.00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F61A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0F68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717.92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549DF30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857.45</w:t>
            </w:r>
          </w:p>
        </w:tc>
      </w:tr>
      <w:tr w14:paraId="222B6685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14BD9019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DCBB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C755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E94E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850.00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4076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D33A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6.29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2F50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E7D8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8.00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1C30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31B4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46.43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BA20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55%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2E76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0.60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3B7C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F107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7424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7701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104.54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426A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CB2A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35.00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EC1E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0AF5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777.75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5EF2F42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935.01</w:t>
            </w:r>
          </w:p>
        </w:tc>
      </w:tr>
      <w:tr w14:paraId="74749DBB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7608CB37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8E11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FD63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70%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AECC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850.00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A697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D6FB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6.77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2DB9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F77E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8.00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8251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408D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46.43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5363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DC8B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0.60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96A5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2955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88B8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E121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114.05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7BCF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70%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A133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35.00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F447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2B19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837.58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48C3FF2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1004.83</w:t>
            </w:r>
          </w:p>
        </w:tc>
      </w:tr>
      <w:tr w14:paraId="367C0931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38D3FB48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BC5C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0691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BAD5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892.50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56EE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C18E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7.61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58F8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0B81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8.40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40AA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A560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52.81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339F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3700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0.66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D985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9BBE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ABAF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3E0C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125.45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3624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EF14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36.75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BDBD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D517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942.27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5F1A5EC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1128.14</w:t>
            </w:r>
          </w:p>
        </w:tc>
      </w:tr>
      <w:tr w14:paraId="04575DD5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4F7977C3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4615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5FC0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15FD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892.50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6DC2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79EC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7.61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3FCE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93ED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8.40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CCF0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EB18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52.81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D898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1885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0.66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9117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0704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0306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DCCB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125.45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4490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2474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36.75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4DE9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CD78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942.27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1784E2C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1128.14</w:t>
            </w:r>
          </w:p>
        </w:tc>
      </w:tr>
      <w:tr w14:paraId="08688A1B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26B75A5F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2A58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4528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DF66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892.50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1C71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EE3A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7.61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0E0B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91B1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8.40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199C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4246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52.81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5727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4FA0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0.66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98EC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6474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9150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7B9C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125.45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EEF3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C0EB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36.75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D2E0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B177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942.27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637FD2B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1128.14</w:t>
            </w:r>
          </w:p>
        </w:tc>
      </w:tr>
      <w:tr w14:paraId="7DD86BDB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2D86F48B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03DF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5A21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82E2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892.50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ED02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34C8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7.61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C401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2C8A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8.40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7BD7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BD35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52.81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8C13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A70A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0.66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02CD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588E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1DA5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2F07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125.45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FAE1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59BC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36.75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6778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3C25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942.27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5B43771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1128.14</w:t>
            </w:r>
          </w:p>
        </w:tc>
      </w:tr>
      <w:tr w14:paraId="7586AA4D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72AEAE10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87F3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648D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609D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892.50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583B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A8C7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7.61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BD00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78C3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8.40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B936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33D9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52.81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DF1B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FC87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0.66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B1B4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36C8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683A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5820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125.45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8F5C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A44A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36.75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7FD8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5F57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942.27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40A7A74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1128.14</w:t>
            </w:r>
          </w:p>
        </w:tc>
      </w:tr>
      <w:tr w14:paraId="2B9907C5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4A4048E1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8B1C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941E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1817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937.13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FE66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6DE2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8.00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544C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B57A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8.82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DD28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2FF8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55.45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1C08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2BC0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0.73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5187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93E1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0BC1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DC62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138.00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7BEB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CC96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38.59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63F9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35EC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989.45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3587AB9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1190.90</w:t>
            </w:r>
          </w:p>
        </w:tc>
      </w:tr>
      <w:tr w14:paraId="5EFB41E0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28CBDE0B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21EC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13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4209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25E2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937.13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73B5B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F37B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8.00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992F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8EB9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8.82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21CF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D791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55.45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BF12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E3D2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0.73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DDE8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FED6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3D0B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A510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138.00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31F8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D81C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38.59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8227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FA03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989.45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7B51A45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1190.90</w:t>
            </w:r>
          </w:p>
        </w:tc>
      </w:tr>
      <w:tr w14:paraId="0C6324E5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681B1D6B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4730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14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EAA1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1060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937.13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23A0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8EA9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8.00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CB11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1CFE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8.82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3004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E98C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55.45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712B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5877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0.73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BA92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5998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FD81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2A4F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138.00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FFFD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76A1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38.59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F00E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1748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989.45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78FF5E9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1190.90</w:t>
            </w:r>
          </w:p>
        </w:tc>
      </w:tr>
      <w:tr w14:paraId="15F1C200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528B294D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C4D1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15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5FDD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8DBF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937.13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B033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7648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8.00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9033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DED5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8.82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7D71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339B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55.45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9E95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9697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0.73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1248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2038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E921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71E6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138.00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50E3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DFB9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38.59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9938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D09B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989.45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66F9A3D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1190.90</w:t>
            </w:r>
          </w:p>
        </w:tc>
      </w:tr>
      <w:tr w14:paraId="09FA42D2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76AC41DA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74FD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16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DD61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A65E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937.13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32D7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35DE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8.00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671E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CCF5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8.82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A0E7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A0CB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55.45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6199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0017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0.73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25A6C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CB52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E794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05A9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138.00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0F22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5C59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38.59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9082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A3D5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989.45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0C3F506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1190.90</w:t>
            </w:r>
          </w:p>
        </w:tc>
      </w:tr>
      <w:tr w14:paraId="201B94E3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60E22CF5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3957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17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99D4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32BE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983.99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7C32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5F28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8.40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6E71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C04F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9.26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8617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0AA6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58.22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577B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ED34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0.80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CAAF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824A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2900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C3E7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151.80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5914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4460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40.52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EB16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8FE8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1038.94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011A7FA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1257.36</w:t>
            </w:r>
          </w:p>
        </w:tc>
      </w:tr>
      <w:tr w14:paraId="1E71C6C0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5D2B798B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2A25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18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B8D9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3E8D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983.99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789A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8521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8.40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2EDD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B19B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9.26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6355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8CC0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58.22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813C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B1D4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0.80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EBC7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0868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6DC5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ED26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151.80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AEEF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E7E5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40.52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22FD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3241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1038.94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666BD13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1257.36</w:t>
            </w:r>
          </w:p>
        </w:tc>
      </w:tr>
      <w:tr w14:paraId="76E5CC96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0DE269B4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DC97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19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711C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2E66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983.99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AEAE3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EBD9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8.40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D020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2D5A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9.26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A3F3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887A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58.22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A28D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D283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0.80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C2EE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02FD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8D08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4C16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151.80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D727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E74A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40.52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E616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C209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1038.94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286BD93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1257.36</w:t>
            </w:r>
          </w:p>
        </w:tc>
      </w:tr>
      <w:tr w14:paraId="3CBFC7AE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68E684B6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E1B7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FE2B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A767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983.99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F1B7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E015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8.40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667A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2839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9.26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F64F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03BA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58.22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D683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4953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0.80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D73D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2BC0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5259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0477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151.80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31EE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5B9B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40.52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1AE7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EEC0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1038.94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4C42092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1257.36</w:t>
            </w:r>
          </w:p>
        </w:tc>
      </w:tr>
      <w:tr w14:paraId="2E5A8181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245C379A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DDD2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21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AACB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19AA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983.99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64BA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07FA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8.40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F43C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7122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9.26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0A0F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ADC3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58.22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E4F2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FF8C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0.80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7507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5E5B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9FE6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0E73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151.80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22AB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DF8E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40.52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3E11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ED10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1038.94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4104B5D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1257.36</w:t>
            </w:r>
          </w:p>
        </w:tc>
      </w:tr>
      <w:tr w14:paraId="02B7ED4F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6126F7EB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1EC3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22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F6E1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E609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1033.19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C2F3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CFB6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8.82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623E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CD0E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9.72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7025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2787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61.11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4161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F63C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0.88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41F8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9CA5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45F1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00BE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166.98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693D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3360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42.55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DE72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A311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1090.99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360927D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1327.90</w:t>
            </w:r>
          </w:p>
        </w:tc>
      </w:tr>
      <w:tr w14:paraId="2944FD25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6517AC77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036F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23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A45A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EE4E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1033.19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0EFA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5A87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8.82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CA0D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2459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9.72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5BA8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2B29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61.11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A8FB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759B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0.88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A525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6CE8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D8D3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F936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166.98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7C6F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9C48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42.55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663F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5AF2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1090.99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50EE573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1327.90</w:t>
            </w:r>
          </w:p>
        </w:tc>
      </w:tr>
      <w:tr w14:paraId="447885FE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56B034A7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0DE0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24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3B4C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BDDA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1033.19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3774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3EBA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8.82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4787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DCD9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9.72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5C0D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431A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61.11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0BD6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0444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0.88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7784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D657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AC99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3AE1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166.98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BAB0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E498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42.55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762D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683D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1090.99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0AEC33A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1327.90</w:t>
            </w:r>
          </w:p>
        </w:tc>
      </w:tr>
      <w:tr w14:paraId="0598CD07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5EB94AFF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EFDC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25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B107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3762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1033.19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8969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6630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8.82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17ED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B2D7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9.72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CB6C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DBE9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61.11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6C60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80CE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0.88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2E3C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8896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B2A6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674E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166.98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09B2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E5A4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42.55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A331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665A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1090.99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7B1673F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1327.90</w:t>
            </w:r>
          </w:p>
        </w:tc>
      </w:tr>
      <w:tr w14:paraId="2957DCDC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51FE3340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0F07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5293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B211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1033.19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1175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A4AD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8.82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5DDE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F429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9.72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B240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1F3B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61.11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F7EC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FAD8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0.88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1CD7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446D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F770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74E1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166.98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AD74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2080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42.55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BB03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4117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1090.99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1D0FA44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1327.90</w:t>
            </w:r>
          </w:p>
        </w:tc>
      </w:tr>
      <w:tr w14:paraId="757575F6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2AC0B5D2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C013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27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7A99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112E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1084.85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F82E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EE24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9.26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B239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05BD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10.21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08AD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A5ED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64.19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58C6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7AA5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0.97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E8AC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FF61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F914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596A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183.68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2601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DF64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44.68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DCF0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CBD4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1145.60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6A451B6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1402.73</w:t>
            </w:r>
          </w:p>
        </w:tc>
      </w:tr>
      <w:tr w14:paraId="39EEA1FA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363B59C6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FE11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9FE61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0815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1084.85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FBA7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1D78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9.26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61D9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A626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10.21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DF1D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4B36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64.19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469D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D1FB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0.97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69BA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F20C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93F7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4BBE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183.68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8860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B560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44.68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EF71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A3D4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1145.60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0A5E3D7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1402.73</w:t>
            </w:r>
          </w:p>
        </w:tc>
      </w:tr>
      <w:tr w14:paraId="654559A9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12C8B4F0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208B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29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64BA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0E4F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1084.85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D950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BF71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9.26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28E8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3EB0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10.21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D292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1092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64.19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7D47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D8EE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0.97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0E37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2AC5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9445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092A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183.68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7F074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08AC6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44.68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8B8DB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864C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1145.60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442E069F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1402.73</w:t>
            </w:r>
          </w:p>
        </w:tc>
      </w:tr>
      <w:tr w14:paraId="2C44BFD4">
        <w:trPr>
          <w:trHeight w:val="280" w:hRule="atLeast"/>
        </w:trPr>
        <w:tc>
          <w:tcPr>
            <w:tcW w:w="250" w:type="pct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308D890E">
            <w:pPr>
              <w:rPr>
                <w:rFonts w:cs="宋体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F9DB3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30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1BE0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4293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1084.85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E545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113.76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63EE9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9.26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8380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B288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10.21</w:t>
            </w: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ED322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265.00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67E3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64.19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4ED08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60%</w:t>
            </w: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618B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0.97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EB890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40.00</w:t>
            </w: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B39DE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120.00</w:t>
            </w: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7AD0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2.00</w:t>
            </w: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6966D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183.68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5B11C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75%</w:t>
            </w: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84D0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44.68</w:t>
            </w: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FAE75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28489.00</w:t>
            </w: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478BA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1145.60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72D83037">
            <w:pPr>
              <w:jc w:val="center"/>
              <w:rPr>
                <w:rFonts w:hint="eastAsia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color w:val="000000"/>
                <w:kern w:val="0"/>
                <w:sz w:val="16"/>
                <w:szCs w:val="16"/>
              </w:rPr>
              <w:t>1402.73</w:t>
            </w:r>
          </w:p>
        </w:tc>
      </w:tr>
      <w:tr w14:paraId="2767DB66">
        <w:trPr>
          <w:trHeight w:val="280" w:hRule="atLeast"/>
        </w:trPr>
        <w:tc>
          <w:tcPr>
            <w:tcW w:w="44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FF0B2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合计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1BDD9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CF7DC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D9E72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447FD">
            <w:pPr>
              <w:jc w:val="center"/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230.20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AA72E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C4356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2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019D9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C9157">
            <w:pPr>
              <w:jc w:val="center"/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1592.03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0AC04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40792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33818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BB234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06BA7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2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EBBC3">
            <w:pPr>
              <w:jc w:val="center"/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4092.55</w:t>
            </w:r>
          </w:p>
        </w:tc>
        <w:tc>
          <w:tcPr>
            <w:tcW w:w="1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5F65D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93568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3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2DF00">
            <w:pPr>
              <w:jc w:val="center"/>
              <w:rPr>
                <w:rFonts w:ascii="Times New Roman" w:hAnsi="Times New Roman" w:eastAsia="Times New Roman"/>
                <w:kern w:val="0"/>
                <w:sz w:val="16"/>
                <w:szCs w:val="16"/>
              </w:rPr>
            </w:pPr>
          </w:p>
        </w:tc>
        <w:tc>
          <w:tcPr>
            <w:tcW w:w="3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1E588">
            <w:pPr>
              <w:jc w:val="center"/>
              <w:rPr>
                <w:rFonts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28480.27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E0B4"/>
            <w:noWrap/>
            <w:vAlign w:val="center"/>
          </w:tcPr>
          <w:p w14:paraId="71AF66C6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6"/>
                <w:szCs w:val="16"/>
              </w:rPr>
              <w:t>34395.05</w:t>
            </w:r>
          </w:p>
        </w:tc>
      </w:tr>
    </w:tbl>
    <w:p w14:paraId="34A1EEA2">
      <w:pPr>
        <w:pStyle w:val="6"/>
        <w:ind w:firstLine="562"/>
        <w:rPr>
          <w:rFonts w:hint="default"/>
          <w:b/>
          <w:bCs/>
        </w:rPr>
      </w:pPr>
    </w:p>
    <w:p w14:paraId="434C95CB">
      <w:pPr>
        <w:pStyle w:val="6"/>
        <w:ind w:firstLine="0" w:firstLineChars="0"/>
        <w:rPr>
          <w:rFonts w:hint="default"/>
          <w:b/>
          <w:bCs/>
        </w:rPr>
        <w:sectPr>
          <w:headerReference r:id="rId11" w:type="default"/>
          <w:pgSz w:w="16839" w:h="11906" w:orient="landscape"/>
          <w:pgMar w:top="1785" w:right="1140" w:bottom="1785" w:left="1057" w:header="480" w:footer="712" w:gutter="0"/>
          <w:pgNumType w:fmt="decimal"/>
          <w:cols w:space="720" w:num="1"/>
        </w:sectPr>
      </w:pPr>
    </w:p>
    <w:p w14:paraId="6C1B5786">
      <w:pPr>
        <w:pStyle w:val="4"/>
        <w:bidi w:val="0"/>
        <w:ind w:left="0" w:leftChars="0" w:firstLine="0" w:firstLineChars="0"/>
        <w:rPr>
          <w:rFonts w:hint="eastAsia"/>
        </w:rPr>
      </w:pPr>
      <w:bookmarkStart w:id="30" w:name="_Toc187684091"/>
      <w:r>
        <w:rPr>
          <w:rFonts w:hint="eastAsia"/>
        </w:rPr>
        <w:t>运营成本费用估算</w:t>
      </w:r>
      <w:bookmarkEnd w:id="30"/>
    </w:p>
    <w:p w14:paraId="6FF99428">
      <w:pPr>
        <w:pStyle w:val="6"/>
        <w:ind w:firstLine="560"/>
        <w:rPr>
          <w:rFonts w:hint="default"/>
        </w:rPr>
      </w:pPr>
      <w:r>
        <w:rPr>
          <w:rFonts w:ascii="仿宋" w:hAnsi="仿宋" w:cs="仿宋"/>
        </w:rPr>
        <w:t>该项目</w:t>
      </w:r>
      <w:r>
        <w:t>该项目建成后的经营成本主要包括外购燃料及动力费、工资及福利费、其他费用、税金及附加等各项费用支出。</w:t>
      </w:r>
    </w:p>
    <w:p w14:paraId="54B5B2B3">
      <w:pPr>
        <w:pStyle w:val="15"/>
        <w:bidi w:val="0"/>
        <w:ind w:left="0" w:leftChars="0" w:firstLine="0" w:firstLineChars="0"/>
        <w:rPr>
          <w:rFonts w:hint="eastAsia"/>
        </w:rPr>
      </w:pPr>
      <w:bookmarkStart w:id="31" w:name="_Toc25485"/>
      <w:bookmarkStart w:id="32" w:name="_Toc10201"/>
      <w:r>
        <w:rPr>
          <w:rFonts w:hint="eastAsia"/>
        </w:rPr>
        <w:t>燃料及动力费</w:t>
      </w:r>
      <w:bookmarkEnd w:id="31"/>
      <w:bookmarkEnd w:id="32"/>
    </w:p>
    <w:p w14:paraId="599553B8">
      <w:pPr>
        <w:pStyle w:val="6"/>
        <w:ind w:firstLine="560"/>
        <w:rPr>
          <w:rFonts w:hint="default"/>
        </w:rPr>
      </w:pPr>
      <w:bookmarkStart w:id="33" w:name="_Toc11661"/>
      <w:bookmarkStart w:id="34" w:name="_Toc31123"/>
      <w:r>
        <w:t>主要为水、电的消耗，水电由运营单位承担。本项目燃料动力费考虑为项目管理人员的办公用电、用水等费用。其燃料及动力费按运营收入的5%计算。</w:t>
      </w:r>
    </w:p>
    <w:p w14:paraId="50B999C0">
      <w:pPr>
        <w:pStyle w:val="15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人员工资及福利</w:t>
      </w:r>
      <w:bookmarkEnd w:id="33"/>
      <w:bookmarkEnd w:id="34"/>
    </w:p>
    <w:p w14:paraId="7B4C47C4">
      <w:pPr>
        <w:pStyle w:val="6"/>
        <w:ind w:firstLine="560"/>
        <w:rPr>
          <w:rFonts w:hint="default"/>
        </w:rPr>
      </w:pPr>
      <w:r>
        <w:t>本项目运营期需新增劳动定员20人，工资确定过程如下：</w:t>
      </w:r>
    </w:p>
    <w:p w14:paraId="386A356C">
      <w:pPr>
        <w:pStyle w:val="6"/>
        <w:ind w:firstLine="560"/>
        <w:rPr>
          <w:rFonts w:hint="default"/>
        </w:rPr>
      </w:pPr>
      <w:r>
        <w:t>管理人员5人，月工资4500元；普通员工15人，月工资4000元；</w:t>
      </w:r>
    </w:p>
    <w:p w14:paraId="5D903697">
      <w:pPr>
        <w:pStyle w:val="6"/>
        <w:ind w:firstLine="560"/>
        <w:rPr>
          <w:rFonts w:hint="default"/>
        </w:rPr>
      </w:pPr>
      <w:r>
        <w:t>平均薪资参照江西省平均薪酬标准，人均薪资4166元/月，50000元/年，在平均薪酬基础上略作下浮。江西省2022年人均收入标准如下图所示。</w:t>
      </w:r>
    </w:p>
    <w:p w14:paraId="008B2E34">
      <w:pPr>
        <w:pStyle w:val="6"/>
        <w:ind w:firstLine="0" w:firstLineChars="0"/>
        <w:rPr>
          <w:rFonts w:hint="default"/>
        </w:rPr>
      </w:pPr>
      <w:r>
        <w:rPr>
          <w:rFonts w:hint="default" w:ascii="仿宋" w:hAnsi="仿宋" w:cs="仿宋"/>
        </w:rPr>
        <w:drawing>
          <wp:inline distT="0" distB="0" distL="114300" distR="114300">
            <wp:extent cx="5374640" cy="3966845"/>
            <wp:effectExtent l="0" t="0" r="10160" b="20955"/>
            <wp:docPr id="39" name="图片 4" descr="b9d6a8deba543ccb54dbcad9705e5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" descr="b9d6a8deba543ccb54dbcad9705e5f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5708" cy="3967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83137">
      <w:pPr>
        <w:pStyle w:val="6"/>
        <w:ind w:firstLine="560"/>
        <w:rPr>
          <w:rFonts w:hint="default"/>
        </w:rPr>
      </w:pPr>
      <w:bookmarkStart w:id="35" w:name="_Toc2868"/>
      <w:bookmarkStart w:id="36" w:name="_Toc28460"/>
      <w:r>
        <w:t>根据“收益单价增长率预测区间”分析结果，当地社会经济的发展与通货膨胀等原因，员工工资每五年增长10%。</w:t>
      </w:r>
    </w:p>
    <w:p w14:paraId="7C051140">
      <w:pPr>
        <w:pStyle w:val="15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修理费用</w:t>
      </w:r>
      <w:bookmarkEnd w:id="35"/>
      <w:bookmarkEnd w:id="36"/>
    </w:p>
    <w:p w14:paraId="6973BCCF">
      <w:pPr>
        <w:pStyle w:val="6"/>
        <w:ind w:firstLine="560"/>
        <w:rPr>
          <w:rFonts w:ascii="仿宋" w:hAnsi="仿宋" w:cs="仿宋"/>
          <w:i/>
          <w:iCs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本项目固定资产原值采用直线折旧法，修理费用按照年折旧金额的5%计取。考虑到建筑和设备维修成本会随着使用年限增长而增加，因此项目修理费用按照每五年增长5%考虑。</w:t>
      </w:r>
    </w:p>
    <w:p w14:paraId="181F3515">
      <w:pPr>
        <w:pStyle w:val="15"/>
        <w:bidi w:val="0"/>
        <w:ind w:left="0" w:leftChars="0" w:firstLine="0" w:firstLineChars="0"/>
        <w:rPr>
          <w:rFonts w:hint="eastAsia"/>
        </w:rPr>
      </w:pPr>
      <w:bookmarkStart w:id="37" w:name="_Toc15377"/>
      <w:bookmarkStart w:id="38" w:name="_Toc28453"/>
      <w:r>
        <w:rPr>
          <w:rFonts w:hint="eastAsia"/>
        </w:rPr>
        <w:t>其他费用</w:t>
      </w:r>
      <w:bookmarkEnd w:id="37"/>
      <w:bookmarkEnd w:id="38"/>
    </w:p>
    <w:p w14:paraId="00441EFB">
      <w:pPr>
        <w:pStyle w:val="6"/>
        <w:ind w:firstLine="560"/>
        <w:rPr>
          <w:rFonts w:ascii="仿宋" w:hAnsi="仿宋" w:cs="仿宋"/>
        </w:rPr>
      </w:pPr>
      <w:r>
        <w:rPr>
          <w:rFonts w:ascii="仿宋" w:hAnsi="仿宋" w:cs="仿宋"/>
        </w:rPr>
        <w:t>其他费用是指企业为管理和组织经营活动的各项费用，包括工会经费、职工教育经费、劳动保险费、待业保险费、董事会费、咨询费、审计费、诉讼费、排污费、税金</w:t>
      </w: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、土地损失补偿费、技术开发费、业务招待费等项费用。其他费用按照年度经营收入的2%估算。</w:t>
      </w:r>
    </w:p>
    <w:p w14:paraId="50652713">
      <w:pPr>
        <w:pStyle w:val="15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增值税及附加</w:t>
      </w:r>
    </w:p>
    <w:p w14:paraId="5398DDF7">
      <w:pPr>
        <w:pStyle w:val="6"/>
        <w:ind w:firstLine="560"/>
        <w:rPr>
          <w:rFonts w:hint="default"/>
        </w:rPr>
      </w:pPr>
      <w:r>
        <w:t>根据《财政部国家税务总局关于全面推开营业税改征增值税试点的通知》（财税〔2016〕36号）文件，本项目增值税及附加税费率取值如下</w:t>
      </w:r>
      <w:r>
        <w:fldChar w:fldCharType="begin"/>
      </w:r>
      <w:r>
        <w:instrText xml:space="preserve"> REF _Ref7598 \h </w:instrText>
      </w:r>
      <w:r>
        <w:fldChar w:fldCharType="separate"/>
      </w:r>
      <w:r>
        <w:t>表7-</w:t>
      </w:r>
      <w:r>
        <w:fldChar w:fldCharType="end"/>
      </w:r>
      <w:r>
        <w:t>所示。以产生实际收益的收益项包括：</w:t>
      </w:r>
    </w:p>
    <w:p w14:paraId="2A8841B2">
      <w:pPr>
        <w:pStyle w:val="5"/>
        <w:rPr>
          <w:rFonts w:hint="eastAsia"/>
          <w:szCs w:val="20"/>
        </w:rPr>
      </w:pPr>
      <w:bookmarkStart w:id="39" w:name="_Ref7598"/>
      <w:r>
        <w:t>表</w:t>
      </w:r>
      <w:r>
        <w:rPr>
          <w:rFonts w:hint="eastAsia"/>
        </w:rPr>
        <w:t>7-</w:t>
      </w:r>
      <w:bookmarkEnd w:id="39"/>
      <w:r>
        <w:rPr>
          <w:rFonts w:hint="eastAsia"/>
        </w:rPr>
        <w:t>7：项目增值税及附加税费率取值表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8"/>
        <w:gridCol w:w="651"/>
        <w:gridCol w:w="843"/>
        <w:gridCol w:w="1938"/>
        <w:gridCol w:w="1476"/>
        <w:gridCol w:w="1748"/>
      </w:tblGrid>
      <w:tr w14:paraId="4BB11578">
        <w:trPr>
          <w:trHeight w:val="170" w:hRule="atLeast"/>
        </w:trPr>
        <w:tc>
          <w:tcPr>
            <w:tcW w:w="1858" w:type="dxa"/>
            <w:vMerge w:val="restart"/>
            <w:vAlign w:val="center"/>
          </w:tcPr>
          <w:p w14:paraId="484D11E5">
            <w:pPr>
              <w:pStyle w:val="17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计税项</w:t>
            </w:r>
          </w:p>
        </w:tc>
        <w:tc>
          <w:tcPr>
            <w:tcW w:w="1494" w:type="dxa"/>
            <w:gridSpan w:val="2"/>
            <w:vAlign w:val="center"/>
          </w:tcPr>
          <w:p w14:paraId="4FB45BED">
            <w:pPr>
              <w:pStyle w:val="17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增值税</w:t>
            </w:r>
          </w:p>
        </w:tc>
        <w:tc>
          <w:tcPr>
            <w:tcW w:w="5162" w:type="dxa"/>
            <w:gridSpan w:val="3"/>
            <w:vAlign w:val="center"/>
          </w:tcPr>
          <w:p w14:paraId="553775DA">
            <w:pPr>
              <w:pStyle w:val="17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附加税</w:t>
            </w:r>
          </w:p>
        </w:tc>
      </w:tr>
      <w:tr w14:paraId="0C6F994F">
        <w:trPr>
          <w:trHeight w:val="170" w:hRule="atLeast"/>
        </w:trPr>
        <w:tc>
          <w:tcPr>
            <w:tcW w:w="1858" w:type="dxa"/>
            <w:vMerge w:val="continue"/>
            <w:vAlign w:val="center"/>
          </w:tcPr>
          <w:p w14:paraId="63917E4C">
            <w:pPr>
              <w:pStyle w:val="17"/>
              <w:rPr>
                <w:b/>
                <w:bCs w:val="0"/>
              </w:rPr>
            </w:pPr>
          </w:p>
        </w:tc>
        <w:tc>
          <w:tcPr>
            <w:tcW w:w="651" w:type="dxa"/>
            <w:vAlign w:val="center"/>
          </w:tcPr>
          <w:p w14:paraId="5FA7246A">
            <w:pPr>
              <w:pStyle w:val="17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销项</w:t>
            </w:r>
          </w:p>
        </w:tc>
        <w:tc>
          <w:tcPr>
            <w:tcW w:w="843" w:type="dxa"/>
            <w:vAlign w:val="center"/>
          </w:tcPr>
          <w:p w14:paraId="2A2CEB8C">
            <w:pPr>
              <w:pStyle w:val="17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进项</w:t>
            </w:r>
          </w:p>
        </w:tc>
        <w:tc>
          <w:tcPr>
            <w:tcW w:w="1938" w:type="dxa"/>
            <w:vAlign w:val="center"/>
          </w:tcPr>
          <w:p w14:paraId="18552910">
            <w:pPr>
              <w:pStyle w:val="17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城市建设附加</w:t>
            </w:r>
          </w:p>
        </w:tc>
        <w:tc>
          <w:tcPr>
            <w:tcW w:w="1476" w:type="dxa"/>
            <w:vAlign w:val="center"/>
          </w:tcPr>
          <w:p w14:paraId="1614FE11">
            <w:pPr>
              <w:pStyle w:val="17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教育附加</w:t>
            </w:r>
          </w:p>
        </w:tc>
        <w:tc>
          <w:tcPr>
            <w:tcW w:w="1748" w:type="dxa"/>
            <w:vAlign w:val="center"/>
          </w:tcPr>
          <w:p w14:paraId="3E638EF1">
            <w:pPr>
              <w:pStyle w:val="17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地方教育附加</w:t>
            </w:r>
          </w:p>
        </w:tc>
      </w:tr>
      <w:tr w14:paraId="222E1791">
        <w:trPr>
          <w:trHeight w:val="170" w:hRule="atLeast"/>
        </w:trPr>
        <w:tc>
          <w:tcPr>
            <w:tcW w:w="1858" w:type="dxa"/>
            <w:vAlign w:val="center"/>
          </w:tcPr>
          <w:p w14:paraId="30591270">
            <w:pPr>
              <w:pStyle w:val="17"/>
            </w:pPr>
            <w:r>
              <w:rPr>
                <w:rFonts w:hint="eastAsia"/>
              </w:rPr>
              <w:t>建筑工程费</w:t>
            </w:r>
          </w:p>
        </w:tc>
        <w:tc>
          <w:tcPr>
            <w:tcW w:w="651" w:type="dxa"/>
            <w:vAlign w:val="center"/>
          </w:tcPr>
          <w:p w14:paraId="64252901">
            <w:pPr>
              <w:pStyle w:val="17"/>
            </w:pPr>
          </w:p>
        </w:tc>
        <w:tc>
          <w:tcPr>
            <w:tcW w:w="843" w:type="dxa"/>
            <w:vAlign w:val="center"/>
          </w:tcPr>
          <w:p w14:paraId="00A2EECC">
            <w:pPr>
              <w:pStyle w:val="17"/>
            </w:pPr>
            <w:r>
              <w:rPr>
                <w:rFonts w:hint="eastAsia"/>
              </w:rPr>
              <w:t>9%</w:t>
            </w:r>
          </w:p>
        </w:tc>
        <w:tc>
          <w:tcPr>
            <w:tcW w:w="1938" w:type="dxa"/>
            <w:vAlign w:val="center"/>
          </w:tcPr>
          <w:p w14:paraId="05AFBD03">
            <w:pPr>
              <w:pStyle w:val="17"/>
            </w:pPr>
          </w:p>
        </w:tc>
        <w:tc>
          <w:tcPr>
            <w:tcW w:w="1476" w:type="dxa"/>
            <w:vAlign w:val="center"/>
          </w:tcPr>
          <w:p w14:paraId="41F2D8B5">
            <w:pPr>
              <w:pStyle w:val="17"/>
            </w:pPr>
          </w:p>
        </w:tc>
        <w:tc>
          <w:tcPr>
            <w:tcW w:w="1748" w:type="dxa"/>
            <w:vAlign w:val="center"/>
          </w:tcPr>
          <w:p w14:paraId="1C707B12">
            <w:pPr>
              <w:pStyle w:val="17"/>
            </w:pPr>
          </w:p>
        </w:tc>
      </w:tr>
      <w:tr w14:paraId="6C9263E1">
        <w:trPr>
          <w:trHeight w:val="170" w:hRule="atLeast"/>
        </w:trPr>
        <w:tc>
          <w:tcPr>
            <w:tcW w:w="1858" w:type="dxa"/>
            <w:vAlign w:val="center"/>
          </w:tcPr>
          <w:p w14:paraId="5D4AC7BA">
            <w:pPr>
              <w:pStyle w:val="17"/>
            </w:pPr>
            <w:r>
              <w:rPr>
                <w:rFonts w:hint="eastAsia"/>
              </w:rPr>
              <w:t>安装工程费</w:t>
            </w:r>
          </w:p>
        </w:tc>
        <w:tc>
          <w:tcPr>
            <w:tcW w:w="651" w:type="dxa"/>
            <w:vAlign w:val="center"/>
          </w:tcPr>
          <w:p w14:paraId="18DD114D">
            <w:pPr>
              <w:pStyle w:val="17"/>
            </w:pPr>
          </w:p>
        </w:tc>
        <w:tc>
          <w:tcPr>
            <w:tcW w:w="843" w:type="dxa"/>
            <w:vAlign w:val="center"/>
          </w:tcPr>
          <w:p w14:paraId="73ED6B92">
            <w:pPr>
              <w:pStyle w:val="17"/>
            </w:pPr>
            <w:r>
              <w:rPr>
                <w:rFonts w:hint="eastAsia"/>
              </w:rPr>
              <w:t>9%</w:t>
            </w:r>
          </w:p>
        </w:tc>
        <w:tc>
          <w:tcPr>
            <w:tcW w:w="1938" w:type="dxa"/>
            <w:vAlign w:val="center"/>
          </w:tcPr>
          <w:p w14:paraId="7644AD82">
            <w:pPr>
              <w:pStyle w:val="17"/>
            </w:pPr>
          </w:p>
        </w:tc>
        <w:tc>
          <w:tcPr>
            <w:tcW w:w="1476" w:type="dxa"/>
            <w:vAlign w:val="center"/>
          </w:tcPr>
          <w:p w14:paraId="43C13C9A">
            <w:pPr>
              <w:pStyle w:val="17"/>
            </w:pPr>
          </w:p>
        </w:tc>
        <w:tc>
          <w:tcPr>
            <w:tcW w:w="1748" w:type="dxa"/>
            <w:vAlign w:val="center"/>
          </w:tcPr>
          <w:p w14:paraId="673EBAD5">
            <w:pPr>
              <w:pStyle w:val="17"/>
            </w:pPr>
          </w:p>
        </w:tc>
      </w:tr>
      <w:tr w14:paraId="42E171CD">
        <w:trPr>
          <w:trHeight w:val="170" w:hRule="atLeast"/>
        </w:trPr>
        <w:tc>
          <w:tcPr>
            <w:tcW w:w="1858" w:type="dxa"/>
            <w:vAlign w:val="center"/>
          </w:tcPr>
          <w:p w14:paraId="470E9B29">
            <w:pPr>
              <w:pStyle w:val="17"/>
            </w:pPr>
            <w:r>
              <w:rPr>
                <w:rFonts w:hint="eastAsia"/>
              </w:rPr>
              <w:t>设备购置费</w:t>
            </w:r>
          </w:p>
        </w:tc>
        <w:tc>
          <w:tcPr>
            <w:tcW w:w="651" w:type="dxa"/>
            <w:vAlign w:val="center"/>
          </w:tcPr>
          <w:p w14:paraId="16634771">
            <w:pPr>
              <w:pStyle w:val="17"/>
            </w:pPr>
          </w:p>
        </w:tc>
        <w:tc>
          <w:tcPr>
            <w:tcW w:w="843" w:type="dxa"/>
            <w:vAlign w:val="center"/>
          </w:tcPr>
          <w:p w14:paraId="79B881D4">
            <w:pPr>
              <w:pStyle w:val="17"/>
            </w:pPr>
            <w:r>
              <w:rPr>
                <w:rFonts w:hint="eastAsia"/>
              </w:rPr>
              <w:t>13%</w:t>
            </w:r>
          </w:p>
        </w:tc>
        <w:tc>
          <w:tcPr>
            <w:tcW w:w="1938" w:type="dxa"/>
            <w:vAlign w:val="center"/>
          </w:tcPr>
          <w:p w14:paraId="3659A2AB">
            <w:pPr>
              <w:pStyle w:val="17"/>
            </w:pPr>
          </w:p>
        </w:tc>
        <w:tc>
          <w:tcPr>
            <w:tcW w:w="1476" w:type="dxa"/>
            <w:vAlign w:val="center"/>
          </w:tcPr>
          <w:p w14:paraId="27C24F51">
            <w:pPr>
              <w:pStyle w:val="17"/>
            </w:pPr>
          </w:p>
        </w:tc>
        <w:tc>
          <w:tcPr>
            <w:tcW w:w="1748" w:type="dxa"/>
            <w:vAlign w:val="center"/>
          </w:tcPr>
          <w:p w14:paraId="64699E0E">
            <w:pPr>
              <w:pStyle w:val="17"/>
            </w:pPr>
          </w:p>
        </w:tc>
      </w:tr>
      <w:tr w14:paraId="24B1DE52">
        <w:trPr>
          <w:trHeight w:val="170" w:hRule="atLeast"/>
        </w:trPr>
        <w:tc>
          <w:tcPr>
            <w:tcW w:w="1858" w:type="dxa"/>
            <w:vAlign w:val="center"/>
          </w:tcPr>
          <w:p w14:paraId="5DD7A2D5">
            <w:pPr>
              <w:pStyle w:val="17"/>
            </w:pPr>
            <w:r>
              <w:rPr>
                <w:rFonts w:hint="eastAsia"/>
              </w:rPr>
              <w:t>工程建设其他费</w:t>
            </w:r>
          </w:p>
        </w:tc>
        <w:tc>
          <w:tcPr>
            <w:tcW w:w="651" w:type="dxa"/>
            <w:vAlign w:val="center"/>
          </w:tcPr>
          <w:p w14:paraId="348EABA8">
            <w:pPr>
              <w:pStyle w:val="17"/>
            </w:pPr>
          </w:p>
        </w:tc>
        <w:tc>
          <w:tcPr>
            <w:tcW w:w="843" w:type="dxa"/>
            <w:vAlign w:val="center"/>
          </w:tcPr>
          <w:p w14:paraId="605C238C">
            <w:pPr>
              <w:pStyle w:val="17"/>
            </w:pPr>
            <w:r>
              <w:rPr>
                <w:rFonts w:hint="eastAsia"/>
              </w:rPr>
              <w:t>6%</w:t>
            </w:r>
          </w:p>
        </w:tc>
        <w:tc>
          <w:tcPr>
            <w:tcW w:w="1938" w:type="dxa"/>
            <w:vAlign w:val="center"/>
          </w:tcPr>
          <w:p w14:paraId="49CC91B1">
            <w:pPr>
              <w:pStyle w:val="17"/>
            </w:pPr>
          </w:p>
        </w:tc>
        <w:tc>
          <w:tcPr>
            <w:tcW w:w="1476" w:type="dxa"/>
            <w:vAlign w:val="center"/>
          </w:tcPr>
          <w:p w14:paraId="47FE195A">
            <w:pPr>
              <w:pStyle w:val="17"/>
            </w:pPr>
          </w:p>
        </w:tc>
        <w:tc>
          <w:tcPr>
            <w:tcW w:w="1748" w:type="dxa"/>
            <w:vAlign w:val="center"/>
          </w:tcPr>
          <w:p w14:paraId="7A1F7AAB">
            <w:pPr>
              <w:pStyle w:val="17"/>
            </w:pPr>
          </w:p>
        </w:tc>
      </w:tr>
      <w:tr w14:paraId="74C3AF55">
        <w:trPr>
          <w:trHeight w:val="170" w:hRule="atLeast"/>
        </w:trPr>
        <w:tc>
          <w:tcPr>
            <w:tcW w:w="1858" w:type="dxa"/>
            <w:vAlign w:val="center"/>
          </w:tcPr>
          <w:p w14:paraId="56AAAE5A">
            <w:pPr>
              <w:pStyle w:val="17"/>
            </w:pPr>
            <w:r>
              <w:rPr>
                <w:rFonts w:hint="eastAsia"/>
              </w:rPr>
              <w:t>基本预备费</w:t>
            </w:r>
          </w:p>
        </w:tc>
        <w:tc>
          <w:tcPr>
            <w:tcW w:w="651" w:type="dxa"/>
            <w:vAlign w:val="center"/>
          </w:tcPr>
          <w:p w14:paraId="6CEFA63B">
            <w:pPr>
              <w:pStyle w:val="17"/>
            </w:pPr>
          </w:p>
        </w:tc>
        <w:tc>
          <w:tcPr>
            <w:tcW w:w="843" w:type="dxa"/>
            <w:vAlign w:val="center"/>
          </w:tcPr>
          <w:p w14:paraId="40C92915">
            <w:pPr>
              <w:pStyle w:val="17"/>
            </w:pPr>
            <w:r>
              <w:rPr>
                <w:rFonts w:hint="eastAsia"/>
              </w:rPr>
              <w:t>0%</w:t>
            </w:r>
          </w:p>
        </w:tc>
        <w:tc>
          <w:tcPr>
            <w:tcW w:w="1938" w:type="dxa"/>
            <w:vAlign w:val="center"/>
          </w:tcPr>
          <w:p w14:paraId="0039EA04">
            <w:pPr>
              <w:pStyle w:val="17"/>
            </w:pPr>
          </w:p>
        </w:tc>
        <w:tc>
          <w:tcPr>
            <w:tcW w:w="1476" w:type="dxa"/>
            <w:vAlign w:val="center"/>
          </w:tcPr>
          <w:p w14:paraId="48D357B2">
            <w:pPr>
              <w:pStyle w:val="17"/>
            </w:pPr>
          </w:p>
        </w:tc>
        <w:tc>
          <w:tcPr>
            <w:tcW w:w="1748" w:type="dxa"/>
            <w:vAlign w:val="center"/>
          </w:tcPr>
          <w:p w14:paraId="6ED82300">
            <w:pPr>
              <w:pStyle w:val="17"/>
            </w:pPr>
          </w:p>
        </w:tc>
      </w:tr>
      <w:tr w14:paraId="2B882142">
        <w:trPr>
          <w:trHeight w:val="170" w:hRule="atLeast"/>
        </w:trPr>
        <w:tc>
          <w:tcPr>
            <w:tcW w:w="1858" w:type="dxa"/>
            <w:vAlign w:val="center"/>
          </w:tcPr>
          <w:p w14:paraId="122A454B">
            <w:pPr>
              <w:pStyle w:val="17"/>
            </w:pPr>
            <w:r>
              <w:rPr>
                <w:rFonts w:hint="eastAsia"/>
              </w:rPr>
              <w:t>种植基地出租收入</w:t>
            </w:r>
          </w:p>
        </w:tc>
        <w:tc>
          <w:tcPr>
            <w:tcW w:w="651" w:type="dxa"/>
            <w:vAlign w:val="center"/>
          </w:tcPr>
          <w:p w14:paraId="7AB119FF">
            <w:pPr>
              <w:pStyle w:val="17"/>
            </w:pPr>
            <w:r>
              <w:rPr>
                <w:rFonts w:hint="eastAsia"/>
              </w:rPr>
              <w:t>0%</w:t>
            </w:r>
          </w:p>
        </w:tc>
        <w:tc>
          <w:tcPr>
            <w:tcW w:w="843" w:type="dxa"/>
            <w:vAlign w:val="center"/>
          </w:tcPr>
          <w:p w14:paraId="773F3DF9">
            <w:pPr>
              <w:pStyle w:val="17"/>
            </w:pPr>
          </w:p>
        </w:tc>
        <w:tc>
          <w:tcPr>
            <w:tcW w:w="1938" w:type="dxa"/>
            <w:vMerge w:val="restart"/>
            <w:vAlign w:val="center"/>
          </w:tcPr>
          <w:p w14:paraId="503980DA">
            <w:pPr>
              <w:pStyle w:val="17"/>
            </w:pPr>
            <w:r>
              <w:rPr>
                <w:rFonts w:hint="eastAsia"/>
              </w:rPr>
              <w:t>5%</w:t>
            </w:r>
          </w:p>
        </w:tc>
        <w:tc>
          <w:tcPr>
            <w:tcW w:w="1476" w:type="dxa"/>
            <w:vMerge w:val="restart"/>
            <w:vAlign w:val="center"/>
          </w:tcPr>
          <w:p w14:paraId="49110DBA">
            <w:pPr>
              <w:pStyle w:val="17"/>
            </w:pPr>
            <w:r>
              <w:rPr>
                <w:rFonts w:hint="eastAsia"/>
              </w:rPr>
              <w:t>3%</w:t>
            </w:r>
          </w:p>
        </w:tc>
        <w:tc>
          <w:tcPr>
            <w:tcW w:w="1748" w:type="dxa"/>
            <w:vMerge w:val="restart"/>
            <w:vAlign w:val="center"/>
          </w:tcPr>
          <w:p w14:paraId="2E486CF1">
            <w:pPr>
              <w:pStyle w:val="17"/>
            </w:pPr>
            <w:r>
              <w:rPr>
                <w:rFonts w:hint="eastAsia"/>
              </w:rPr>
              <w:t>2%</w:t>
            </w:r>
          </w:p>
        </w:tc>
      </w:tr>
      <w:tr w14:paraId="3526C938">
        <w:trPr>
          <w:trHeight w:val="170" w:hRule="atLeast"/>
        </w:trPr>
        <w:tc>
          <w:tcPr>
            <w:tcW w:w="1858" w:type="dxa"/>
            <w:vAlign w:val="center"/>
          </w:tcPr>
          <w:p w14:paraId="2070B44D">
            <w:pPr>
              <w:pStyle w:val="17"/>
            </w:pPr>
            <w:r>
              <w:rPr>
                <w:rFonts w:hint="eastAsia"/>
              </w:rPr>
              <w:t>停车位收入</w:t>
            </w:r>
          </w:p>
        </w:tc>
        <w:tc>
          <w:tcPr>
            <w:tcW w:w="651" w:type="dxa"/>
            <w:vAlign w:val="center"/>
          </w:tcPr>
          <w:p w14:paraId="1EC1A0DA">
            <w:pPr>
              <w:pStyle w:val="17"/>
            </w:pPr>
            <w:r>
              <w:rPr>
                <w:rFonts w:hint="eastAsia"/>
              </w:rPr>
              <w:t>9%</w:t>
            </w:r>
          </w:p>
        </w:tc>
        <w:tc>
          <w:tcPr>
            <w:tcW w:w="843" w:type="dxa"/>
            <w:vAlign w:val="center"/>
          </w:tcPr>
          <w:p w14:paraId="05448B7D">
            <w:pPr>
              <w:pStyle w:val="17"/>
            </w:pPr>
          </w:p>
        </w:tc>
        <w:tc>
          <w:tcPr>
            <w:tcW w:w="1938" w:type="dxa"/>
            <w:vMerge w:val="continue"/>
            <w:vAlign w:val="center"/>
          </w:tcPr>
          <w:p w14:paraId="31A7E80B">
            <w:pPr>
              <w:pStyle w:val="17"/>
            </w:pPr>
          </w:p>
        </w:tc>
        <w:tc>
          <w:tcPr>
            <w:tcW w:w="1476" w:type="dxa"/>
            <w:vMerge w:val="continue"/>
            <w:vAlign w:val="center"/>
          </w:tcPr>
          <w:p w14:paraId="117DB93A">
            <w:pPr>
              <w:pStyle w:val="17"/>
            </w:pPr>
          </w:p>
        </w:tc>
        <w:tc>
          <w:tcPr>
            <w:tcW w:w="1748" w:type="dxa"/>
            <w:vMerge w:val="continue"/>
            <w:vAlign w:val="center"/>
          </w:tcPr>
          <w:p w14:paraId="1F37A7A3">
            <w:pPr>
              <w:pStyle w:val="17"/>
            </w:pPr>
          </w:p>
        </w:tc>
      </w:tr>
      <w:tr w14:paraId="462F9BE8">
        <w:trPr>
          <w:trHeight w:val="170" w:hRule="atLeast"/>
        </w:trPr>
        <w:tc>
          <w:tcPr>
            <w:tcW w:w="1858" w:type="dxa"/>
            <w:vAlign w:val="center"/>
          </w:tcPr>
          <w:p w14:paraId="32CE025E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>充电桩收入</w:t>
            </w:r>
          </w:p>
        </w:tc>
        <w:tc>
          <w:tcPr>
            <w:tcW w:w="651" w:type="dxa"/>
            <w:vAlign w:val="center"/>
          </w:tcPr>
          <w:p w14:paraId="243DA08C">
            <w:pPr>
              <w:pStyle w:val="17"/>
              <w:rPr>
                <w:rFonts w:hint="eastAsia"/>
              </w:rPr>
            </w:pPr>
            <w:r>
              <w:rPr>
                <w:rFonts w:hint="eastAsia"/>
              </w:rPr>
              <w:t>13%</w:t>
            </w:r>
          </w:p>
        </w:tc>
        <w:tc>
          <w:tcPr>
            <w:tcW w:w="843" w:type="dxa"/>
            <w:vAlign w:val="center"/>
          </w:tcPr>
          <w:p w14:paraId="6B44F0E0">
            <w:pPr>
              <w:pStyle w:val="17"/>
            </w:pPr>
          </w:p>
        </w:tc>
        <w:tc>
          <w:tcPr>
            <w:tcW w:w="1938" w:type="dxa"/>
            <w:vMerge w:val="continue"/>
            <w:vAlign w:val="center"/>
          </w:tcPr>
          <w:p w14:paraId="4ED9AF4B">
            <w:pPr>
              <w:pStyle w:val="17"/>
            </w:pPr>
          </w:p>
        </w:tc>
        <w:tc>
          <w:tcPr>
            <w:tcW w:w="1476" w:type="dxa"/>
            <w:vMerge w:val="continue"/>
            <w:vAlign w:val="center"/>
          </w:tcPr>
          <w:p w14:paraId="1026BC12">
            <w:pPr>
              <w:pStyle w:val="17"/>
            </w:pPr>
          </w:p>
        </w:tc>
        <w:tc>
          <w:tcPr>
            <w:tcW w:w="1748" w:type="dxa"/>
            <w:vMerge w:val="continue"/>
            <w:vAlign w:val="center"/>
          </w:tcPr>
          <w:p w14:paraId="3909C0A0">
            <w:pPr>
              <w:pStyle w:val="17"/>
            </w:pPr>
          </w:p>
        </w:tc>
      </w:tr>
      <w:tr w14:paraId="2507F18F">
        <w:trPr>
          <w:trHeight w:val="170" w:hRule="atLeast"/>
        </w:trPr>
        <w:tc>
          <w:tcPr>
            <w:tcW w:w="1858" w:type="dxa"/>
            <w:vAlign w:val="center"/>
          </w:tcPr>
          <w:p w14:paraId="2C023B3E">
            <w:pPr>
              <w:pStyle w:val="17"/>
            </w:pPr>
            <w:r>
              <w:rPr>
                <w:rFonts w:hint="eastAsia"/>
              </w:rPr>
              <w:t>厂房出租收入</w:t>
            </w:r>
          </w:p>
        </w:tc>
        <w:tc>
          <w:tcPr>
            <w:tcW w:w="651" w:type="dxa"/>
            <w:vAlign w:val="center"/>
          </w:tcPr>
          <w:p w14:paraId="6CA78174">
            <w:pPr>
              <w:pStyle w:val="17"/>
            </w:pPr>
            <w:r>
              <w:rPr>
                <w:rFonts w:hint="eastAsia"/>
              </w:rPr>
              <w:t>9%</w:t>
            </w:r>
          </w:p>
        </w:tc>
        <w:tc>
          <w:tcPr>
            <w:tcW w:w="843" w:type="dxa"/>
            <w:vAlign w:val="center"/>
          </w:tcPr>
          <w:p w14:paraId="711E275D">
            <w:pPr>
              <w:pStyle w:val="17"/>
            </w:pPr>
          </w:p>
        </w:tc>
        <w:tc>
          <w:tcPr>
            <w:tcW w:w="1938" w:type="dxa"/>
            <w:vMerge w:val="continue"/>
            <w:vAlign w:val="center"/>
          </w:tcPr>
          <w:p w14:paraId="2CD90E1A">
            <w:pPr>
              <w:pStyle w:val="17"/>
            </w:pPr>
          </w:p>
        </w:tc>
        <w:tc>
          <w:tcPr>
            <w:tcW w:w="1476" w:type="dxa"/>
            <w:vMerge w:val="continue"/>
            <w:vAlign w:val="center"/>
          </w:tcPr>
          <w:p w14:paraId="1DFEC3E7">
            <w:pPr>
              <w:pStyle w:val="17"/>
            </w:pPr>
          </w:p>
        </w:tc>
        <w:tc>
          <w:tcPr>
            <w:tcW w:w="1748" w:type="dxa"/>
            <w:vMerge w:val="continue"/>
            <w:vAlign w:val="center"/>
          </w:tcPr>
          <w:p w14:paraId="51AE4132">
            <w:pPr>
              <w:pStyle w:val="17"/>
            </w:pPr>
          </w:p>
        </w:tc>
      </w:tr>
      <w:tr w14:paraId="04E18307">
        <w:trPr>
          <w:trHeight w:val="170" w:hRule="atLeast"/>
        </w:trPr>
        <w:tc>
          <w:tcPr>
            <w:tcW w:w="1858" w:type="dxa"/>
            <w:vAlign w:val="center"/>
          </w:tcPr>
          <w:p w14:paraId="3CCABEFC">
            <w:pPr>
              <w:pStyle w:val="17"/>
            </w:pPr>
            <w:r>
              <w:rPr>
                <w:rFonts w:hint="eastAsia"/>
              </w:rPr>
              <w:t>燃料动力</w:t>
            </w:r>
          </w:p>
        </w:tc>
        <w:tc>
          <w:tcPr>
            <w:tcW w:w="651" w:type="dxa"/>
            <w:vAlign w:val="center"/>
          </w:tcPr>
          <w:p w14:paraId="490DA0B0">
            <w:pPr>
              <w:pStyle w:val="17"/>
            </w:pPr>
          </w:p>
        </w:tc>
        <w:tc>
          <w:tcPr>
            <w:tcW w:w="843" w:type="dxa"/>
            <w:vAlign w:val="center"/>
          </w:tcPr>
          <w:p w14:paraId="2ADA634B">
            <w:pPr>
              <w:pStyle w:val="17"/>
            </w:pPr>
            <w:r>
              <w:rPr>
                <w:rFonts w:hint="eastAsia"/>
              </w:rPr>
              <w:t>0%</w:t>
            </w:r>
          </w:p>
        </w:tc>
        <w:tc>
          <w:tcPr>
            <w:tcW w:w="1938" w:type="dxa"/>
            <w:vMerge w:val="continue"/>
            <w:vAlign w:val="center"/>
          </w:tcPr>
          <w:p w14:paraId="1720088B">
            <w:pPr>
              <w:pStyle w:val="17"/>
            </w:pPr>
          </w:p>
        </w:tc>
        <w:tc>
          <w:tcPr>
            <w:tcW w:w="1476" w:type="dxa"/>
            <w:vMerge w:val="continue"/>
            <w:vAlign w:val="center"/>
          </w:tcPr>
          <w:p w14:paraId="42F47D3C">
            <w:pPr>
              <w:pStyle w:val="17"/>
            </w:pPr>
          </w:p>
        </w:tc>
        <w:tc>
          <w:tcPr>
            <w:tcW w:w="1748" w:type="dxa"/>
            <w:vMerge w:val="continue"/>
            <w:vAlign w:val="center"/>
          </w:tcPr>
          <w:p w14:paraId="38753E3D">
            <w:pPr>
              <w:pStyle w:val="17"/>
            </w:pPr>
          </w:p>
        </w:tc>
      </w:tr>
      <w:tr w14:paraId="08605067">
        <w:trPr>
          <w:trHeight w:val="170" w:hRule="atLeast"/>
        </w:trPr>
        <w:tc>
          <w:tcPr>
            <w:tcW w:w="1858" w:type="dxa"/>
            <w:vAlign w:val="center"/>
          </w:tcPr>
          <w:p w14:paraId="5A6C675A">
            <w:pPr>
              <w:pStyle w:val="17"/>
            </w:pPr>
            <w:r>
              <w:rPr>
                <w:rFonts w:hint="eastAsia"/>
              </w:rPr>
              <w:t>维修费</w:t>
            </w:r>
          </w:p>
        </w:tc>
        <w:tc>
          <w:tcPr>
            <w:tcW w:w="651" w:type="dxa"/>
            <w:vAlign w:val="center"/>
          </w:tcPr>
          <w:p w14:paraId="0BC5D04C">
            <w:pPr>
              <w:pStyle w:val="17"/>
            </w:pPr>
          </w:p>
        </w:tc>
        <w:tc>
          <w:tcPr>
            <w:tcW w:w="843" w:type="dxa"/>
            <w:vAlign w:val="center"/>
          </w:tcPr>
          <w:p w14:paraId="3ED4BCF7">
            <w:pPr>
              <w:pStyle w:val="17"/>
            </w:pPr>
            <w:r>
              <w:rPr>
                <w:rFonts w:hint="eastAsia"/>
              </w:rPr>
              <w:t>0%</w:t>
            </w:r>
          </w:p>
        </w:tc>
        <w:tc>
          <w:tcPr>
            <w:tcW w:w="1938" w:type="dxa"/>
            <w:vMerge w:val="continue"/>
            <w:vAlign w:val="center"/>
          </w:tcPr>
          <w:p w14:paraId="026222E8">
            <w:pPr>
              <w:pStyle w:val="17"/>
            </w:pPr>
          </w:p>
        </w:tc>
        <w:tc>
          <w:tcPr>
            <w:tcW w:w="1476" w:type="dxa"/>
            <w:vMerge w:val="continue"/>
            <w:vAlign w:val="center"/>
          </w:tcPr>
          <w:p w14:paraId="09E1C339">
            <w:pPr>
              <w:pStyle w:val="17"/>
            </w:pPr>
          </w:p>
        </w:tc>
        <w:tc>
          <w:tcPr>
            <w:tcW w:w="1748" w:type="dxa"/>
            <w:vMerge w:val="continue"/>
            <w:vAlign w:val="center"/>
          </w:tcPr>
          <w:p w14:paraId="350B2A3E">
            <w:pPr>
              <w:pStyle w:val="17"/>
            </w:pPr>
          </w:p>
        </w:tc>
      </w:tr>
    </w:tbl>
    <w:p w14:paraId="71F9395F">
      <w:pPr>
        <w:pStyle w:val="14"/>
        <w:bidi w:val="0"/>
        <w:ind w:left="0" w:leftChars="0" w:firstLine="1077" w:firstLineChars="0"/>
        <w:rPr>
          <w:rFonts w:hint="eastAsia"/>
        </w:rPr>
      </w:pPr>
      <w:r>
        <w:rPr>
          <w:rFonts w:hint="eastAsia"/>
        </w:rPr>
        <w:t>房产税</w:t>
      </w:r>
    </w:p>
    <w:p w14:paraId="011AF1AE">
      <w:pPr>
        <w:pStyle w:val="6"/>
        <w:ind w:firstLine="560"/>
        <w:rPr>
          <w:rFonts w:hint="default"/>
        </w:rPr>
      </w:pPr>
      <w:r>
        <w:t>根据我国税法相关规定，本项目</w:t>
      </w:r>
      <w:r>
        <w:rPr>
          <w:rFonts w:cs="宋体"/>
        </w:rPr>
        <w:t>种植基地出租收入</w:t>
      </w:r>
      <w:r>
        <w:t>属于农用地出租给农业生产者用于农业生产属于免征增值税。</w:t>
      </w:r>
    </w:p>
    <w:p w14:paraId="01B65B55">
      <w:pPr>
        <w:pStyle w:val="6"/>
        <w:ind w:firstLine="560"/>
        <w:rPr>
          <w:rFonts w:hint="default"/>
        </w:rPr>
      </w:pPr>
      <w:r>
        <w:drawing>
          <wp:inline distT="0" distB="0" distL="114300" distR="114300">
            <wp:extent cx="4888230" cy="820420"/>
            <wp:effectExtent l="0" t="0" r="13970" b="17780"/>
            <wp:docPr id="1" name="图片 1" descr="ece73395401aaec1098fc904512a1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ce73395401aaec1098fc904512a1d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2360" cy="82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8B6B">
      <w:pPr>
        <w:pStyle w:val="15"/>
        <w:bidi w:val="0"/>
        <w:ind w:left="0" w:leftChars="0" w:firstLine="0" w:firstLineChars="0"/>
        <w:rPr>
          <w:rFonts w:hint="eastAsia"/>
        </w:rPr>
      </w:pPr>
      <w:bookmarkStart w:id="40" w:name="_Toc16988"/>
      <w:bookmarkStart w:id="41" w:name="_Toc22959"/>
      <w:r>
        <w:rPr>
          <w:rFonts w:hint="eastAsia"/>
        </w:rPr>
        <w:t>项目运营成本</w:t>
      </w:r>
      <w:bookmarkEnd w:id="40"/>
      <w:bookmarkEnd w:id="41"/>
    </w:p>
    <w:p w14:paraId="1A236E69">
      <w:pPr>
        <w:pStyle w:val="6"/>
        <w:ind w:firstLine="560"/>
        <w:rPr>
          <w:rFonts w:hint="default"/>
          <w:b/>
          <w:bCs/>
          <w:sz w:val="24"/>
          <w:szCs w:val="20"/>
        </w:rPr>
      </w:pPr>
      <w:r>
        <w:t>项目运营成本详见</w:t>
      </w:r>
      <w:r>
        <w:fldChar w:fldCharType="begin"/>
      </w:r>
      <w:r>
        <w:instrText xml:space="preserve"> REF _Ref14317 </w:instrText>
      </w:r>
      <w:r>
        <w:fldChar w:fldCharType="separate"/>
      </w:r>
      <w:r>
        <w:t>表7-</w:t>
      </w:r>
      <w:r>
        <w:fldChar w:fldCharType="end"/>
      </w:r>
      <w:r>
        <w:t>8。</w:t>
      </w:r>
    </w:p>
    <w:p w14:paraId="5C4F77E7">
      <w:pPr>
        <w:pStyle w:val="5"/>
        <w:rPr>
          <w:rFonts w:hint="eastAsia"/>
        </w:rPr>
      </w:pPr>
      <w:bookmarkStart w:id="42" w:name="_Ref14317"/>
      <w:r>
        <w:t>表</w:t>
      </w:r>
      <w:r>
        <w:rPr>
          <w:rFonts w:hint="eastAsia"/>
        </w:rPr>
        <w:t>7-</w:t>
      </w:r>
      <w:bookmarkEnd w:id="42"/>
      <w:r>
        <w:rPr>
          <w:rFonts w:hint="eastAsia"/>
        </w:rPr>
        <w:t>8：项目运营成本估算表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"/>
        <w:gridCol w:w="492"/>
        <w:gridCol w:w="1393"/>
        <w:gridCol w:w="1393"/>
        <w:gridCol w:w="1443"/>
        <w:gridCol w:w="1000"/>
        <w:gridCol w:w="909"/>
        <w:gridCol w:w="1394"/>
      </w:tblGrid>
      <w:tr w14:paraId="6ACB1881">
        <w:trPr>
          <w:trHeight w:val="280" w:hRule="atLeast"/>
        </w:trPr>
        <w:tc>
          <w:tcPr>
            <w:tcW w:w="28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E42A3">
            <w:pPr>
              <w:rPr>
                <w:rFonts w:ascii="Times New Roman" w:hAnsi="Times New Roman" w:eastAsia="Times New Roman" w:cs="宋体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LrV"/>
            <w:vAlign w:val="center"/>
          </w:tcPr>
          <w:p w14:paraId="434F5283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年度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D49A0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外购燃料动力</w:t>
            </w:r>
          </w:p>
        </w:tc>
        <w:tc>
          <w:tcPr>
            <w:tcW w:w="81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E5764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工资福利费用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B701E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年维修成本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9121A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其他费用</w:t>
            </w:r>
          </w:p>
        </w:tc>
        <w:tc>
          <w:tcPr>
            <w:tcW w:w="53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85C2B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税费</w:t>
            </w:r>
          </w:p>
        </w:tc>
        <w:tc>
          <w:tcPr>
            <w:tcW w:w="81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4A6AE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经营成本合计</w:t>
            </w:r>
          </w:p>
        </w:tc>
      </w:tr>
      <w:tr w14:paraId="6EF957C8">
        <w:trPr>
          <w:trHeight w:val="280" w:hRule="atLeast"/>
        </w:trPr>
        <w:tc>
          <w:tcPr>
            <w:tcW w:w="28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780F04">
            <w:pPr>
              <w:rPr>
                <w:rFonts w:ascii="Times New Roman" w:hAnsi="Times New Roman" w:eastAsia="Times New Roman" w:cs="宋体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E4D38F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4FD41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5%</w:t>
            </w:r>
          </w:p>
        </w:tc>
        <w:tc>
          <w:tcPr>
            <w:tcW w:w="81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C45419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B0060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每五年上升5%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A2CAE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2%</w:t>
            </w:r>
          </w:p>
        </w:tc>
        <w:tc>
          <w:tcPr>
            <w:tcW w:w="53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80E5D5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FDCEF5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7F34F091">
        <w:trPr>
          <w:trHeight w:val="280" w:hRule="atLeast"/>
        </w:trPr>
        <w:tc>
          <w:tcPr>
            <w:tcW w:w="2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extDirection w:val="tbLrV"/>
            <w:vAlign w:val="center"/>
          </w:tcPr>
          <w:p w14:paraId="6EA97822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2A084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4E503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25DB5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1DCBF">
            <w:pPr>
              <w:jc w:val="center"/>
              <w:rPr>
                <w:rFonts w:ascii="Times New Roman" w:hAnsi="Times New Roman" w:eastAsia="Times New Roman"/>
                <w:kern w:val="0"/>
                <w:sz w:val="18"/>
                <w:szCs w:val="18"/>
              </w:rPr>
            </w:pP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E45C2">
            <w:pPr>
              <w:jc w:val="center"/>
              <w:rPr>
                <w:rFonts w:ascii="Times New Roman" w:hAnsi="Times New Roman" w:eastAsia="Times New Roman"/>
                <w:kern w:val="0"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5226EA0F">
            <w:pPr>
              <w:jc w:val="center"/>
              <w:rPr>
                <w:rFonts w:ascii="Times New Roman" w:hAnsi="Times New Roman" w:eastAsia="Times New Roman"/>
                <w:kern w:val="0"/>
                <w:sz w:val="18"/>
                <w:szCs w:val="18"/>
              </w:rPr>
            </w:pP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E1F56">
            <w:pPr>
              <w:jc w:val="center"/>
              <w:rPr>
                <w:rFonts w:ascii="Times New Roman" w:hAnsi="Times New Roman" w:eastAsia="Times New Roman"/>
                <w:kern w:val="0"/>
                <w:sz w:val="18"/>
                <w:szCs w:val="18"/>
              </w:rPr>
            </w:pPr>
          </w:p>
        </w:tc>
      </w:tr>
      <w:tr w14:paraId="4D0DED2F">
        <w:trPr>
          <w:trHeight w:val="280" w:hRule="atLeast"/>
        </w:trPr>
        <w:tc>
          <w:tcPr>
            <w:tcW w:w="286" w:type="pct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textDirection w:val="tbLrV"/>
            <w:vAlign w:val="center"/>
          </w:tcPr>
          <w:p w14:paraId="2CFDF213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运营期</w:t>
            </w: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C7F12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3A9E9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34.55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A1759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99.00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EAB03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35.09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391B1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13.82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228919F4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71.79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579CA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254.25</w:t>
            </w:r>
          </w:p>
        </w:tc>
      </w:tr>
      <w:tr w14:paraId="49A0A83F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2A5103C3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A0D0F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3BB48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38.71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4BA43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99.00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A5A27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35.09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184C1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15.49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08AE99E3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78.97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24EAA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267.26</w:t>
            </w:r>
          </w:p>
        </w:tc>
      </w:tr>
      <w:tr w14:paraId="0E229BE7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33636695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338F9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D6FF1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42.87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C2EF7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99.00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29F56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35.09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76568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17.15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7EDA2556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86.15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75D4A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280.26</w:t>
            </w:r>
          </w:p>
        </w:tc>
      </w:tr>
      <w:tr w14:paraId="6A53F6CB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60C3B359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453A5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9B383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46.75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888DF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99.00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7BC83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35.09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7BDD6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18.70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053AA931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93.33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9663D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292.87</w:t>
            </w:r>
          </w:p>
        </w:tc>
      </w:tr>
      <w:tr w14:paraId="28B928C9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322FB246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6E9D0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4CE37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50.24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80558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99.00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1FA5B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35.09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E326C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20.10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0B815060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100.51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51F28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304.94</w:t>
            </w:r>
          </w:p>
        </w:tc>
      </w:tr>
      <w:tr w14:paraId="177FDEC2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625E662F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2F7A2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2E488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56.41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617B7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108.90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886F1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36.84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DC5FC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22.56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293126BF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113.07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82AD4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337.78</w:t>
            </w:r>
          </w:p>
        </w:tc>
      </w:tr>
      <w:tr w14:paraId="4050A1AB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1F9186DB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F32E3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FF233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56.41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B7029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108.90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AA273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36.84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6C92E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22.56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76E0B469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113.07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62405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337.78</w:t>
            </w:r>
          </w:p>
        </w:tc>
      </w:tr>
      <w:tr w14:paraId="2A8BD3CC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7056EC65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7BF46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1BF84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56.41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CF1B0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108.90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0B266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36.84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8B525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22.56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5EFA07DC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113.07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C5E56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337.78</w:t>
            </w:r>
          </w:p>
        </w:tc>
      </w:tr>
      <w:tr w14:paraId="11EE6819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514908AF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EF7AA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029A5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56.41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A8691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108.90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94A9B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36.84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005A9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22.56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07C5E6DC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113.07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63DD1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337.78</w:t>
            </w:r>
          </w:p>
        </w:tc>
      </w:tr>
      <w:tr w14:paraId="43646750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021C5383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C868F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2D7BF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56.41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B82EB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108.90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A449D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36.84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733AC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22.56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3EF611E5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113.07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951D1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337.78</w:t>
            </w:r>
          </w:p>
        </w:tc>
      </w:tr>
      <w:tr w14:paraId="7839FC26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7DDC3E3A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C3E65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25DF7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59.55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BAC30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119.79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99702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38.69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3254F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23.82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004B0BAA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118.73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B2291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360.57</w:t>
            </w:r>
          </w:p>
        </w:tc>
      </w:tr>
      <w:tr w14:paraId="236E68A7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638B4679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B75C8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27417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59.55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C68B4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119.79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98CC5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38.69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A3111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23.82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3099284D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118.73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BE49D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360.57</w:t>
            </w:r>
          </w:p>
        </w:tc>
      </w:tr>
      <w:tr w14:paraId="01FCF86F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5DB18DD5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B02EF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C93DD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59.55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18E07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119.79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28F69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38.69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4AC6C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23.82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1757A00D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118.73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3CD05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360.57</w:t>
            </w:r>
          </w:p>
        </w:tc>
      </w:tr>
      <w:tr w14:paraId="33A961F0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60D375F7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1750D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448EA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59.55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E2700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119.79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B1DB8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38.69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FD2EB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23.82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2BEB4841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118.73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FB901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360.57</w:t>
            </w:r>
          </w:p>
        </w:tc>
      </w:tr>
      <w:tr w14:paraId="46705717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041EF05C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7A76E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EEEAC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59.55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6E970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119.79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66D4B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38.69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B969C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23.82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47CDB9A2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118.73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76953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360.57</w:t>
            </w:r>
          </w:p>
        </w:tc>
      </w:tr>
      <w:tr w14:paraId="2A53D154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5EC9E133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14530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7E5E1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62.87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ABF5B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131.77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BF600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40.62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94614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25.15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36522C35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158.06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6B6E9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418.47</w:t>
            </w:r>
          </w:p>
        </w:tc>
      </w:tr>
      <w:tr w14:paraId="4843A25A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6C923E55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E3346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1C997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62.87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F726F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131.77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5D83A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40.62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502FC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25.15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2AB05630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243.52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744B5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503.93</w:t>
            </w:r>
          </w:p>
        </w:tc>
      </w:tr>
      <w:tr w14:paraId="22FA8896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65B8454A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7059E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F6127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62.87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EFE71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131.77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416C2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40.62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9E4EB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25.15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52E00069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243.52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C8B57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503.93</w:t>
            </w:r>
          </w:p>
        </w:tc>
      </w:tr>
      <w:tr w14:paraId="55C6E15E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00569F43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88CBB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BAF0A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62.87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6D0F4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131.77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B0724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40.62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DDC80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25.15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2A00EE0C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243.52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90A25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503.93</w:t>
            </w:r>
          </w:p>
        </w:tc>
      </w:tr>
      <w:tr w14:paraId="4F0A166A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49C0A845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42B31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9E59E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62.87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AD11D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131.77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522E6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40.62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89179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25.15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65F1801C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243.52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C9200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503.93</w:t>
            </w:r>
          </w:p>
        </w:tc>
      </w:tr>
      <w:tr w14:paraId="6CFD2D27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510AC9A2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61FA0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7F374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66.40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350B4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144.95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BDFA2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42.65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F2650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26.56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1E0DAA73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256.70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0BA06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537.25</w:t>
            </w:r>
          </w:p>
        </w:tc>
      </w:tr>
      <w:tr w14:paraId="212BB910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47BA1B1E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F21BE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E59AD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66.40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33203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144.95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29A12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42.65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D7D7B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26.56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1533A277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256.70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C6D58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537.25</w:t>
            </w:r>
          </w:p>
        </w:tc>
      </w:tr>
      <w:tr w14:paraId="143CF4F3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25676A77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C0DEF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F2DDD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66.40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F5F4A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144.95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751DA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42.65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C0C56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26.56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2D72078D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256.70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86A91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537.25</w:t>
            </w:r>
          </w:p>
        </w:tc>
      </w:tr>
      <w:tr w14:paraId="1874DAD5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018DD191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D5F80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57156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66.40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9F29F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144.95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D7357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42.65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E7F36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26.56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601313B5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256.70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7DF78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537.25</w:t>
            </w:r>
          </w:p>
        </w:tc>
      </w:tr>
      <w:tr w14:paraId="522C7A16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55FBE7DB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AAB87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33442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66.40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89621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144.95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434C6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42.65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96007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26.56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4AC5CD0D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256.70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843C4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537.25</w:t>
            </w:r>
          </w:p>
        </w:tc>
      </w:tr>
      <w:tr w14:paraId="648F2AC0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0F548D90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7928C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DD868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70.14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3D591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159.44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4CF99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44.78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D1C11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28.05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379A78D7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270.59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AA094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573.00</w:t>
            </w:r>
          </w:p>
        </w:tc>
      </w:tr>
      <w:tr w14:paraId="14813F54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6367F18C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A73FC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04226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70.14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656BD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159.44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A6D92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44.78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A5CDF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28.05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37F9A0E4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270.59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E2869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573.00</w:t>
            </w:r>
          </w:p>
        </w:tc>
      </w:tr>
      <w:tr w14:paraId="12E0E827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3D6744AB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23514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B1BC0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70.14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48CA3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159.44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414AA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44.78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9BA96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28.05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3507FDDC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270.59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2B405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573.00</w:t>
            </w:r>
          </w:p>
        </w:tc>
      </w:tr>
      <w:tr w14:paraId="31F366EB">
        <w:trPr>
          <w:trHeight w:val="280" w:hRule="atLeast"/>
        </w:trPr>
        <w:tc>
          <w:tcPr>
            <w:tcW w:w="286" w:type="pct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5936ECD2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80729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785B0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70.14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089F3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159.44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92762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44.78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8E152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28.05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6A18F767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270.59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82AEB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573.00</w:t>
            </w:r>
          </w:p>
        </w:tc>
      </w:tr>
      <w:tr w14:paraId="257DBE4B">
        <w:trPr>
          <w:trHeight w:val="280" w:hRule="atLeast"/>
        </w:trPr>
        <w:tc>
          <w:tcPr>
            <w:tcW w:w="57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00E46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8"/>
                <w:szCs w:val="18"/>
              </w:rPr>
              <w:t>合计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08985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8"/>
                <w:szCs w:val="18"/>
              </w:rPr>
              <w:t>1719.75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870FB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8"/>
                <w:szCs w:val="18"/>
              </w:rPr>
              <w:t>3659.79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339D5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8"/>
                <w:szCs w:val="18"/>
              </w:rPr>
              <w:t>1148.61</w:t>
            </w:r>
          </w:p>
        </w:tc>
        <w:tc>
          <w:tcPr>
            <w:tcW w:w="5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E6263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8"/>
                <w:szCs w:val="18"/>
              </w:rPr>
              <w:t>687.91</w:t>
            </w:r>
          </w:p>
        </w:tc>
        <w:tc>
          <w:tcPr>
            <w:tcW w:w="5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17123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8"/>
                <w:szCs w:val="18"/>
              </w:rPr>
              <w:t>5087.74</w:t>
            </w:r>
          </w:p>
        </w:tc>
        <w:tc>
          <w:tcPr>
            <w:tcW w:w="8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E519C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18"/>
                <w:szCs w:val="18"/>
              </w:rPr>
              <w:t>12303.77</w:t>
            </w:r>
          </w:p>
        </w:tc>
      </w:tr>
    </w:tbl>
    <w:p w14:paraId="573B074E">
      <w:pPr>
        <w:pStyle w:val="6"/>
        <w:ind w:firstLine="560"/>
        <w:rPr>
          <w:rFonts w:hint="default"/>
        </w:rPr>
      </w:pPr>
    </w:p>
    <w:p w14:paraId="0E94310D">
      <w:pPr>
        <w:pStyle w:val="4"/>
        <w:bidi w:val="0"/>
        <w:ind w:left="0" w:leftChars="0" w:firstLine="0" w:firstLineChars="0"/>
        <w:rPr>
          <w:rFonts w:hint="eastAsia"/>
        </w:rPr>
      </w:pPr>
      <w:bookmarkStart w:id="43" w:name="_Toc187684092"/>
      <w:r>
        <w:rPr>
          <w:rFonts w:hint="eastAsia"/>
        </w:rPr>
        <w:t>融资方案</w:t>
      </w:r>
      <w:bookmarkEnd w:id="43"/>
    </w:p>
    <w:p w14:paraId="662A80E9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一、融资方案</w:t>
      </w:r>
    </w:p>
    <w:p w14:paraId="07A04589">
      <w:pPr>
        <w:pStyle w:val="6"/>
        <w:ind w:firstLine="560"/>
        <w:rPr>
          <w:rFonts w:hint="default"/>
        </w:rPr>
      </w:pPr>
      <w:r>
        <w:t>本项目属于债务性融资，项目建设总投资估算22000.00万元。项目资金来源为：建设单位自筹资本金为9000.00万元，占总投资比例为40.91%，剩余13000.00万元拟申请地方政府专项债券，占总投资比例为59.09%。</w:t>
      </w:r>
    </w:p>
    <w:p w14:paraId="2A9858E9">
      <w:pPr>
        <w:pStyle w:val="6"/>
        <w:ind w:firstLine="560"/>
        <w:rPr>
          <w:rFonts w:hint="default"/>
        </w:rPr>
      </w:pPr>
      <w:r>
        <w:t>其中，专项债资金利息年利率按3.0%计取，建设期12个月，建设期利息为270.00万元，债券年限为30年（含建设期）。</w:t>
      </w:r>
    </w:p>
    <w:p w14:paraId="222FD4DD">
      <w:pPr>
        <w:pStyle w:val="4"/>
        <w:bidi w:val="0"/>
        <w:ind w:left="0" w:leftChars="0" w:firstLine="0" w:firstLineChars="0"/>
        <w:rPr>
          <w:rFonts w:hint="eastAsia"/>
        </w:rPr>
      </w:pPr>
      <w:bookmarkStart w:id="44" w:name="_Toc187684093"/>
      <w:r>
        <w:rPr>
          <w:rFonts w:hint="eastAsia"/>
        </w:rPr>
        <w:t>债务清偿能力分析</w:t>
      </w:r>
      <w:bookmarkEnd w:id="44"/>
    </w:p>
    <w:p w14:paraId="2005E31A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项目总投资22000.00万元，建设期为12个月，拟申请专项债券9000.00万元，债券发行相关信息如下：</w:t>
      </w:r>
    </w:p>
    <w:p w14:paraId="1CE6147F">
      <w:pPr>
        <w:pStyle w:val="6"/>
        <w:numPr>
          <w:ilvl w:val="0"/>
          <w:numId w:val="4"/>
        </w:numPr>
        <w:ind w:left="0"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建设期第1年发行9000万元，债券使用年限30年，年利率按3.0%计取；</w:t>
      </w:r>
    </w:p>
    <w:p w14:paraId="41ACFA84">
      <w:pPr>
        <w:pStyle w:val="6"/>
        <w:ind w:firstLine="560"/>
        <w:rPr>
          <w:rFonts w:hint="default"/>
        </w:rPr>
      </w:pPr>
      <w:r>
        <w:t>上述债券均采用“半年付息，到期一次性还本方式”偿还。项目债券期内，本息合计金额为11750.00万元。项目还本付息表详见下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REF _Ref15418 </w:instrText>
      </w:r>
      <w:r>
        <w:rPr>
          <w:rFonts w:hint="default"/>
        </w:rPr>
        <w:fldChar w:fldCharType="separate"/>
      </w:r>
      <w:r>
        <w:t>表7-</w:t>
      </w:r>
      <w:r>
        <w:rPr>
          <w:rFonts w:hint="default"/>
        </w:rPr>
        <w:fldChar w:fldCharType="end"/>
      </w:r>
      <w:r>
        <w:t>所示：</w:t>
      </w:r>
    </w:p>
    <w:p w14:paraId="24138481">
      <w:pPr>
        <w:pStyle w:val="6"/>
        <w:ind w:left="420" w:leftChars="200" w:firstLine="0" w:firstLineChars="0"/>
        <w:jc w:val="center"/>
        <w:rPr>
          <w:rFonts w:hint="default"/>
        </w:rPr>
      </w:pPr>
      <w:bookmarkStart w:id="45" w:name="_Ref15418"/>
      <w:r>
        <w:t>表7-</w:t>
      </w:r>
      <w:bookmarkEnd w:id="45"/>
      <w:r>
        <w:t>9：还本付息表</w:t>
      </w:r>
    </w:p>
    <w:tbl>
      <w:tblPr>
        <w:tblStyle w:val="11"/>
        <w:tblW w:w="487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8"/>
        <w:gridCol w:w="1363"/>
        <w:gridCol w:w="885"/>
        <w:gridCol w:w="1363"/>
        <w:gridCol w:w="1363"/>
        <w:gridCol w:w="981"/>
        <w:gridCol w:w="981"/>
        <w:gridCol w:w="982"/>
      </w:tblGrid>
      <w:tr w14:paraId="2BF37F4C">
        <w:trPr>
          <w:trHeight w:val="298" w:hRule="atLeast"/>
        </w:trPr>
        <w:tc>
          <w:tcPr>
            <w:tcW w:w="35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027C87EF">
            <w:pPr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年度</w:t>
            </w:r>
          </w:p>
        </w:tc>
        <w:tc>
          <w:tcPr>
            <w:tcW w:w="79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7E7799A3">
            <w:pPr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期初本金余额</w:t>
            </w:r>
          </w:p>
        </w:tc>
        <w:tc>
          <w:tcPr>
            <w:tcW w:w="50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D4DFCCD">
            <w:pPr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本年发放</w:t>
            </w:r>
          </w:p>
        </w:tc>
        <w:tc>
          <w:tcPr>
            <w:tcW w:w="79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43E81552">
            <w:pPr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本期偿还本金</w:t>
            </w:r>
          </w:p>
        </w:tc>
        <w:tc>
          <w:tcPr>
            <w:tcW w:w="79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3986C441">
            <w:pPr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期末本金余额</w:t>
            </w:r>
          </w:p>
        </w:tc>
        <w:tc>
          <w:tcPr>
            <w:tcW w:w="57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0223C6D0">
            <w:pPr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融资利率</w:t>
            </w:r>
          </w:p>
        </w:tc>
        <w:tc>
          <w:tcPr>
            <w:tcW w:w="57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318EBAD5">
            <w:pPr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应付利息</w:t>
            </w:r>
          </w:p>
        </w:tc>
        <w:tc>
          <w:tcPr>
            <w:tcW w:w="59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 w14:paraId="4BA249BC">
            <w:pPr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本息合计</w:t>
            </w:r>
          </w:p>
        </w:tc>
      </w:tr>
      <w:tr w14:paraId="00B38619">
        <w:trPr>
          <w:trHeight w:val="276" w:hRule="atLeast"/>
        </w:trPr>
        <w:tc>
          <w:tcPr>
            <w:tcW w:w="35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6763D2">
            <w:pPr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6D47A2">
            <w:pPr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0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61CB3F">
            <w:pPr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BF0EF9">
            <w:pPr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AE2D31">
            <w:pPr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7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087643">
            <w:pPr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7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ADAA6C">
            <w:pPr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9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6FF962">
            <w:pPr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14:paraId="6920103C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C122D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1F87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550A4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394A4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A5B88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61EF0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DAF50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B4688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7B614A4F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BCC94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40A21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56EF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0.00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E4DBF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980C4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D93A6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64D3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C8E26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558007B2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CA7F7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4A4E5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6A9D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0.00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DEC2D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A6319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88D60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466CD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8B8E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239A148E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40990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FA13F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9AFC1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0.00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825A0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852E8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1485A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175C5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FCE9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628A233A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34D72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F01A8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F4B72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E1DD9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BC19C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F44DC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14E76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BFAF5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5E82A5BC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661AD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E227C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DB376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A631F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99161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AE61E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AE95D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75944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10D2EC10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CFACE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EA50D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EB2FF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5C139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2605A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742D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B623B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45982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43B1745A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6EA7F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EC4F5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6B509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BDF6E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74B8A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9B90A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C682F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5ABB7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7AFA9A65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96901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E09B5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71D07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158D4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99B34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3D9BB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4AB7C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371A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2BB83DDF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21C76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AC558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178CB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3C395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3220A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DBDAA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1E91D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8ECE2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7A91EAD9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A5AAB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536FA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ADB07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17CF4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35537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8D7C6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ABAFF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4A0FA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787EEED6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B73ED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B36EB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6BDD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D0312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BA4F4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3EF32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C20BE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0C8C0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383FA84E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D8FF6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13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8B2E7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3F5EC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E4CCE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54E28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42DC6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CC538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6C957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6A6827C5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88FB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14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DBE4A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9E4E4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EC7A9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E6726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804F4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2F0E9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1069F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4A2EA461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AB32B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84319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3050E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59DF0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8CE56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0A465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F606E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3161B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0BCE25A1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4E744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9073B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708B9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67413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FF90E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28D8A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CBFED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BA3F1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3EE92073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641D0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17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7CED5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6AE65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D63FC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187CD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3815D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6A7FA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6D777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760BEAD5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EBBEA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18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BB535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38ABE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E88B8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FD1B0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C146B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831A6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592E7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4C602EED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CD707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19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205E1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8568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BCE43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49EAE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857D9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EE31F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BD415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71D8650A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51E0E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EBE66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B3B8D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86AA9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0B874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0F291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64F8A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610B7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30010790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9381B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21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A26DF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2024B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EC372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CE233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EAD0C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17C3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69E5E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628413AF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BE572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22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E20DA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F2E40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E2C08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C267E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D85B7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FA46E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3FFD4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2D2C0F98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41037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23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F008C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4CA5C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3FA8D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F9F82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6FF1D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5E0E9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241B4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5D353CFE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F011B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24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A15D7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4B951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61497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0DF98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E6B8F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146A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F998F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4D90CC69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1BA75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25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B00B5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6F04D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D9DED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072C7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0026D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9EA09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43E5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08575401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EAE16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26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968F2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BD56B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74AFB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4423F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E342A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421D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26B1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78E37954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E6B07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CBC05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5C271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12C7D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47D2B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2B895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FFD6E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A1B83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7E3417C3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28666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28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ACCB2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BBA1B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F77CD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3ACB7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5DFFE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EE240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A75F7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5373E293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09D5E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29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1ED98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4E73D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7F549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9E176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B53F1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029DA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28037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</w:tr>
      <w:tr w14:paraId="218A3D0D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811CC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30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F8444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217A5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1E0D9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B9862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0.00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1C03E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3.00%</w:t>
            </w: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8DFCA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E3D58">
            <w:pPr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szCs w:val="22"/>
              </w:rPr>
              <w:t>9270.00</w:t>
            </w:r>
          </w:p>
        </w:tc>
      </w:tr>
      <w:tr w14:paraId="192AD528">
        <w:trPr>
          <w:trHeight w:val="280" w:hRule="atLeast"/>
        </w:trPr>
        <w:tc>
          <w:tcPr>
            <w:tcW w:w="3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4D81D">
            <w:pPr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合计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3B9D0">
            <w:pPr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C1BE9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767B9">
            <w:pPr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9000.00</w:t>
            </w:r>
          </w:p>
        </w:tc>
        <w:tc>
          <w:tcPr>
            <w:tcW w:w="7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3193E">
            <w:pPr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C5517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5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9069B">
            <w:pPr>
              <w:jc w:val="center"/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8100.00</w:t>
            </w:r>
          </w:p>
        </w:tc>
        <w:tc>
          <w:tcPr>
            <w:tcW w:w="5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F4B71">
            <w:pPr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2"/>
                <w:szCs w:val="22"/>
              </w:rPr>
              <w:t>17100.00</w:t>
            </w:r>
          </w:p>
        </w:tc>
      </w:tr>
    </w:tbl>
    <w:p w14:paraId="48DCDC7B">
      <w:pPr>
        <w:pStyle w:val="6"/>
        <w:ind w:left="420" w:leftChars="200" w:firstLine="0" w:firstLineChars="0"/>
        <w:jc w:val="center"/>
        <w:rPr>
          <w:rFonts w:hint="default"/>
        </w:rPr>
      </w:pPr>
    </w:p>
    <w:p w14:paraId="5C03295B">
      <w:pPr>
        <w:pStyle w:val="4"/>
        <w:bidi w:val="0"/>
        <w:ind w:left="0" w:leftChars="0" w:firstLine="0" w:firstLineChars="0"/>
        <w:rPr>
          <w:rFonts w:hint="eastAsia"/>
        </w:rPr>
      </w:pPr>
      <w:bookmarkStart w:id="46" w:name="_Toc187684094"/>
      <w:r>
        <w:rPr>
          <w:rFonts w:hint="eastAsia"/>
        </w:rPr>
        <w:t>项目收益覆盖及敏感性抗压能力测试</w:t>
      </w:r>
      <w:bookmarkEnd w:id="46"/>
    </w:p>
    <w:p w14:paraId="00567DA0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本项目建设期为12个月，运营期为29年，计算期内总收入34395.05万元，总成本12303.77万元，累计收益余额22091.28万元，项目债券期内，本息合计金额为17100.00万元，正常运营状态下，项目本息覆盖率为1.29。</w:t>
      </w:r>
    </w:p>
    <w:p w14:paraId="111E1661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与此同时，鉴于本项目收益是在一定假设条件预测得出的数据，虽然考虑了实际运营因素对测算中的运营负荷率进行了压实，但是在未来实际运营中还可能存在一些其他不确定性风险因素。因此，本着“保守、据实、风险”估算原则，须假设一定风险条件，对项目收益进行敏感性抗压测试。</w:t>
      </w:r>
    </w:p>
    <w:p w14:paraId="4A4D4402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假设以下三种敏感性条件：“收入下降10%、成本上升10%，以及收入下降10%和成本上升10%”，查看项目正常状态下与假设条件下的本息覆盖率具体变化，用以判断项目抗压能力和主次敏感性影响因素，具体标准为：保证正常情况下本息覆盖率高于1.20，假设敏感性因素变化条件下本息覆盖不低于1.01。</w:t>
      </w:r>
    </w:p>
    <w:p w14:paraId="1136CE7D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t>项目收益抗压能力测试表如下表表7-10所示。</w:t>
      </w:r>
    </w:p>
    <w:p w14:paraId="7E9C3B37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sectPr>
          <w:headerReference r:id="rId12" w:type="default"/>
          <w:footerReference r:id="rId13" w:type="default"/>
          <w:pgSz w:w="11906" w:h="16838"/>
          <w:pgMar w:top="1440" w:right="1803" w:bottom="1440" w:left="1803" w:header="397" w:footer="737" w:gutter="0"/>
          <w:pgNumType w:fmt="decimal"/>
          <w:cols w:space="720" w:num="1"/>
          <w:docGrid w:linePitch="312" w:charSpace="0"/>
        </w:sectPr>
      </w:pPr>
    </w:p>
    <w:p w14:paraId="4A98BAD2">
      <w:pPr>
        <w:pStyle w:val="5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bookmarkStart w:id="47" w:name="_Ref10318"/>
      <w:r>
        <w:t>表</w:t>
      </w:r>
      <w:r>
        <w:rPr>
          <w:rFonts w:hint="eastAsia"/>
        </w:rPr>
        <w:t>7-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bookmarkEnd w:id="47"/>
      <w:r>
        <w:rPr>
          <w:rFonts w:hint="eastAsia"/>
        </w:rPr>
        <w:t>：项目收益覆盖及敏感性抗压能力测试表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1106"/>
        <w:gridCol w:w="1001"/>
        <w:gridCol w:w="1111"/>
        <w:gridCol w:w="1111"/>
        <w:gridCol w:w="1111"/>
        <w:gridCol w:w="1114"/>
        <w:gridCol w:w="1111"/>
        <w:gridCol w:w="1111"/>
        <w:gridCol w:w="1500"/>
        <w:gridCol w:w="1500"/>
        <w:gridCol w:w="1735"/>
      </w:tblGrid>
      <w:tr w14:paraId="7B879A5C">
        <w:trPr>
          <w:trHeight w:val="280" w:hRule="atLeast"/>
        </w:trPr>
        <w:tc>
          <w:tcPr>
            <w:tcW w:w="23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9C69A">
            <w:pPr>
              <w:jc w:val="center"/>
              <w:rPr>
                <w:rFonts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年度</w:t>
            </w:r>
          </w:p>
        </w:tc>
        <w:tc>
          <w:tcPr>
            <w:tcW w:w="113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4F988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借贷本息支付</w:t>
            </w:r>
          </w:p>
        </w:tc>
        <w:tc>
          <w:tcPr>
            <w:tcW w:w="78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5AC59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经营收入</w:t>
            </w:r>
          </w:p>
        </w:tc>
        <w:tc>
          <w:tcPr>
            <w:tcW w:w="784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1B948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总费用成本</w:t>
            </w:r>
          </w:p>
        </w:tc>
        <w:tc>
          <w:tcPr>
            <w:tcW w:w="2062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DEF05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收益余额</w:t>
            </w:r>
          </w:p>
        </w:tc>
      </w:tr>
      <w:tr w14:paraId="7F5FAC52">
        <w:trPr>
          <w:trHeight w:val="560" w:hRule="atLeast"/>
        </w:trPr>
        <w:tc>
          <w:tcPr>
            <w:tcW w:w="23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39ABE4">
            <w:pPr>
              <w:rPr>
                <w:rFonts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41607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本金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E0055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利息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F8509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本息合计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F8109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100%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61D26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下降10%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8FD58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100%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BD7D5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上升10%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3EF6E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100%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51BC3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收入下降10%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6E8A7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成本上升10%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7F5DA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收入下降10%且成本上升10%</w:t>
            </w:r>
          </w:p>
        </w:tc>
      </w:tr>
      <w:tr w14:paraId="18EA2E5A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2C53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5B45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34445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ED16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50B94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A0376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37F6A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BCC2A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44C1D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8BABF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0EC6E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B16E4">
            <w:pPr>
              <w:jc w:val="center"/>
              <w:rPr>
                <w:rFonts w:ascii="Times New Roman" w:hAnsi="Times New Roman" w:eastAsia="Times New Roman"/>
                <w:kern w:val="0"/>
                <w:sz w:val="20"/>
                <w:szCs w:val="20"/>
              </w:rPr>
            </w:pPr>
          </w:p>
        </w:tc>
      </w:tr>
      <w:tr w14:paraId="5830FF6C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1008B">
            <w:pPr>
              <w:jc w:val="center"/>
              <w:rPr>
                <w:rFonts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ECA23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D5B1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C2192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0E24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691.07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5FB4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621.96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60785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254.25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B57A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272.50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E6F7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436.82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630B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367.71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7E78D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418.57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AC47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349.46</w:t>
            </w:r>
          </w:p>
        </w:tc>
      </w:tr>
      <w:tr w14:paraId="030768A3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3B09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99ED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E803B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A3C3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4C938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774.27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84EE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696.84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69F9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267.26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486B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286.09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1233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507.01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12E82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429.58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1DAD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488.18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43022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410.75</w:t>
            </w:r>
          </w:p>
        </w:tc>
      </w:tr>
      <w:tr w14:paraId="47B16729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5F85A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564F2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E770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801C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A2EA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857.45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BA21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771.71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630C3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280.26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96B9B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299.67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1C6B8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577.19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14E2B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491.45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0B2D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557.78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9DF8A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472.04</w:t>
            </w:r>
          </w:p>
        </w:tc>
      </w:tr>
      <w:tr w14:paraId="2D0282E2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F58F2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43FF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5B62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8BE98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4A64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935.01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CFD6B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841.51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2A7B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292.87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A14DD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312.82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F514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642.14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D04D4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548.64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F072B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622.19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2C168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528.69</w:t>
            </w:r>
          </w:p>
        </w:tc>
      </w:tr>
      <w:tr w14:paraId="5EB997EF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3D23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592E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27858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FB78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0EE5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1,004.83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55FB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904.35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4F77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304.94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5AAB4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325.38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29095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699.89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1921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599.41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FA1F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679.45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5D142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578.97</w:t>
            </w:r>
          </w:p>
        </w:tc>
      </w:tr>
      <w:tr w14:paraId="2FA3D0FA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6863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6BB8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4E69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ED95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4B812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1,128.14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65FE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1,015.33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936AB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337.78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32898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360.25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92D54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790.36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CCEC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677.55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4706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767.89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99C74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655.08</w:t>
            </w:r>
          </w:p>
        </w:tc>
      </w:tr>
      <w:tr w14:paraId="210DC8C9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4E18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E0383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9AD4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8696A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0AFF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1,128.14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B9A3A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1,015.33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89AE2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337.78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A949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360.25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31914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790.36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60542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677.55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48B8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767.89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93F4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655.08</w:t>
            </w:r>
          </w:p>
        </w:tc>
      </w:tr>
      <w:tr w14:paraId="7C7BFB8D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C84D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0D9F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6928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F141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1824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1,128.14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0C8A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1,015.33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F3C44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337.78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79EA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360.25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E04A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790.36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51814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677.55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9893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767.89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2B81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655.08</w:t>
            </w:r>
          </w:p>
        </w:tc>
      </w:tr>
      <w:tr w14:paraId="5092AA4D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E43D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D4D13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28DB2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2BD8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ECCE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1,128.14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7650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1,015.33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A9BD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337.78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9AE6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360.25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52FDD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790.36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A07D4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677.55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B21F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767.89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3B5C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655.08</w:t>
            </w:r>
          </w:p>
        </w:tc>
      </w:tr>
      <w:tr w14:paraId="3330B376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C3F9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041B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71794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03E7D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A245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1,128.14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0084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1,015.33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A3EE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337.78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BAC63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360.25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1199A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790.36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FE5F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677.55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4FC7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767.89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6E1CA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655.08</w:t>
            </w:r>
          </w:p>
        </w:tc>
      </w:tr>
      <w:tr w14:paraId="3A8AF010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18EBB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D861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EA27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C3F5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7EE8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1,190.90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7D61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1,071.81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C162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360.57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AB70D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384.76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D423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830.33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31A2B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711.24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FAEB3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806.14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DE305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687.05</w:t>
            </w:r>
          </w:p>
        </w:tc>
      </w:tr>
      <w:tr w14:paraId="2956BC99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866F5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13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2BA5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386D5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84A15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EE405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1,190.90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E45D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1,071.81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B3C6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360.57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8154D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384.76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6106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830.33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0FD3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711.24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E015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806.14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542F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687.05</w:t>
            </w:r>
          </w:p>
        </w:tc>
      </w:tr>
      <w:tr w14:paraId="25034077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DFC44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14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3AFD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EB88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A0DE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512B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1,190.90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CCE1B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1,071.81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B957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360.57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0A2E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384.76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77BF8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830.33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BCE6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711.24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B3D3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806.14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70B24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687.05</w:t>
            </w:r>
          </w:p>
        </w:tc>
      </w:tr>
      <w:tr w14:paraId="43A19E32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CEDA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5B9AB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0B01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0031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3BE6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1,190.90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B8973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1,071.81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4BE1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360.57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C8258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384.76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140A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830.33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A734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711.24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63DF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806.14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51E2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687.05</w:t>
            </w:r>
          </w:p>
        </w:tc>
      </w:tr>
      <w:tr w14:paraId="138A9E02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EC593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E50F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53F9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65E1A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4CCC8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1,190.90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0FD7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1,071.81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935F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360.57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74BB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384.76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0DBA3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830.33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6D78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711.24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8262B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806.14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D39AD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687.05</w:t>
            </w:r>
          </w:p>
        </w:tc>
      </w:tr>
      <w:tr w14:paraId="6F75073D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DC656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17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A0BF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AA2E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86888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F29D5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1,257.36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4C27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1,131.62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64E3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418.47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26F4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444.51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43A48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838.89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CB22D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713.15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C2FE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812.85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69CAA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687.11</w:t>
            </w:r>
          </w:p>
        </w:tc>
      </w:tr>
      <w:tr w14:paraId="4026DB7E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3950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18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A61D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8B65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8391D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403F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1,257.36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A2E38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1,131.62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BF95A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503.93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9D7D3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529.97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9833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753.43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C5683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627.69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F9E8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727.39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1910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601.65</w:t>
            </w:r>
          </w:p>
        </w:tc>
      </w:tr>
      <w:tr w14:paraId="02BCF76A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F521B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19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DADC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0683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AACF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984C5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1,257.36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7770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1,131.62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CF10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503.93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74B98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529.97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BECF3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753.43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DDAE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627.69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2B0D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727.39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736C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601.65</w:t>
            </w:r>
          </w:p>
        </w:tc>
      </w:tr>
      <w:tr w14:paraId="26E6F97C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C5ACD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43448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6756A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3336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70234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1,257.36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C696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1,131.62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32B5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503.93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1990B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529.97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92AF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753.43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1216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627.69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BAC6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727.39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1138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601.65</w:t>
            </w:r>
          </w:p>
        </w:tc>
      </w:tr>
      <w:tr w14:paraId="69AA2E6F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DE2EA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21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6EED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4B08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4F46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0C03B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1,257.36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B3C6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1,131.62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7F76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503.93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B240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529.97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1F2D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753.43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D005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627.69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2B6D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727.39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E0B0A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601.65</w:t>
            </w:r>
          </w:p>
        </w:tc>
      </w:tr>
      <w:tr w14:paraId="181252CF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4542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22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E4C3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EBC3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7427B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E1A82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1,327.90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BE56A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1,195.11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CD47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537.25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FEBF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565.31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B490D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790.65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E630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657.86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994D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762.59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04775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629.80</w:t>
            </w:r>
          </w:p>
        </w:tc>
      </w:tr>
      <w:tr w14:paraId="15CF73B9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F9A0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23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5D02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FED9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AB03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8141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1,327.90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685FA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1,195.11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E8B55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537.25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4089B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565.31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AFC25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790.65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80F7B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657.86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694B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762.59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3D858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629.80</w:t>
            </w:r>
          </w:p>
        </w:tc>
      </w:tr>
      <w:tr w14:paraId="6FF98EFE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74C2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24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287F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6968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96853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4033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1,327.90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CC86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1,195.11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1B6D8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537.25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04D9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565.31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E756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790.65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9A89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657.86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54BA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762.59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2F763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629.80</w:t>
            </w:r>
          </w:p>
        </w:tc>
      </w:tr>
      <w:tr w14:paraId="62237C32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F943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25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507A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2473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2C465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55878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1,327.90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FBE2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1,195.11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E876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537.25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C6A54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565.31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80D68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790.65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7100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657.86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F57DB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762.59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A2893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629.80</w:t>
            </w:r>
          </w:p>
        </w:tc>
      </w:tr>
      <w:tr w14:paraId="1087AE81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0807B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26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D9AE4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BFD1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A04A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0AB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1,327.90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2966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1,195.11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FD70A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537.25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95F45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565.31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89C3A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790.65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E45D2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657.86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96095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762.59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AFF0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629.80</w:t>
            </w:r>
          </w:p>
        </w:tc>
      </w:tr>
      <w:tr w14:paraId="3D75DBF9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E4C5A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3E918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213B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C0138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786C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1,402.73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B4EE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1,262.46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F9585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573.00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7C45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603.24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514B3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829.73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80CF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689.46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635D3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799.49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BAE2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659.22</w:t>
            </w:r>
          </w:p>
        </w:tc>
      </w:tr>
      <w:tr w14:paraId="2169C6F0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4C15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28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8FC72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967E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49FA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D981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1,402.73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1978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1,262.46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0089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573.00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55E52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603.24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039B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829.73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41E0B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689.46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154A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799.49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A520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659.22</w:t>
            </w:r>
          </w:p>
        </w:tc>
      </w:tr>
      <w:tr w14:paraId="4CF19091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1AA58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29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0E4E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-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A8AB2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7B684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1B65A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1,402.73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D70B6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1,262.46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9E40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573.00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E1905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603.24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28FF0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829.73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8A9BA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689.46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41F9C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799.49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D71B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659.22</w:t>
            </w:r>
          </w:p>
        </w:tc>
      </w:tr>
      <w:tr w14:paraId="63E2E096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3DEE5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30</w:t>
            </w:r>
          </w:p>
        </w:tc>
        <w:tc>
          <w:tcPr>
            <w:tcW w:w="3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AD753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9,000.00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366B7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852FA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9,270.00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3E1C9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1,402.73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9D93A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1,262.46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F4DA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573.00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1DED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603.24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FF27E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829.73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6B1B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689.46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DF4C1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799.49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3806F">
            <w:pPr>
              <w:jc w:val="center"/>
              <w:rPr>
                <w:rFonts w:hint="eastAsia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color w:val="000000"/>
                <w:kern w:val="0"/>
                <w:sz w:val="22"/>
                <w:szCs w:val="22"/>
              </w:rPr>
              <w:t>659.22</w:t>
            </w:r>
          </w:p>
        </w:tc>
      </w:tr>
      <w:tr w14:paraId="0BA582D3">
        <w:trPr>
          <w:trHeight w:val="280" w:hRule="atLeast"/>
        </w:trPr>
        <w:tc>
          <w:tcPr>
            <w:tcW w:w="2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ED886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合计</w:t>
            </w:r>
          </w:p>
        </w:tc>
        <w:tc>
          <w:tcPr>
            <w:tcW w:w="390" w:type="pct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FCC99"/>
            <w:noWrap/>
            <w:vAlign w:val="center"/>
          </w:tcPr>
          <w:p w14:paraId="47555416">
            <w:pPr>
              <w:jc w:val="center"/>
              <w:rPr>
                <w:rFonts w:hint="eastAsia" w:ascii="等线" w:hAnsi="等线" w:eastAsia="等线" w:cs="宋体"/>
                <w:color w:val="3F3F76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color w:val="3F3F76"/>
                <w:kern w:val="0"/>
                <w:sz w:val="22"/>
                <w:szCs w:val="22"/>
              </w:rPr>
              <w:t>9000.00</w:t>
            </w:r>
          </w:p>
        </w:tc>
        <w:tc>
          <w:tcPr>
            <w:tcW w:w="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7ADCE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8100.00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37B33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17100.00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A1252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34395.05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D8F82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30955.56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75625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12303.77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0BF88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13025.41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08213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22091.28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AD930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18651.79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ADF74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21369.64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B36E3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17930.15</w:t>
            </w:r>
          </w:p>
        </w:tc>
      </w:tr>
      <w:tr w14:paraId="073615FD">
        <w:trPr>
          <w:trHeight w:val="280" w:hRule="atLeast"/>
        </w:trPr>
        <w:tc>
          <w:tcPr>
            <w:tcW w:w="2546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8A2C1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本息覆盖率</w:t>
            </w:r>
          </w:p>
        </w:tc>
        <w:tc>
          <w:tcPr>
            <w:tcW w:w="39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8B89A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7CE"/>
            <w:noWrap/>
            <w:vAlign w:val="center"/>
          </w:tcPr>
          <w:p w14:paraId="14BEDAC4">
            <w:pPr>
              <w:jc w:val="center"/>
              <w:rPr>
                <w:rFonts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1.29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B5D7A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1.09</w:t>
            </w:r>
          </w:p>
        </w:tc>
        <w:tc>
          <w:tcPr>
            <w:tcW w:w="5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E0E14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1.25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ED960">
            <w:pPr>
              <w:jc w:val="center"/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2"/>
                <w:szCs w:val="22"/>
              </w:rPr>
              <w:t>1.05</w:t>
            </w:r>
          </w:p>
        </w:tc>
      </w:tr>
    </w:tbl>
    <w:p w14:paraId="68246785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A44510">
      <w:pPr>
        <w:pStyle w:val="6"/>
        <w:ind w:firstLine="560"/>
        <w:rPr>
          <w:rFonts w:ascii="仿宋" w:hAnsi="仿宋" w:cs="仿宋"/>
          <w:color w:val="000000" w:themeColor="text1"/>
          <w14:textFill>
            <w14:solidFill>
              <w14:schemeClr w14:val="tx1"/>
            </w14:solidFill>
          </w14:textFill>
        </w:rPr>
        <w:sectPr>
          <w:headerReference r:id="rId14" w:type="default"/>
          <w:pgSz w:w="16838" w:h="11906" w:orient="landscape"/>
          <w:pgMar w:top="1803" w:right="1440" w:bottom="1803" w:left="1440" w:header="397" w:footer="737" w:gutter="0"/>
          <w:pgNumType w:fmt="decimal"/>
          <w:cols w:space="720" w:num="1"/>
          <w:docGrid w:linePitch="312" w:charSpace="0"/>
        </w:sectPr>
      </w:pPr>
    </w:p>
    <w:p w14:paraId="53FA584B">
      <w:pPr>
        <w:jc w:val="center"/>
        <w:rPr>
          <w:rFonts w:hint="eastAsia" w:cs="仿宋"/>
          <w:kern w:val="44"/>
          <w:sz w:val="28"/>
          <w:szCs w:val="28"/>
        </w:rPr>
      </w:pPr>
    </w:p>
    <w:p w14:paraId="461A1B26">
      <w:pPr>
        <w:pStyle w:val="4"/>
        <w:bidi w:val="0"/>
        <w:ind w:left="0" w:leftChars="0" w:firstLine="0" w:firstLineChars="0"/>
        <w:rPr>
          <w:rFonts w:hint="eastAsia"/>
        </w:rPr>
      </w:pPr>
      <w:bookmarkStart w:id="48" w:name="_Toc187684095"/>
      <w:r>
        <w:rPr>
          <w:rFonts w:hint="eastAsia"/>
        </w:rPr>
        <w:t>经济评价结论</w:t>
      </w:r>
      <w:bookmarkEnd w:id="48"/>
    </w:p>
    <w:p w14:paraId="72905BD7">
      <w:pPr>
        <w:pStyle w:val="6"/>
        <w:ind w:firstLine="560"/>
        <w:rPr>
          <w:rFonts w:hint="default"/>
        </w:rPr>
      </w:pPr>
      <w:r>
        <w:t>从测算出的主要财务指标看，本项目偿债在项目运营收入100%、90%和项目成本100%、110%的情况下，可实现现金流完全覆盖该项目，综合评价认为项目的建设在财务上是可行的。</w:t>
      </w:r>
    </w:p>
    <w:p w14:paraId="27203B8C">
      <w:pPr>
        <w:pStyle w:val="6"/>
        <w:ind w:firstLine="560"/>
        <w:rPr>
          <w:rFonts w:hint="default"/>
        </w:rPr>
      </w:pPr>
      <w:r>
        <w:t>因此，综合评价认为本次项目建设在财务上是可行的。</w:t>
      </w:r>
    </w:p>
    <w:p w14:paraId="1A9927D4">
      <w:pPr>
        <w:pStyle w:val="15"/>
        <w:bidi w:val="0"/>
        <w:ind w:left="0" w:leftChars="0" w:firstLine="0" w:firstLineChars="0"/>
        <w:rPr>
          <w:rFonts w:hint="eastAsia"/>
        </w:rPr>
      </w:pPr>
      <w:r>
        <w:t>财务</w:t>
      </w:r>
      <w:r>
        <w:rPr>
          <w:rFonts w:hint="eastAsia"/>
        </w:rPr>
        <w:t>可持续性</w:t>
      </w:r>
      <w:r>
        <w:t>分析</w:t>
      </w:r>
    </w:p>
    <w:p w14:paraId="0099ABD0">
      <w:pPr>
        <w:pStyle w:val="6"/>
        <w:ind w:firstLine="560"/>
        <w:rPr>
          <w:rFonts w:hint="default"/>
        </w:rPr>
      </w:pPr>
      <w:r>
        <w:t>本项目在经营期内经营净现金流量均为正向，累计盈余资金为12496.21万元，经营性现金流能够维持项目正常运营，因此本项目在财务上是可持续的。</w:t>
      </w:r>
    </w:p>
    <w:p w14:paraId="2260FC18">
      <w:pPr>
        <w:pStyle w:val="6"/>
        <w:ind w:firstLine="0" w:firstLineChars="0"/>
        <w:jc w:val="center"/>
        <w:rPr>
          <w:rFonts w:hint="default"/>
        </w:rPr>
        <w:sectPr>
          <w:headerReference r:id="rId15" w:type="default"/>
          <w:pgSz w:w="11906" w:h="16838"/>
          <w:pgMar w:top="1440" w:right="1803" w:bottom="1440" w:left="1803" w:header="397" w:footer="737" w:gutter="0"/>
          <w:pgNumType w:fmt="decimal"/>
          <w:cols w:space="720" w:num="1"/>
          <w:docGrid w:linePitch="312" w:charSpace="0"/>
        </w:sectPr>
      </w:pPr>
      <w:r>
        <w:t>项目现金流量表</w:t>
      </w:r>
    </w:p>
    <w:p w14:paraId="7DB3DAAA">
      <w:pPr>
        <w:pStyle w:val="6"/>
        <w:ind w:firstLine="0" w:firstLineChars="0"/>
        <w:jc w:val="center"/>
        <w:rPr>
          <w:rFonts w:hint="default"/>
        </w:rPr>
      </w:pPr>
      <w:r>
        <w:t>表7-11财务计划现金流量表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1199"/>
        <w:gridCol w:w="1094"/>
        <w:gridCol w:w="1094"/>
        <w:gridCol w:w="1094"/>
        <w:gridCol w:w="1094"/>
        <w:gridCol w:w="1199"/>
        <w:gridCol w:w="1200"/>
        <w:gridCol w:w="1200"/>
        <w:gridCol w:w="1200"/>
        <w:gridCol w:w="1200"/>
      </w:tblGrid>
      <w:tr w14:paraId="3E72F9DD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312FB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项目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C091D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第1年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686E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第2年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174C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第3年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9C69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第4年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56A7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第5年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1897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第6年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3128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第7年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A1E3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第8年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693D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第9年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1F00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第10年</w:t>
            </w:r>
          </w:p>
        </w:tc>
      </w:tr>
      <w:tr w14:paraId="029311B6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876A4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一、项目现金流入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C45E0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13,173.01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1631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9,487.11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426FA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774.27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82C1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857.45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F93EA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935.01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A6EF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1,004.83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0F13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1,128.14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1ECC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1,128.14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61B96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1,128.14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D1C4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1,128.14</w:t>
            </w:r>
          </w:p>
        </w:tc>
      </w:tr>
      <w:tr w14:paraId="2AC62286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B29E3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1.业务活动现金流入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2E13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65C6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660.12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3FDC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774.27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BF975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857.45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DFE0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935.01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659F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1,004.83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6E86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1,128.14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F42D6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1,128.14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3F025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1,128.14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0A49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1,128.14</w:t>
            </w:r>
          </w:p>
        </w:tc>
      </w:tr>
      <w:tr w14:paraId="274D51CA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72BF9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其中：种植基地出租收入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EB94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615F6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4.83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530F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5.32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37EB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5.80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030C8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6.29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C326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6.77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5CF9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7.61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A972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7.61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6446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7.61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C1AC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7.61</w:t>
            </w:r>
          </w:p>
        </w:tc>
      </w:tr>
      <w:tr w14:paraId="0D656A80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77D03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充电桩收入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3B2A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8C2D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57.02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6E78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76.03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DF05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95.04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993C5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104.54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6AA8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114.05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90590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125.45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73D5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125.45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98FF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125.45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4001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125.45</w:t>
            </w:r>
          </w:p>
        </w:tc>
      </w:tr>
      <w:tr w14:paraId="3F555D34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35DB0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厂房出租收入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DCA5B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8DF5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598.27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D2E7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658.10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BD8C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717.92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9274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777.75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5DEA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837.58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CC97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942.27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90D8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942.27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7E7B5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942.27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0B61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942.27</w:t>
            </w:r>
          </w:p>
        </w:tc>
      </w:tr>
      <w:tr w14:paraId="4CCBE45A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5621E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停车位收入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1E4A7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DA6A5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30.95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EE8D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34.82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6BB2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38.69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75CA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46.43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9579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46.43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12FA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52.81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E6C5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52.81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0234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52.81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6E996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52.81</w:t>
            </w:r>
          </w:p>
        </w:tc>
      </w:tr>
      <w:tr w14:paraId="38FA13DF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427C3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2.融资活动现金流入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6403A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13,173.01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AC97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8,826.99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080C5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906E5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A467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D79A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0C746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9867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892B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1709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</w:tr>
      <w:tr w14:paraId="15D0AF46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92DDF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其中：专项债券资金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1B860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9,000.00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B182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ABC3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2F28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F0480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C8C13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68C31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D2517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4D5C6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9CE6B">
            <w:pPr>
              <w:jc w:val="center"/>
              <w:rPr>
                <w:kern w:val="0"/>
                <w:sz w:val="20"/>
                <w:szCs w:val="20"/>
              </w:rPr>
            </w:pPr>
          </w:p>
        </w:tc>
      </w:tr>
      <w:tr w14:paraId="44E96C57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0C017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资本金投入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5D38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4,173.01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18D9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8,826.99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26BC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E279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15AF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C906D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D6A61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701B3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9109D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F0FAE">
            <w:pPr>
              <w:jc w:val="center"/>
              <w:rPr>
                <w:kern w:val="0"/>
                <w:sz w:val="20"/>
                <w:szCs w:val="20"/>
              </w:rPr>
            </w:pPr>
          </w:p>
        </w:tc>
      </w:tr>
      <w:tr w14:paraId="7D99CD42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E0F2F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二、项目现金流出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6626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13,173.01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0A51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524.25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AECD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537.26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C49B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550.26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412D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562.87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3D8D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574.94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3727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607.78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A694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607.78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6089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607.78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5228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607.78</w:t>
            </w:r>
          </w:p>
        </w:tc>
      </w:tr>
      <w:tr w14:paraId="2311C61B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45CBC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1.业务活动现金流出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6403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12,894.01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B1085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254.25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5862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267.26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9273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280.26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34686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292.87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543B8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304.94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3B6C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337.78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8787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337.78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33F15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337.78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7E32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337.78</w:t>
            </w:r>
          </w:p>
        </w:tc>
      </w:tr>
      <w:tr w14:paraId="47B22EE8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9AE1B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其中：项目建设流出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939C5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12,894.01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A0D1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3F821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2D13F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22DC3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25D72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79C74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9F744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FBF8C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44183">
            <w:pPr>
              <w:jc w:val="center"/>
              <w:rPr>
                <w:kern w:val="0"/>
                <w:sz w:val="20"/>
                <w:szCs w:val="20"/>
              </w:rPr>
            </w:pPr>
          </w:p>
        </w:tc>
      </w:tr>
      <w:tr w14:paraId="2D97D568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E5ED6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相关税费流出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9087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5A295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71.79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AE53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78.97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7C2C5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86.15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7F95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93.33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4C55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100.51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43CF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113.07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33116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113.07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EE7AA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113.07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A5A5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113.07</w:t>
            </w:r>
          </w:p>
        </w:tc>
      </w:tr>
      <w:tr w14:paraId="53F3EB1B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2B38D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业务成本流出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EE79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83F2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182.46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AF81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188.29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D0E48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194.11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9BE5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199.54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7F5C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204.43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DD6C0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224.71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4415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224.71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B8C48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224.71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192A8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224.71</w:t>
            </w:r>
          </w:p>
        </w:tc>
      </w:tr>
      <w:tr w14:paraId="2E2AD392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F4DDD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2.融资活动现金流出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AF61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279.00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EE1C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7CBC8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19E9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E902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DEF7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81E9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96A0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5881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2329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</w:tr>
      <w:tr w14:paraId="7D7897A7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35B49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其中：债券发行费用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1D1CA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9.00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A1D2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D5B2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EB5EA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5CE8A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159C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DF25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80080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80E2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4F93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</w:tr>
      <w:tr w14:paraId="20F46258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ECD1E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偿还债券本金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FBDA8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BB3F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4E89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B05F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0299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7AE4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5339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89C8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A49E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2E33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</w:tr>
      <w:tr w14:paraId="19AB58D4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D92DF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支付债券利息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86B1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1821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958D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1324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38ECA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9948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4E42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0C298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61DA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D7B9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</w:tr>
      <w:tr w14:paraId="1CA3AA10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B71FD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项目期初现金余额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0E0DB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F2B9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9221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8,962.86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EAAF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9,199.86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0DBD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9,507.05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F478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9,879.19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73618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10,309.08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317D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10,829.44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5E31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11,349.80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53F8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11,870.15</w:t>
            </w:r>
          </w:p>
        </w:tc>
      </w:tr>
      <w:tr w14:paraId="0876614C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FF73C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项目期内现金变动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CA75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BA53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8,962.86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D2FA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237.01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AE8B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307.19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FCC9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372.14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98C28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429.89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2D4AA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520.36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55A7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520.36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B955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520.36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D00DA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520.36</w:t>
            </w:r>
          </w:p>
        </w:tc>
      </w:tr>
      <w:tr w14:paraId="7B9323CE">
        <w:trPr>
          <w:trHeight w:val="280" w:hRule="atLeast"/>
        </w:trPr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F59A1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项目期末现金余额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E581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66C0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8,962.86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C3F1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9,199.86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DEFD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9,507.05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6B65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9,879.19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DFA0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10,309.08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DB0E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10,829.44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7E635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11,349.80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74EC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11,870.15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5113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12,390.51</w:t>
            </w:r>
          </w:p>
        </w:tc>
      </w:tr>
    </w:tbl>
    <w:p w14:paraId="5CF4840D">
      <w:pPr>
        <w:pStyle w:val="6"/>
        <w:ind w:firstLine="0" w:firstLineChars="0"/>
        <w:rPr>
          <w:rFonts w:hint="default"/>
        </w:rPr>
      </w:pPr>
    </w:p>
    <w:p w14:paraId="2B7ABEB1">
      <w:pPr>
        <w:pStyle w:val="6"/>
        <w:ind w:firstLine="0" w:firstLineChars="0"/>
        <w:rPr>
          <w:rFonts w:hint="default"/>
        </w:rPr>
        <w:sectPr>
          <w:headerReference r:id="rId16" w:type="default"/>
          <w:pgSz w:w="16838" w:h="11906" w:orient="landscape"/>
          <w:pgMar w:top="1803" w:right="1440" w:bottom="1803" w:left="1440" w:header="397" w:footer="737" w:gutter="0"/>
          <w:pgNumType w:fmt="decimal"/>
          <w:cols w:space="720" w:num="1"/>
          <w:docGrid w:linePitch="312" w:charSpace="0"/>
        </w:sectPr>
      </w:pP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3"/>
        <w:gridCol w:w="1165"/>
        <w:gridCol w:w="1165"/>
        <w:gridCol w:w="1165"/>
        <w:gridCol w:w="1165"/>
        <w:gridCol w:w="1165"/>
        <w:gridCol w:w="1165"/>
        <w:gridCol w:w="1165"/>
        <w:gridCol w:w="1165"/>
        <w:gridCol w:w="1165"/>
        <w:gridCol w:w="1166"/>
      </w:tblGrid>
      <w:tr w14:paraId="53B1883E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08ADE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项目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C1AA6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第11年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72E6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第12年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B953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第13年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8EFA5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第14年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E666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第15年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B78FA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第16年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CD686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第17年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ECC5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第18年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2E50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第19年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8FDE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第20年</w:t>
            </w:r>
          </w:p>
        </w:tc>
      </w:tr>
      <w:tr w14:paraId="029E22EC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49FFE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一、项目现金流入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ABB9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1,128.14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ACA40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1,190.90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DB69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1,190.90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39C2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1,190.90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B167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1,190.90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A45F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1,190.90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C354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1,257.36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3F4E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1,257.36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7FAA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1,257.36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85268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1,257.36</w:t>
            </w:r>
          </w:p>
        </w:tc>
      </w:tr>
      <w:tr w14:paraId="7BB37C7B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E61A0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1.业务活动现金流入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3D8D8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1,128.14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2BD4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1,190.90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385F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1,190.90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7FBC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1,190.90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3A67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1,190.90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6F106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1,190.90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96C3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1,257.36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854C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1,257.36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8A930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1,257.36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F62F0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1,257.36</w:t>
            </w:r>
          </w:p>
        </w:tc>
      </w:tr>
      <w:tr w14:paraId="3E950EDB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B7F15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其中：种植基地出租收入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720F8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7.61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8A9D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8.00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8EF4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8.00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063F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8.00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7C728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8.00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02DD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8.00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C331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8.40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05E2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8.40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900D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8.40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22FEA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8.40</w:t>
            </w:r>
          </w:p>
        </w:tc>
      </w:tr>
      <w:tr w14:paraId="3651A644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67C225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充电桩收入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FF66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125.45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DD6D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138.00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8D4A0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138.00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1A6AA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138.00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38580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138.00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54CC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138.00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E460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151.80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06F8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151.80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4503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151.80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6E9B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151.80</w:t>
            </w:r>
          </w:p>
        </w:tc>
      </w:tr>
      <w:tr w14:paraId="76039344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457CA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厂房出租收入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8DF77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942.27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18E1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989.45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56C4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989.45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81B7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989.45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3649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989.45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81C4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989.45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619495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1,038.94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DC1D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1,038.94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31BC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1,038.94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E12CA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1,038.94</w:t>
            </w:r>
          </w:p>
        </w:tc>
      </w:tr>
      <w:tr w14:paraId="57C86863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58747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停车位收入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34DBD">
            <w:pPr>
              <w:jc w:val="center"/>
              <w:rPr>
                <w:rFonts w:hint="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52.81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A262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55.45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7670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55.45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7AFA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55.45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BC55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55.45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F2CC5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55.45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54CF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58.22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5AF6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58.22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744A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58.22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0CD7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58.22</w:t>
            </w:r>
          </w:p>
        </w:tc>
      </w:tr>
      <w:tr w14:paraId="4D55F8FC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98358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2.融资活动现金流入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09798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466C8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7C1D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48EB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3664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8B326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D997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529D8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3257A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18346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</w:tr>
      <w:tr w14:paraId="785F4FEE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DAC3E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其中：专项债券资金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5B86A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097F1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1E5CB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996A7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572E4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54FCC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31D13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F452F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DE966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FD946">
            <w:pPr>
              <w:jc w:val="center"/>
              <w:rPr>
                <w:kern w:val="0"/>
                <w:sz w:val="20"/>
                <w:szCs w:val="20"/>
              </w:rPr>
            </w:pPr>
          </w:p>
        </w:tc>
      </w:tr>
      <w:tr w14:paraId="0F9F2904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A6740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资本金投入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803F4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C6B4D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D43A3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895CF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81EFB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97BE5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2CB93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86F89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BD043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1469F">
            <w:pPr>
              <w:jc w:val="center"/>
              <w:rPr>
                <w:kern w:val="0"/>
                <w:sz w:val="20"/>
                <w:szCs w:val="20"/>
              </w:rPr>
            </w:pPr>
          </w:p>
        </w:tc>
      </w:tr>
      <w:tr w14:paraId="4E463F9C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53D77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二、项目现金流出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3F53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607.78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329E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630.57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B647A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630.57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A62D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630.57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E35E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630.57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7E04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630.57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3BE16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688.47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037F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773.93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0071A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773.93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D3A6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773.93</w:t>
            </w:r>
          </w:p>
        </w:tc>
      </w:tr>
      <w:tr w14:paraId="78667F2A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3145E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1.业务活动现金流出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14C0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337.78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EF91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360.57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5EE6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360.57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878A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360.57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898B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360.57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6DE45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360.57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9F5B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418.47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3BEF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503.93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151D6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503.93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D4540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503.93</w:t>
            </w:r>
          </w:p>
        </w:tc>
      </w:tr>
      <w:tr w14:paraId="7409D726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96313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其中：项目建设流出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A8A46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76604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15EFA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56726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2FDD6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0DD32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2BAED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A085C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FB1C6">
            <w:pPr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3D89D">
            <w:pPr>
              <w:jc w:val="center"/>
              <w:rPr>
                <w:kern w:val="0"/>
                <w:sz w:val="20"/>
                <w:szCs w:val="20"/>
              </w:rPr>
            </w:pPr>
          </w:p>
        </w:tc>
      </w:tr>
      <w:tr w14:paraId="72664609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FBE06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相关税费流出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9B156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113.07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5232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118.73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38E2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118.73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0497A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118.73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F9DB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118.73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271D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118.73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6F2D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158.06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F24D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243.52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5BDF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243.52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5E030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243.52</w:t>
            </w:r>
          </w:p>
        </w:tc>
      </w:tr>
      <w:tr w14:paraId="4D697E37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9B4BD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业务成本流出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79F0A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224.71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CF715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241.84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FC02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241.84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BD58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241.84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ADCBA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241.84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2B91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241.84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47CF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260.41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A7A4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260.41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2B7C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260.41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07AF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260.41</w:t>
            </w:r>
          </w:p>
        </w:tc>
      </w:tr>
      <w:tr w14:paraId="0251A288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BD7D3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2.融资活动现金流出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39D4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6A98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1907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097A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59FE8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4456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72F4A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DE1D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CEC66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5E29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</w:tr>
      <w:tr w14:paraId="6CBF2C3B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4E452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其中：债券发行费用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7D80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6BAB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6C1B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2A09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868A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46CD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F821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D8E7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FE96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9599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</w:tr>
      <w:tr w14:paraId="78D9C259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0B19D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偿还债券本金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AE0A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A2470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4C37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C7458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816F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57750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F2EB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14AC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F662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EAB2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-</w:t>
            </w:r>
          </w:p>
        </w:tc>
      </w:tr>
      <w:tr w14:paraId="4A8E4B56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1CAD7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支付债券利息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F7358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8DD9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AF0C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30DC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47A2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056A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A49E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2AE1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E5E0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A4E65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270.00</w:t>
            </w:r>
          </w:p>
        </w:tc>
      </w:tr>
      <w:tr w14:paraId="43C2F0F5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D097E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项目期初现金余额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20C2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12,390.51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904C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12,910.87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9A44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13,471.20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125E4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14,031.53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788B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14,591.86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411F2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15,152.18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13F5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15,712.51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8B37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16,281.41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8DC2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16,764.84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39A4B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17,248.27</w:t>
            </w:r>
          </w:p>
        </w:tc>
      </w:tr>
      <w:tr w14:paraId="6DDF141C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2CC4F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项目期内现金变动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4BC5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520.36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AB7B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560.33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7AED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560.33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B5E80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560.33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519A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560.33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634F9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560.33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B005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568.89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9A35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483.43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BF2E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483.43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19D5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483.43</w:t>
            </w:r>
          </w:p>
        </w:tc>
      </w:tr>
      <w:tr w14:paraId="411956AA">
        <w:trPr>
          <w:trHeight w:val="280" w:hRule="atLeast"/>
        </w:trPr>
        <w:tc>
          <w:tcPr>
            <w:tcW w:w="8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364C5">
            <w:pPr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项目期末现金余额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D90F0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12,910.87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E29F1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13,471.20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BEBD3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14,031.53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2DF6F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14,591.86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280BD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15,152.18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19D37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15,712.51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9168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16,281.41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31BAE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16,764.84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9B0B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17,248.27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E03EC">
            <w:pPr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17,731.70</w:t>
            </w:r>
          </w:p>
        </w:tc>
      </w:tr>
    </w:tbl>
    <w:p w14:paraId="37698241">
      <w:pPr>
        <w:pStyle w:val="6"/>
        <w:ind w:firstLine="0" w:firstLineChars="0"/>
        <w:rPr>
          <w:rFonts w:hint="default"/>
        </w:rPr>
      </w:pPr>
    </w:p>
    <w:p w14:paraId="65B6D0C7">
      <w:pPr>
        <w:pStyle w:val="6"/>
        <w:ind w:firstLine="0" w:firstLineChars="0"/>
        <w:rPr>
          <w:rFonts w:hint="default"/>
        </w:rPr>
      </w:pPr>
    </w:p>
    <w:p w14:paraId="317441FA">
      <w:pPr>
        <w:pStyle w:val="6"/>
        <w:ind w:firstLine="0" w:firstLineChars="0"/>
        <w:rPr>
          <w:rFonts w:hint="default"/>
        </w:rPr>
        <w:sectPr>
          <w:pgSz w:w="16838" w:h="11906" w:orient="landscape"/>
          <w:pgMar w:top="1803" w:right="1440" w:bottom="1803" w:left="1440" w:header="397" w:footer="737" w:gutter="0"/>
          <w:pgNumType w:fmt="decimal"/>
          <w:cols w:space="720" w:num="1"/>
          <w:docGrid w:linePitch="312" w:charSpace="0"/>
        </w:sectPr>
      </w:pP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071"/>
        <w:gridCol w:w="1071"/>
        <w:gridCol w:w="1071"/>
        <w:gridCol w:w="1072"/>
        <w:gridCol w:w="1072"/>
        <w:gridCol w:w="1072"/>
        <w:gridCol w:w="1072"/>
        <w:gridCol w:w="1072"/>
        <w:gridCol w:w="1072"/>
        <w:gridCol w:w="1165"/>
        <w:gridCol w:w="1060"/>
      </w:tblGrid>
      <w:tr w14:paraId="21C5CD49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6613D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项目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D46D6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第21年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36C3D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第22年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C3A99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第23年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0E2A2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第24年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365F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第25年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CDF4C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第26年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F4399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第27年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10805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第28年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D6D92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第29年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17E5C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第30年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9873C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合计</w:t>
            </w:r>
          </w:p>
        </w:tc>
      </w:tr>
      <w:tr w14:paraId="449A64CE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11DBF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一、项目现金流入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EF303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1,257.36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DB6FE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1,327.90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226A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1,327.90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2DD71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1,327.90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61809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1,327.90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4DEE6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1,327.90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7D7ED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1,402.73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365A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1,402.73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0A218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1,402.73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7636A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1,402.73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D942D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56,364.10</w:t>
            </w:r>
          </w:p>
        </w:tc>
      </w:tr>
      <w:tr w14:paraId="73FD2E9D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A003C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1.业务活动现金流入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7EFFC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1,257.36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E8FDA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1,327.90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1A152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1,327.90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69BD6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1,327.90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51A70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1,327.90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40F47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1,327.90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B19C5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1,402.73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86186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1,402.73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22C0B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1,402.73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07E16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1,402.73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1CE88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34,364.10</w:t>
            </w:r>
          </w:p>
        </w:tc>
      </w:tr>
      <w:tr w14:paraId="583E7CF0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23CDD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其中：种植基地出租收入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5BFA1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8.40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5590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8.82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6588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8.82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0440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8.82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FD2A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8.82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2583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8.82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0261A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9.26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29CA5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9.26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040AE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9.26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E2BC7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9.26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23F98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230.20</w:t>
            </w:r>
          </w:p>
        </w:tc>
      </w:tr>
      <w:tr w14:paraId="50C7D91C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BF168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充电桩收入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9040A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151.80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CC4C8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166.98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5FBA1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166.98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33A91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166.98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A6F70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166.98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226A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166.98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2B8F3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183.68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E3705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183.68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18537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183.68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09D59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183.68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1174E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4,092.55</w:t>
            </w:r>
          </w:p>
        </w:tc>
      </w:tr>
      <w:tr w14:paraId="12C5A4D6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0F5D8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厂房出租收入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441DCF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1,038.94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86CD6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1,090.99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41107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1,090.99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E17BC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1,090.99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137C6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1,090.99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594C6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1,090.99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954DB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1,145.60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94918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1,145.60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62185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1,145.60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B246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1,145.60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401CA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28,480.27</w:t>
            </w:r>
          </w:p>
        </w:tc>
      </w:tr>
      <w:tr w14:paraId="57445C24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1625C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宋体"/>
                <w:color w:val="000000"/>
                <w:kern w:val="0"/>
                <w:sz w:val="18"/>
                <w:szCs w:val="18"/>
              </w:rPr>
              <w:t>停车位收入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73B3D">
            <w:pPr>
              <w:jc w:val="center"/>
              <w:rPr>
                <w:rFonts w:hint="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58.22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86880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61.11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DF26E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61.11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A5095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61.11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25040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61.11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D8549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61.11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F19C9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64.19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D0CC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64.19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14468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64.19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A1024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64.19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9FE0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1,592.03</w:t>
            </w:r>
          </w:p>
        </w:tc>
      </w:tr>
      <w:tr w14:paraId="52F141A9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FB0FC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2.融资活动现金流入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5A091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DBF9A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C6A7C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DF47B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8FFE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F2102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21181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68283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9D711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CB492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7EF3A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22,000.00</w:t>
            </w:r>
          </w:p>
        </w:tc>
      </w:tr>
      <w:tr w14:paraId="2E47D9F8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0D613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其中：专项债券资金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15D09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AFCB4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D8ECF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C7A22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64983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EF44B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EA295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016F5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D6CE7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7A0BA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DCC00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9,000.00</w:t>
            </w:r>
          </w:p>
        </w:tc>
      </w:tr>
      <w:tr w14:paraId="7B8E365F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1BAE4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资本金投入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B6E5B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F5755E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48EF6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D37DB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480C8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D69A6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ADBD8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0E5CE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CDEBC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9B667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75AAB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13,000.00</w:t>
            </w:r>
          </w:p>
        </w:tc>
      </w:tr>
      <w:tr w14:paraId="79641F01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8DC11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二、项目现金流出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F2DE6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773.93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0B375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807.25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186B7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807.25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9F3F2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807.25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0601B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807.25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3D9CE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807.25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78030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843.00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D8ECC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843.00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C0E63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843.00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0C37C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9,843.00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82584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42,306.81</w:t>
            </w:r>
          </w:p>
        </w:tc>
      </w:tr>
      <w:tr w14:paraId="1608CF28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65257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1.业务活动现金流出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19984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503.93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B227C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537.25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6DE76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537.25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158F8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537.25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EDE90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537.25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D0432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537.25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6A963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573.00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D0FC9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573.00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35D2C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573.00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A41F1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573.00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0960A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25,197.81</w:t>
            </w:r>
          </w:p>
        </w:tc>
      </w:tr>
      <w:tr w14:paraId="02728D2C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FFCFB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其中：项目建设流出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92603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4329C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64557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EFD10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F3337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CAE1C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015A8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B8B53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CB8F5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0659F">
            <w:pPr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75DB4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12,894.01</w:t>
            </w:r>
          </w:p>
        </w:tc>
      </w:tr>
      <w:tr w14:paraId="1D39AC05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E8F19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相关税费流出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4A22E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243.52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E7F13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256.70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DD6DE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256.70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8D538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256.70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8A5A1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256.70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6D49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256.70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7CE60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270.59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50108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270.59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566AC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270.59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0BB5D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270.59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0A152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5,087.74</w:t>
            </w:r>
          </w:p>
        </w:tc>
      </w:tr>
      <w:tr w14:paraId="37E723F6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8FE94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业务成本流出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B4789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260.41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42F75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280.55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D696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280.55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27734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280.55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3E259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280.55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F7615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280.55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1BFF3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302.41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D8938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302.41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60F2B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302.41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0DF0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302.41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9EE48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7,216.06</w:t>
            </w:r>
          </w:p>
        </w:tc>
      </w:tr>
      <w:tr w14:paraId="62D9FF2D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B6C1C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2.融资活动现金流出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F3C8D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2A08D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604F6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923A3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90EFE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0D387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FD729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DEFB3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17B86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C80D2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9,270.00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6DA84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17,109.00</w:t>
            </w:r>
          </w:p>
        </w:tc>
      </w:tr>
      <w:tr w14:paraId="426E630C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F39B0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其中：债券发行费用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4F4B3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C2FB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09F7B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31D82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5FC651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7CCD8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A55E2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D89A8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6C19A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E2D66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09705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9.00</w:t>
            </w:r>
          </w:p>
        </w:tc>
      </w:tr>
      <w:tr w14:paraId="2B787D49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AA119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偿还债券本金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2F87A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3233B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B7023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9E985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0885A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BDA69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6AF54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12AC5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287C7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FD0A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9,000.00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598ED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9,000.00</w:t>
            </w:r>
          </w:p>
        </w:tc>
      </w:tr>
      <w:tr w14:paraId="7269BF89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B3468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支付债券利息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66048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89693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57F3C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F081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7799B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12252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E9D05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AC520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91D49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270.00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5705C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270.00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43032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8,100.00</w:t>
            </w:r>
          </w:p>
        </w:tc>
      </w:tr>
      <w:tr w14:paraId="34C28EA4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5CEA6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项目期初现金余额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59517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17,731.70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56494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18,215.13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057B6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18,735.78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1A1B5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19,256.43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56642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19,777.08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0D316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20,297.73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EB60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20,818.38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B005E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21,378.10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9E259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21,937.83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D661E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22,497.56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37B6A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4396DDDA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6EA18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项目期内现金变动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F5D42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483.43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96BD7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520.65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B0029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520.65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1CB7C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520.65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81C6D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520.65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76D46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520.65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7CAA8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559.73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659A9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559.73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A7EF1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559.73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48F28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(8,440.27)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4E6CB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14,057.29</w:t>
            </w:r>
          </w:p>
        </w:tc>
      </w:tr>
      <w:tr w14:paraId="5998930C">
        <w:trPr>
          <w:trHeight w:val="280" w:hRule="atLeast"/>
        </w:trPr>
        <w:tc>
          <w:tcPr>
            <w:tcW w:w="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9C173">
            <w:pPr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项目期末现金余额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F16AC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18,215.13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5794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18,735.78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BA7B6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19,256.43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DCD0E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19,777.08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0670E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20,297.73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E5D2C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20,818.38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9600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21,378.10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7220D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21,937.83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21747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22,497.56</w:t>
            </w:r>
          </w:p>
        </w:tc>
        <w:tc>
          <w:tcPr>
            <w:tcW w:w="4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3CE5F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14,057.29</w:t>
            </w:r>
          </w:p>
        </w:tc>
        <w:tc>
          <w:tcPr>
            <w:tcW w:w="3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0C23E">
            <w:pPr>
              <w:jc w:val="center"/>
              <w:rPr>
                <w:rFonts w:cs="宋体"/>
                <w:color w:val="000000"/>
                <w:kern w:val="0"/>
                <w:sz w:val="18"/>
                <w:szCs w:val="18"/>
              </w:rPr>
            </w:pPr>
            <w:r>
              <w:rPr>
                <w:rFonts w:cs="宋体"/>
                <w:color w:val="000000"/>
                <w:kern w:val="0"/>
                <w:sz w:val="18"/>
                <w:szCs w:val="18"/>
              </w:rPr>
              <w:t>14,057.29</w:t>
            </w:r>
          </w:p>
        </w:tc>
      </w:tr>
    </w:tbl>
    <w:p w14:paraId="7620F190">
      <w:pPr>
        <w:pStyle w:val="6"/>
        <w:ind w:firstLine="0" w:firstLineChars="0"/>
        <w:rPr>
          <w:rFonts w:hint="default"/>
        </w:rPr>
        <w:sectPr>
          <w:pgSz w:w="16838" w:h="11906" w:orient="landscape"/>
          <w:pgMar w:top="1803" w:right="1440" w:bottom="1803" w:left="1440" w:header="397" w:footer="737" w:gutter="0"/>
          <w:pgNumType w:fmt="decimal"/>
          <w:cols w:space="720" w:num="1"/>
          <w:docGrid w:linePitch="312" w:charSpace="0"/>
        </w:sectPr>
      </w:pPr>
    </w:p>
    <w:p w14:paraId="3EFBAB07"/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A443F">
    <w:pPr>
      <w:pStyle w:val="9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2605E8">
    <w:pPr>
      <w:pStyle w:val="9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BCE73">
    <w:pPr>
      <w:pStyle w:val="9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85F11">
    <w:pPr>
      <w:pStyle w:val="9"/>
      <w:jc w:val="left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0FB800">
    <w:pPr>
      <w:pStyle w:val="10"/>
      <w:pBdr>
        <w:bottom w:val="none" w:color="auto" w:sz="0" w:space="1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3395E8">
    <w:pPr>
      <w:pStyle w:val="10"/>
      <w:rPr>
        <w:rFonts w:hint="eastAsia"/>
      </w:rPr>
    </w:pPr>
    <w:r>
      <w:rPr>
        <w:rFonts w:hint="eastAsia"/>
      </w:rPr>
      <w:pict>
        <v:shape id="PowerPlusWaterMarkObject33378981" o:spid="_x0000_s2050" o:spt="136" type="#_x0000_t136" style="position:absolute;left:0pt;height:117pt;width:468.0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亿科咨询" style="font-family:仿宋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FC481">
    <w:pPr>
      <w:pStyle w:val="10"/>
      <w:rPr>
        <w:rFonts w:hint="eastAsia"/>
      </w:rPr>
    </w:pPr>
    <w:r>
      <w:rPr>
        <w:rFonts w:hint="eastAsia"/>
      </w:rPr>
      <w:pict>
        <v:shape id="PowerPlusWaterMarkObject33378980" o:spid="_x0000_s2049" o:spt="136" type="#_x0000_t136" style="position:absolute;left:0pt;height:117pt;width:468.0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亿科咨询" style="font-family:仿宋;font-size:1pt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0C682B">
    <w:pPr>
      <w:pStyle w:val="10"/>
      <w:pBdr>
        <w:bottom w:val="none" w:color="auto" w:sz="0" w:space="1"/>
      </w:pBdr>
      <w:rPr>
        <w:rFonts w:hint="eastAsia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F3FF7">
    <w:pPr>
      <w:pStyle w:val="10"/>
      <w:pBdr>
        <w:bottom w:val="none" w:color="auto" w:sz="0" w:space="1"/>
      </w:pBdr>
      <w:rPr>
        <w:rFonts w:hint="eastAsia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651288">
    <w:pPr>
      <w:pStyle w:val="10"/>
      <w:pBdr>
        <w:bottom w:val="none" w:color="auto" w:sz="0" w:space="1"/>
      </w:pBdr>
      <w:rPr>
        <w:rFonts w:hint="eastAsia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253E9">
    <w:pPr>
      <w:pStyle w:val="10"/>
      <w:pBdr>
        <w:bottom w:val="none" w:color="auto" w:sz="0" w:space="1"/>
      </w:pBdr>
      <w:rPr>
        <w:rFonts w:hint="eastAsia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E4D48">
    <w:pPr>
      <w:pStyle w:val="10"/>
      <w:pBdr>
        <w:bottom w:val="none" w:color="auto" w:sz="0" w:space="1"/>
      </w:pBdr>
      <w:jc w:val="both"/>
      <w:rPr>
        <w:rFonts w:hint="eastAsia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6CD23">
    <w:pPr>
      <w:pStyle w:val="10"/>
      <w:pBdr>
        <w:bottom w:val="none" w:color="auto" w:sz="0" w:space="1"/>
      </w:pBdr>
      <w:rPr>
        <w:rFonts w:hint="eastAsia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11D77">
    <w:pPr>
      <w:pStyle w:val="10"/>
      <w:pBdr>
        <w:bottom w:val="none" w:color="auto" w:sz="0" w:space="1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5ED113"/>
    <w:multiLevelType w:val="singleLevel"/>
    <w:tmpl w:val="965ED113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AAD674C4"/>
    <w:multiLevelType w:val="singleLevel"/>
    <w:tmpl w:val="AAD674C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AC451E6D"/>
    <w:multiLevelType w:val="singleLevel"/>
    <w:tmpl w:val="AC451E6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DD6FDBE"/>
    <w:multiLevelType w:val="multilevel"/>
    <w:tmpl w:val="3DD6FDBE"/>
    <w:lvl w:ilvl="0" w:tentative="0">
      <w:start w:val="7"/>
      <w:numFmt w:val="decimal"/>
      <w:pStyle w:val="3"/>
      <w:suff w:val="space"/>
      <w:lvlText w:val="第%1章 "/>
      <w:lvlJc w:val="center"/>
      <w:pPr>
        <w:tabs>
          <w:tab w:val="left" w:pos="0"/>
        </w:tabs>
        <w:ind w:left="0" w:firstLine="0"/>
      </w:pPr>
      <w:rPr>
        <w:rFonts w:hint="default" w:ascii="仿宋" w:eastAsia="仿宋"/>
        <w:b/>
        <w:i w:val="0"/>
        <w:sz w:val="36"/>
        <w:u w:val="none"/>
      </w:rPr>
    </w:lvl>
    <w:lvl w:ilvl="1" w:tentative="0">
      <w:start w:val="1"/>
      <w:numFmt w:val="decimal"/>
      <w:pStyle w:val="4"/>
      <w:isLgl/>
      <w:suff w:val="nothing"/>
      <w:lvlText w:val="%1.%2."/>
      <w:lvlJc w:val="center"/>
      <w:pPr>
        <w:ind w:left="0" w:firstLine="0"/>
      </w:pPr>
      <w:rPr>
        <w:rFonts w:hint="eastAsia" w:ascii="仿宋" w:eastAsia="仿宋"/>
        <w:b/>
        <w:i w:val="0"/>
        <w:sz w:val="32"/>
        <w:u w:val="none"/>
      </w:rPr>
    </w:lvl>
    <w:lvl w:ilvl="2" w:tentative="0">
      <w:start w:val="1"/>
      <w:numFmt w:val="decimal"/>
      <w:pStyle w:val="15"/>
      <w:isLgl/>
      <w:suff w:val="nothing"/>
      <w:lvlText w:val="%1.%2.%3."/>
      <w:lvlJc w:val="left"/>
      <w:pPr>
        <w:ind w:left="0" w:firstLine="0"/>
      </w:pPr>
      <w:rPr>
        <w:rFonts w:hint="eastAsia" w:ascii="仿宋" w:eastAsia="仿宋"/>
        <w:b/>
        <w:i w:val="0"/>
        <w:sz w:val="28"/>
        <w:u w:val="none"/>
      </w:rPr>
    </w:lvl>
    <w:lvl w:ilvl="3" w:tentative="0">
      <w:start w:val="1"/>
      <w:numFmt w:val="decimal"/>
      <w:pStyle w:val="14"/>
      <w:suff w:val="nothing"/>
      <w:lvlText w:val="%4."/>
      <w:lvlJc w:val="left"/>
      <w:pPr>
        <w:ind w:left="0" w:firstLine="1077"/>
      </w:pPr>
      <w:rPr>
        <w:rFonts w:hint="default" w:ascii="仿宋" w:eastAsia="仿宋"/>
        <w:b w:val="0"/>
        <w:i w:val="0"/>
        <w:iCs w:val="0"/>
        <w:sz w:val="28"/>
        <w:u w:val="none"/>
      </w:rPr>
    </w:lvl>
    <w:lvl w:ilvl="4" w:tentative="0">
      <w:start w:val="1"/>
      <w:numFmt w:val="decimal"/>
      <w:pStyle w:val="16"/>
      <w:suff w:val="nothing"/>
      <w:lvlText w:val="%5）"/>
      <w:lvlJc w:val="left"/>
      <w:pPr>
        <w:ind w:left="0" w:firstLine="1077"/>
      </w:pPr>
      <w:rPr>
        <w:rFonts w:hint="eastAsia" w:ascii="仿宋" w:eastAsia="仿宋"/>
        <w:b w:val="0"/>
        <w:i w:val="0"/>
        <w:sz w:val="28"/>
        <w:u w:val="none"/>
      </w:rPr>
    </w:lvl>
    <w:lvl w:ilvl="5" w:tentative="0">
      <w:start w:val="1"/>
      <w:numFmt w:val="decimal"/>
      <w:suff w:val="nothing"/>
      <w:lvlText w:val="（%6）"/>
      <w:lvlJc w:val="left"/>
      <w:pPr>
        <w:ind w:left="0" w:firstLine="1077"/>
      </w:pPr>
      <w:rPr>
        <w:rFonts w:hint="eastAsia" w:ascii="仿宋" w:eastAsia="仿宋"/>
        <w:b w:val="0"/>
        <w:i w:val="0"/>
        <w:sz w:val="28"/>
        <w:u w:val="none"/>
      </w:rPr>
    </w:lvl>
    <w:lvl w:ilvl="6" w:tentative="0">
      <w:start w:val="1"/>
      <w:numFmt w:val="decimal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5F05BD"/>
    <w:rsid w:val="BE5F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仿宋" w:hAnsi="仿宋" w:eastAsia="仿宋" w:cs="Times New Roman"/>
      <w:kern w:val="2"/>
      <w:sz w:val="21"/>
      <w:szCs w:val="21"/>
      <w:lang w:val="en-US" w:eastAsia="zh-CN" w:bidi="ar-SA"/>
    </w:rPr>
  </w:style>
  <w:style w:type="paragraph" w:styleId="3">
    <w:name w:val="heading 1"/>
    <w:basedOn w:val="1"/>
    <w:next w:val="4"/>
    <w:qFormat/>
    <w:uiPriority w:val="9"/>
    <w:pPr>
      <w:keepNext/>
      <w:keepLines/>
      <w:numPr>
        <w:ilvl w:val="0"/>
        <w:numId w:val="1"/>
      </w:numPr>
      <w:autoSpaceDE w:val="0"/>
      <w:autoSpaceDN w:val="0"/>
      <w:adjustRightInd w:val="0"/>
      <w:snapToGrid w:val="0"/>
      <w:spacing w:line="360" w:lineRule="auto"/>
      <w:jc w:val="center"/>
      <w:textAlignment w:val="baseline"/>
      <w:outlineLvl w:val="0"/>
    </w:pPr>
    <w:rPr>
      <w:rFonts w:cs="仿宋"/>
      <w:b/>
      <w:kern w:val="44"/>
      <w:sz w:val="36"/>
      <w:szCs w:val="36"/>
    </w:rPr>
  </w:style>
  <w:style w:type="paragraph" w:styleId="4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autoSpaceDE w:val="0"/>
      <w:autoSpaceDN w:val="0"/>
      <w:adjustRightInd w:val="0"/>
      <w:snapToGrid w:val="0"/>
      <w:spacing w:line="360" w:lineRule="auto"/>
      <w:jc w:val="center"/>
      <w:textAlignment w:val="baseline"/>
      <w:outlineLvl w:val="1"/>
    </w:pPr>
    <w:rPr>
      <w:rFonts w:cs="仿宋"/>
      <w:b/>
      <w:bCs/>
      <w:sz w:val="32"/>
      <w:szCs w:val="32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/>
      <w:b/>
      <w:bCs/>
      <w:sz w:val="28"/>
      <w:szCs w:val="28"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6"/>
    <w:unhideWhenUsed/>
    <w:qFormat/>
    <w:uiPriority w:val="35"/>
    <w:pPr>
      <w:autoSpaceDE w:val="0"/>
      <w:autoSpaceDN w:val="0"/>
      <w:spacing w:line="360" w:lineRule="auto"/>
      <w:jc w:val="center"/>
      <w:textAlignment w:val="baseline"/>
    </w:pPr>
    <w:rPr>
      <w:rFonts w:cs="仿宋"/>
      <w:b/>
      <w:bCs/>
      <w:sz w:val="24"/>
      <w:szCs w:val="24"/>
    </w:rPr>
  </w:style>
  <w:style w:type="paragraph" w:customStyle="1" w:styleId="6">
    <w:name w:val="A正文文本-无序号级别"/>
    <w:basedOn w:val="7"/>
    <w:autoRedefine/>
    <w:qFormat/>
    <w:uiPriority w:val="0"/>
    <w:pPr>
      <w:topLinePunct/>
      <w:adjustRightInd w:val="0"/>
      <w:snapToGrid w:val="0"/>
      <w:spacing w:line="360" w:lineRule="auto"/>
      <w:jc w:val="both"/>
    </w:pPr>
    <w:rPr>
      <w:rFonts w:hint="eastAsia" w:ascii="Times New Roman" w:hAnsi="Times New Roman"/>
      <w:kern w:val="44"/>
      <w:sz w:val="28"/>
      <w:szCs w:val="28"/>
    </w:rPr>
  </w:style>
  <w:style w:type="paragraph" w:styleId="7">
    <w:name w:val="Body Text First Indent"/>
    <w:basedOn w:val="8"/>
    <w:next w:val="1"/>
    <w:qFormat/>
    <w:uiPriority w:val="0"/>
  </w:style>
  <w:style w:type="paragraph" w:styleId="8">
    <w:name w:val="Body Text"/>
    <w:basedOn w:val="1"/>
    <w:next w:val="1"/>
    <w:qFormat/>
    <w:uiPriority w:val="0"/>
    <w:pPr>
      <w:ind w:firstLine="964" w:firstLineChars="200"/>
    </w:pPr>
  </w:style>
  <w:style w:type="paragraph" w:styleId="9">
    <w:name w:val="footer"/>
    <w:basedOn w:val="1"/>
    <w:unhideWhenUsed/>
    <w:qFormat/>
    <w:uiPriority w:val="99"/>
    <w:pPr>
      <w:pBdr>
        <w:top w:val="thinThickMediumGap" w:color="0070C0" w:sz="24" w:space="1"/>
      </w:pBdr>
      <w:tabs>
        <w:tab w:val="center" w:pos="4153"/>
        <w:tab w:val="right" w:pos="8306"/>
      </w:tabs>
      <w:autoSpaceDE w:val="0"/>
      <w:autoSpaceDN w:val="0"/>
      <w:adjustRightInd w:val="0"/>
      <w:snapToGrid w:val="0"/>
      <w:jc w:val="center"/>
      <w:textAlignment w:val="baseline"/>
    </w:pPr>
    <w:rPr>
      <w:szCs w:val="18"/>
    </w:rPr>
  </w:style>
  <w:style w:type="paragraph" w:styleId="10">
    <w:name w:val="header"/>
    <w:basedOn w:val="1"/>
    <w:unhideWhenUsed/>
    <w:qFormat/>
    <w:uiPriority w:val="99"/>
    <w:pPr>
      <w:pBdr>
        <w:bottom w:val="thickThinSmallGap" w:color="0070C0" w:sz="24" w:space="1"/>
      </w:pBdr>
      <w:tabs>
        <w:tab w:val="center" w:pos="4153"/>
        <w:tab w:val="right" w:pos="8306"/>
      </w:tabs>
      <w:autoSpaceDE w:val="0"/>
      <w:autoSpaceDN w:val="0"/>
      <w:adjustRightInd w:val="0"/>
      <w:snapToGrid w:val="0"/>
      <w:jc w:val="center"/>
      <w:textAlignment w:val="baseline"/>
    </w:pPr>
    <w:rPr>
      <w:sz w:val="20"/>
      <w:szCs w:val="16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D4级 正文文本"/>
    <w:basedOn w:val="8"/>
    <w:next w:val="6"/>
    <w:autoRedefine/>
    <w:qFormat/>
    <w:uiPriority w:val="0"/>
    <w:pPr>
      <w:numPr>
        <w:ilvl w:val="3"/>
        <w:numId w:val="1"/>
      </w:numPr>
      <w:autoSpaceDE w:val="0"/>
      <w:autoSpaceDN w:val="0"/>
      <w:adjustRightInd w:val="0"/>
      <w:snapToGrid w:val="0"/>
      <w:spacing w:line="360" w:lineRule="auto"/>
      <w:ind w:firstLine="1077" w:firstLineChars="0"/>
      <w:jc w:val="both"/>
      <w:textAlignment w:val="baseline"/>
    </w:pPr>
    <w:rPr>
      <w:sz w:val="28"/>
      <w:szCs w:val="28"/>
    </w:rPr>
  </w:style>
  <w:style w:type="paragraph" w:customStyle="1" w:styleId="15">
    <w:name w:val="C3级标题-正文"/>
    <w:basedOn w:val="1"/>
    <w:next w:val="6"/>
    <w:autoRedefine/>
    <w:qFormat/>
    <w:uiPriority w:val="0"/>
    <w:pPr>
      <w:numPr>
        <w:ilvl w:val="2"/>
        <w:numId w:val="1"/>
      </w:numPr>
      <w:autoSpaceDE w:val="0"/>
      <w:autoSpaceDN w:val="0"/>
      <w:adjustRightInd w:val="0"/>
      <w:snapToGrid w:val="0"/>
      <w:spacing w:line="360" w:lineRule="auto"/>
      <w:textAlignment w:val="baseline"/>
    </w:pPr>
    <w:rPr>
      <w:b/>
      <w:sz w:val="28"/>
      <w:szCs w:val="28"/>
    </w:rPr>
  </w:style>
  <w:style w:type="paragraph" w:customStyle="1" w:styleId="16">
    <w:name w:val="E5级 正文文本"/>
    <w:basedOn w:val="14"/>
    <w:autoRedefine/>
    <w:qFormat/>
    <w:uiPriority w:val="0"/>
    <w:pPr>
      <w:numPr>
        <w:ilvl w:val="4"/>
      </w:numPr>
    </w:pPr>
  </w:style>
  <w:style w:type="paragraph" w:customStyle="1" w:styleId="17">
    <w:name w:val="表格文字"/>
    <w:autoRedefine/>
    <w:qFormat/>
    <w:uiPriority w:val="0"/>
    <w:pPr>
      <w:autoSpaceDE w:val="0"/>
      <w:autoSpaceDN w:val="0"/>
      <w:adjustRightInd w:val="0"/>
      <w:snapToGrid w:val="0"/>
      <w:jc w:val="center"/>
      <w:textAlignment w:val="baseline"/>
    </w:pPr>
    <w:rPr>
      <w:rFonts w:ascii="Times New Roman" w:hAnsi="Times New Roman" w:eastAsia="仿宋" w:cs="宋体"/>
      <w:bCs/>
      <w:sz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5.xml"/><Relationship Id="rId7" Type="http://schemas.openxmlformats.org/officeDocument/2006/relationships/footer" Target="footer1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22" Type="http://schemas.openxmlformats.org/officeDocument/2006/relationships/image" Target="media/image5.jpeg"/><Relationship Id="rId21" Type="http://schemas.openxmlformats.org/officeDocument/2006/relationships/image" Target="media/image4.png"/><Relationship Id="rId20" Type="http://schemas.openxmlformats.org/officeDocument/2006/relationships/image" Target="media/image3.png"/><Relationship Id="rId2" Type="http://schemas.openxmlformats.org/officeDocument/2006/relationships/settings" Target="settings.xml"/><Relationship Id="rId19" Type="http://schemas.openxmlformats.org/officeDocument/2006/relationships/image" Target="media/image2.png"/><Relationship Id="rId18" Type="http://schemas.openxmlformats.org/officeDocument/2006/relationships/image" Target="media/image1.png"/><Relationship Id="rId17" Type="http://schemas.openxmlformats.org/officeDocument/2006/relationships/theme" Target="theme/theme1.xml"/><Relationship Id="rId16" Type="http://schemas.openxmlformats.org/officeDocument/2006/relationships/header" Target="header10.xml"/><Relationship Id="rId15" Type="http://schemas.openxmlformats.org/officeDocument/2006/relationships/header" Target="header9.xml"/><Relationship Id="rId14" Type="http://schemas.openxmlformats.org/officeDocument/2006/relationships/header" Target="header8.xml"/><Relationship Id="rId13" Type="http://schemas.openxmlformats.org/officeDocument/2006/relationships/footer" Target="footer4.xml"/><Relationship Id="rId12" Type="http://schemas.openxmlformats.org/officeDocument/2006/relationships/header" Target="header7.xml"/><Relationship Id="rId11" Type="http://schemas.openxmlformats.org/officeDocument/2006/relationships/header" Target="header6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50"/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2025-09-15T15:37:00Z</dcterms:created>
  <dc:creator>Arya</dc:creator>
  <cp:lastModifiedBy>Arya</cp:lastModifiedBy>
  <dcterms:modified xsi:type="dcterms:W3CDTF">2025-09-15T15:57:40Z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104FAF53472465023AC2C76860F96714_41</vt:lpwstr>
  </property>
</Properties>
</file>