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EE45" w14:textId="77777777" w:rsidR="005302BF" w:rsidRDefault="003D6ED6">
      <w:pPr>
        <w:pStyle w:val="10"/>
      </w:pPr>
      <w:r>
        <w:t>相关超图支付通道网络的停止时间</w:t>
      </w:r>
    </w:p>
    <w:p w14:paraId="48E0C181" w14:textId="77777777" w:rsidR="005302BF" w:rsidRDefault="003D6ED6">
      <w:pPr>
        <w:pStyle w:val="affff9"/>
      </w:pPr>
      <w:r>
        <w:rPr>
          <w:b/>
        </w:rPr>
        <w:t>[</w:t>
      </w:r>
      <w:r>
        <w:rPr>
          <w:b/>
        </w:rPr>
        <w:t>作者姓名</w:t>
      </w:r>
      <w:r>
        <w:rPr>
          <w:b/>
        </w:rPr>
        <w:t>1]</w:t>
      </w:r>
      <w:r>
        <w:rPr>
          <w:b/>
        </w:rPr>
        <w:t>，</w:t>
      </w:r>
      <w:r>
        <w:rPr>
          <w:b/>
        </w:rPr>
        <w:t>[</w:t>
      </w:r>
      <w:r>
        <w:rPr>
          <w:b/>
        </w:rPr>
        <w:t>作者姓名</w:t>
      </w:r>
      <w:r>
        <w:rPr>
          <w:b/>
        </w:rPr>
        <w:t>2]</w:t>
      </w:r>
      <w:r>
        <w:rPr>
          <w:b/>
        </w:rPr>
        <w:t>，</w:t>
      </w:r>
      <w:r>
        <w:rPr>
          <w:b/>
        </w:rPr>
        <w:t>[</w:t>
      </w:r>
      <w:r>
        <w:rPr>
          <w:b/>
        </w:rPr>
        <w:t>作者姓名</w:t>
      </w:r>
      <w:r>
        <w:rPr>
          <w:b/>
        </w:rPr>
        <w:t>3]</w:t>
      </w:r>
    </w:p>
    <w:p w14:paraId="716C5631" w14:textId="77777777" w:rsidR="005302BF" w:rsidRDefault="003D6ED6">
      <w:pPr>
        <w:pStyle w:val="affff6"/>
        <w:spacing w:after="218"/>
      </w:pPr>
      <w:r>
        <w:t>（</w:t>
      </w:r>
      <w:r>
        <w:t>1. [</w:t>
      </w:r>
      <w:r>
        <w:t>单位</w:t>
      </w:r>
      <w:r>
        <w:t>1</w:t>
      </w:r>
      <w:r>
        <w:t>，省市</w:t>
      </w:r>
      <w:r>
        <w:t xml:space="preserve"> </w:t>
      </w:r>
      <w:r>
        <w:t>邮编</w:t>
      </w:r>
      <w:r>
        <w:t>]</w:t>
      </w:r>
      <w:r>
        <w:t>；</w:t>
      </w:r>
      <w:r>
        <w:t>2. [</w:t>
      </w:r>
      <w:r>
        <w:t>单位</w:t>
      </w:r>
      <w:r>
        <w:t>2</w:t>
      </w:r>
      <w:r>
        <w:t>，省市</w:t>
      </w:r>
      <w:r>
        <w:t xml:space="preserve"> </w:t>
      </w:r>
      <w:r>
        <w:t>邮编</w:t>
      </w:r>
      <w:r>
        <w:t>]</w:t>
      </w:r>
      <w:r>
        <w:t>）</w:t>
      </w:r>
    </w:p>
    <w:p w14:paraId="643377F4" w14:textId="77777777" w:rsidR="005302BF" w:rsidRDefault="003D6ED6">
      <w:pPr>
        <w:pStyle w:val="afffff1"/>
        <w:ind w:left="420" w:right="420"/>
      </w:pPr>
      <w:r>
        <w:rPr>
          <w:b/>
        </w:rPr>
        <w:t>摘</w:t>
      </w:r>
      <w:r>
        <w:rPr>
          <w:b/>
        </w:rPr>
        <w:t xml:space="preserve">  </w:t>
      </w:r>
      <w:r>
        <w:rPr>
          <w:b/>
        </w:rPr>
        <w:t>要：</w:t>
      </w:r>
      <w:r>
        <w:t xml:space="preserve"> </w:t>
      </w:r>
      <w:r>
        <w:t>针对多跳原子支付同时改变多条通道而使独立通道假设失真的问题，建立固定超图支付通道网络的首次余额耗尽模型。证明有限状态吸收方程与漂移三分区极限，并在平衡零漂移二元网络中证明相关模型的高斯极限生存时间不短于独立边际代理。精确求解、合成实验及</w:t>
      </w:r>
      <w:r>
        <w:t>Lightning</w:t>
      </w:r>
      <w:r>
        <w:t>公开拓扑实验表明，有限尺度与热点需求可使效应变号。结论适用于固定外生单位路由的首次触边，不等同于真实支付失败。</w:t>
      </w:r>
    </w:p>
    <w:p w14:paraId="258DCA0C" w14:textId="77777777" w:rsidR="005302BF" w:rsidRDefault="003D6ED6">
      <w:pPr>
        <w:pStyle w:val="afffff1"/>
        <w:ind w:left="420" w:right="420"/>
      </w:pPr>
      <w:r>
        <w:rPr>
          <w:b/>
        </w:rPr>
        <w:t>关键词：</w:t>
      </w:r>
      <w:r>
        <w:t xml:space="preserve"> </w:t>
      </w:r>
      <w:r>
        <w:t>支付通道网络；超图；停止时间；首次余额耗尽；高斯相关不等式；扩散逼近</w:t>
      </w:r>
    </w:p>
    <w:p w14:paraId="4B8CF23E" w14:textId="77777777" w:rsidR="005302BF" w:rsidRDefault="003D6ED6">
      <w:pPr>
        <w:pStyle w:val="afffff1"/>
        <w:ind w:left="420" w:right="420"/>
      </w:pPr>
      <w:r>
        <w:rPr>
          <w:b/>
        </w:rPr>
        <w:t>中图分类号：</w:t>
      </w:r>
      <w:r>
        <w:t xml:space="preserve"> [</w:t>
      </w:r>
      <w:r>
        <w:t>待核</w:t>
      </w:r>
      <w:r>
        <w:t>]</w:t>
      </w:r>
      <w:r>
        <w:t xml:space="preserve">　　</w:t>
      </w:r>
      <w:r>
        <w:rPr>
          <w:b/>
        </w:rPr>
        <w:t>文献标志码：</w:t>
      </w:r>
      <w:r>
        <w:t xml:space="preserve"> A</w:t>
      </w:r>
      <w:r>
        <w:t xml:space="preserve">　　</w:t>
      </w:r>
      <w:r>
        <w:rPr>
          <w:b/>
        </w:rPr>
        <w:t>doi</w:t>
      </w:r>
      <w:r>
        <w:rPr>
          <w:b/>
        </w:rPr>
        <w:t>：</w:t>
      </w:r>
      <w:r>
        <w:t xml:space="preserve"> [</w:t>
      </w:r>
      <w:r>
        <w:t>由编辑部分配</w:t>
      </w:r>
      <w:r>
        <w:t>]</w:t>
      </w:r>
    </w:p>
    <w:p w14:paraId="79362417" w14:textId="77777777" w:rsidR="005302BF" w:rsidRDefault="003D6ED6">
      <w:pPr>
        <w:pStyle w:val="10"/>
      </w:pPr>
      <w:r>
        <w:t>Stopping Times of Correlated Hypergraph Payment Channel Networks</w:t>
      </w:r>
    </w:p>
    <w:p w14:paraId="2D1371F4" w14:textId="77777777" w:rsidR="005302BF" w:rsidRDefault="003D6ED6">
      <w:pPr>
        <w:pStyle w:val="affff9"/>
      </w:pPr>
      <w:r>
        <w:rPr>
          <w:b/>
        </w:rPr>
        <w:t>[AUTHOR 1], [AUTHOR 2], [AUTHOR 3]</w:t>
      </w:r>
    </w:p>
    <w:p w14:paraId="5E07712F" w14:textId="77777777" w:rsidR="005302BF" w:rsidRDefault="003D6ED6">
      <w:pPr>
        <w:pStyle w:val="affff6"/>
        <w:spacing w:after="218"/>
      </w:pPr>
      <w:r>
        <w:t>(1. [Affiliation 1, City Postcode, China]; 2. [Affiliation 2, City Postcode, China])</w:t>
      </w:r>
    </w:p>
    <w:p w14:paraId="5E8E0638" w14:textId="77777777" w:rsidR="005302BF" w:rsidRDefault="003D6ED6">
      <w:pPr>
        <w:pStyle w:val="afffff1"/>
        <w:ind w:left="420" w:right="420"/>
      </w:pPr>
      <w:r>
        <w:rPr>
          <w:b/>
        </w:rPr>
        <w:t>Abstract:</w:t>
      </w:r>
      <w:r>
        <w:t xml:space="preserve"> Multi-hop atomic payments update several channels simultaneously, invalidating the independence assumption commonly used for aggregating channel lifetimes. A first-depletion model is developed for a fixed hypergraph payment channel network. Finite-state absorption and a three-regime drift limit are established. For balanced zero-drift binary-channel networks, the correlated model is shown to have a Gaussian limiting survival time no shorter than that of an independent channel-marginal proxy. Exact solutions, synthetic experiments, and experiments on public Lightning topologies show that finite scale and hotspot demand can reverse the effect sign. The stopping time measures the first hit of an idealized directional-liquidity boundary under fixed exogenous unit routes; it is not a real-payment failure time.</w:t>
      </w:r>
    </w:p>
    <w:p w14:paraId="09916CA3" w14:textId="77777777" w:rsidR="005302BF" w:rsidRDefault="003D6ED6">
      <w:pPr>
        <w:pStyle w:val="afffff1"/>
        <w:ind w:left="420" w:right="420"/>
      </w:pPr>
      <w:r>
        <w:rPr>
          <w:b/>
        </w:rPr>
        <w:t>Keywords:</w:t>
      </w:r>
      <w:r>
        <w:t xml:space="preserve"> payment channel network; hypergraph; stopping time; first depletion; Gaussian correlation inequality; diffusion approximation</w:t>
      </w:r>
    </w:p>
    <w:p w14:paraId="2B0157F9" w14:textId="77777777" w:rsidR="005302BF" w:rsidRDefault="005302BF">
      <w:pPr>
        <w:sectPr w:rsidR="005302BF">
          <w:headerReference w:type="default" r:id="rId7"/>
          <w:headerReference w:type="first" r:id="rId8"/>
          <w:type w:val="continuous"/>
          <w:pgSz w:w="11907" w:h="16160"/>
          <w:pgMar w:top="1366" w:right="1134" w:bottom="1366" w:left="1134" w:header="992" w:footer="765" w:gutter="0"/>
          <w:cols w:space="720"/>
          <w:titlePg/>
          <w:docGrid w:type="lines" w:linePitch="312" w:charSpace="1857"/>
        </w:sectPr>
      </w:pPr>
    </w:p>
    <w:p w14:paraId="6D98AC1E" w14:textId="77777777" w:rsidR="005302BF" w:rsidRDefault="003D6ED6">
      <w:pPr>
        <w:pStyle w:val="2"/>
      </w:pPr>
      <w:r>
        <w:t>0</w:t>
      </w:r>
      <w:r>
        <w:t xml:space="preserve">　引言</w:t>
      </w:r>
    </w:p>
    <w:p w14:paraId="150FF1BD" w14:textId="77777777" w:rsidR="005302BF" w:rsidRDefault="003D6ED6">
      <w:r>
        <w:t>支付通道网络通过链下多跳转账提高区块链支付吞吐量，但每次方向性转账都会重新分配沿途通道余额。若某一方向余额长期净流出，通道即使总容量不变，也可能较早到达流动性边界。现有研究已讨论单通道有效寿命、网络首通道停止时间、吞吐上限、再平衡和流量控制等问题</w:t>
      </w:r>
      <w:r>
        <w:t>[1-6]</w:t>
      </w:r>
      <w:r>
        <w:t>。其中，独立通道生存函数乘积能够显著降低网络计算复杂度，但多跳原子支付会在同一时刻更新路径上的多条通道，通道停止时间并不天然独立</w:t>
      </w:r>
      <w:r>
        <w:t>[1]</w:t>
      </w:r>
      <w:r>
        <w:t>。</w:t>
      </w:r>
    </w:p>
    <w:p w14:paraId="1FB9966F" w14:textId="77777777" w:rsidR="005302BF" w:rsidRDefault="003D6ED6">
      <w:r>
        <w:t>多方支付通道与超图支付网络进一步强化了这一相关性：一个超边可以表示多个参与者共享的守恒余额单纯形，一条原子路由又可同时穿过多个超边</w:t>
      </w:r>
      <w:r>
        <w:t>[7-10]</w:t>
      </w:r>
      <w:r>
        <w:t>。因此，网络首耗尽不是若干一维赌徒破产时间的简单最小值，而是相关有界增量过程离开乘</w:t>
      </w:r>
      <w:r>
        <w:t>积单纯形的首次退出问题。经典多人赌徒破产、有限域调和测度、吸收</w:t>
      </w:r>
      <w:r>
        <w:t>Markov</w:t>
      </w:r>
      <w:r>
        <w:t>链与扩散逼近已经提供了重要工具</w:t>
      </w:r>
      <w:r>
        <w:t>[11-19]</w:t>
      </w:r>
      <w:r>
        <w:t>，但这些工具本身不能回答</w:t>
      </w:r>
      <w:r>
        <w:t>“</w:t>
      </w:r>
      <w:r>
        <w:t>保持逐通道边际后，删除跨通道依赖会造成何种停止时间误差</w:t>
      </w:r>
      <w:r>
        <w:t>”</w:t>
      </w:r>
      <w:r>
        <w:t>。</w:t>
      </w:r>
    </w:p>
    <w:p w14:paraId="2DCCF1B3" w14:textId="77777777" w:rsidR="005302BF" w:rsidRDefault="003D6ED6">
      <w:r>
        <w:t>本文研究固定有限超图、固定有限简单路由字母表和外生独立同分布单位支付。在这一严格范围内，主要工作如下。</w:t>
      </w:r>
    </w:p>
    <w:p w14:paraId="2A611D8C" w14:textId="77777777" w:rsidR="005302BF" w:rsidRDefault="003D6ED6">
      <w:pPr>
        <w:ind w:left="420" w:hanging="420"/>
      </w:pPr>
      <w:r>
        <w:t xml:space="preserve">1. </w:t>
      </w:r>
      <w:r>
        <w:t>将相关原子路由过程统一表述为乘积单纯形上的首次余额耗尽，给出有限状态耗尽可达性条件下的吸收性、谱半径和</w:t>
      </w:r>
      <w:r>
        <w:t>Poisson</w:t>
      </w:r>
      <w:r>
        <w:t>方程唯一解。</w:t>
      </w:r>
    </w:p>
    <w:p w14:paraId="6AB73C34" w14:textId="77777777" w:rsidR="005302BF" w:rsidRDefault="003D6ED6">
      <w:pPr>
        <w:ind w:left="420" w:hanging="420"/>
      </w:pPr>
      <w:r>
        <w:t xml:space="preserve">2. </w:t>
      </w:r>
      <w:r>
        <w:t>对路由漂移满足</w:t>
      </w:r>
      <w:r>
        <w:t xml:space="preserve"> </w:t>
      </w:r>
      <w:r>
        <w:rPr>
          <w:rFonts w:ascii="Cambria Math" w:eastAsia="Cambria Math" w:hAnsi="Cambria Math"/>
        </w:rPr>
        <w:t>N^α d_N→β</w:t>
      </w:r>
      <w:r>
        <w:t xml:space="preserve"> </w:t>
      </w:r>
      <w:r>
        <w:t>的三角阵列建立漂移主导区、临界扩散区和公平扩散区三分区，并证明相应停止时间的全部固定正阶矩收敛。</w:t>
      </w:r>
    </w:p>
    <w:p w14:paraId="128D8783" w14:textId="77777777" w:rsidR="005302BF" w:rsidRDefault="003D6ED6">
      <w:pPr>
        <w:ind w:left="420" w:hanging="420"/>
      </w:pPr>
      <w:r>
        <w:t xml:space="preserve">3. </w:t>
      </w:r>
      <w:r>
        <w:t>对平衡零漂移二元通道网络，构造保持每条通道</w:t>
      </w:r>
      <w:r>
        <w:lastRenderedPageBreak/>
        <w:t>完整一步边际律的独立通道边际代理，证明相关模型的高斯极限停止时间在随机序意义下不短于独立代理，并完成离散均值到高斯极限的严格桥接。</w:t>
      </w:r>
    </w:p>
    <w:p w14:paraId="5A94604A" w14:textId="77777777" w:rsidR="005302BF" w:rsidRDefault="003D6ED6">
      <w:pPr>
        <w:ind w:left="420" w:hanging="420"/>
      </w:pPr>
      <w:r>
        <w:t xml:space="preserve">4. </w:t>
      </w:r>
      <w:r>
        <w:t>以确定性稀疏求解、共同随机数仿真、历史</w:t>
      </w:r>
      <w:r>
        <w:t>Lightning</w:t>
      </w:r>
      <w:r>
        <w:t>拓扑和</w:t>
      </w:r>
      <w:r>
        <w:t>2026</w:t>
      </w:r>
      <w:r>
        <w:t>当前过滤投影检验有限尺度效应。结果显示：零漂移极限的非负序不能外推为有限规模普遍正号；热点需求可系统性压低效应并产生符号反转。</w:t>
      </w:r>
    </w:p>
    <w:p w14:paraId="093EDD77" w14:textId="77777777" w:rsidR="005302BF" w:rsidRDefault="003D6ED6">
      <w:r>
        <w:t>本文不声称首次研究支付通道寿命、超图支付通道或多维赌徒破产。更重要的是，本文停止量是理想化固定路由过程的首次方向余额触边，不是</w:t>
      </w:r>
      <w:r>
        <w:t>Lightning</w:t>
      </w:r>
      <w:r>
        <w:t>支付失败、通道关闭或网络断连。该语义边界将在模型部分单独证明。</w:t>
      </w:r>
    </w:p>
    <w:p w14:paraId="4BC2C4E5" w14:textId="77777777" w:rsidR="005302BF" w:rsidRDefault="003D6ED6">
      <w:pPr>
        <w:pStyle w:val="2"/>
      </w:pPr>
      <w:r>
        <w:t>1</w:t>
      </w:r>
      <w:r>
        <w:t xml:space="preserve">　相关工作</w:t>
      </w:r>
    </w:p>
    <w:p w14:paraId="0A08548B" w14:textId="77777777" w:rsidR="005302BF" w:rsidRDefault="003D6ED6">
      <w:pPr>
        <w:pStyle w:val="3"/>
      </w:pPr>
      <w:r>
        <w:t>1.1</w:t>
      </w:r>
      <w:r>
        <w:t xml:space="preserve">　支付通道寿命与流动性控制</w:t>
      </w:r>
    </w:p>
    <w:p w14:paraId="7CA019AE" w14:textId="77777777" w:rsidR="005302BF" w:rsidRDefault="003D6ED6">
      <w:r>
        <w:t>Podiatchev</w:t>
      </w:r>
      <w:r>
        <w:t>等</w:t>
      </w:r>
      <w:r>
        <w:t>[1]</w:t>
      </w:r>
      <w:r>
        <w:t>系统研究了支付通道网络的可生存性，给出平衡与含漂移通道的停止时间以及独立通道聚合方法，并明确指出多跳交易会同时影响多条通道，从而使独立性假设偏离现实路由。</w:t>
      </w:r>
      <w:r>
        <w:t>Shabgahi</w:t>
      </w:r>
      <w:r>
        <w:t>等</w:t>
      </w:r>
      <w:r>
        <w:t>[2]</w:t>
      </w:r>
      <w:r>
        <w:t>把一侧余额不足作为通道有效寿命终点；</w:t>
      </w:r>
      <w:r>
        <w:t>Dehshali</w:t>
      </w:r>
      <w:r>
        <w:t>等</w:t>
      </w:r>
      <w:r>
        <w:t>[3]</w:t>
      </w:r>
      <w:r>
        <w:t>研究失衡前可路由交易量与吞吐上限。</w:t>
      </w:r>
      <w:r>
        <w:t>The Merchant[4]</w:t>
      </w:r>
      <w:r>
        <w:t>、</w:t>
      </w:r>
      <w:r>
        <w:t>Horcrux[5]</w:t>
      </w:r>
      <w:r>
        <w:t>以及路由定价与流控研究</w:t>
      </w:r>
      <w:r>
        <w:t>[6]</w:t>
      </w:r>
      <w:r>
        <w:t>分别从激励、跨路径流动性变换和长期控制角度缓解耗尽。上述工作说明余额耗尽具有直接工程意义，也限定了本文的贡献：本文分析相关原子路由改变首次流动性边界到达时间的结构，而不提出新的再平衡协议。</w:t>
      </w:r>
    </w:p>
    <w:p w14:paraId="25062977" w14:textId="77777777" w:rsidR="005302BF" w:rsidRDefault="003D6ED6">
      <w:pPr>
        <w:pStyle w:val="3"/>
      </w:pPr>
      <w:r>
        <w:t>1.2</w:t>
      </w:r>
      <w:r>
        <w:t xml:space="preserve">　超图与多方支付通道</w:t>
      </w:r>
    </w:p>
    <w:p w14:paraId="78717A71" w14:textId="77777777" w:rsidR="005302BF" w:rsidRDefault="003D6ED6">
      <w:r>
        <w:t>超图支付网络可用一个超边表示多个参与者共享的通道状态。</w:t>
      </w:r>
      <w:r>
        <w:t>Kotzer</w:t>
      </w:r>
      <w:r>
        <w:t>等</w:t>
      </w:r>
      <w:r>
        <w:t>[7]</w:t>
      </w:r>
      <w:r>
        <w:t>研究了超图支付网络的可扩展性；</w:t>
      </w:r>
      <w:r>
        <w:t>Corcoran</w:t>
      </w:r>
      <w:r>
        <w:t>和</w:t>
      </w:r>
      <w:r>
        <w:t>Lewis[8]</w:t>
      </w:r>
      <w:r>
        <w:t>讨论多方通道中的路径规划；</w:t>
      </w:r>
      <w:r>
        <w:t>COALESCE[9]</w:t>
      </w:r>
      <w:r>
        <w:t>给出跨超边原子结算语义；</w:t>
      </w:r>
      <w:r>
        <w:t>Pickhardt[10]</w:t>
      </w:r>
      <w:r>
        <w:t>从可行财富多面体研究一般支付通道网络。本文采用超图语言统一二元和多元通道，但主要比较定理只在二元通道的中心对称安全域上成立，不能直接推广到三元以上超边。</w:t>
      </w:r>
    </w:p>
    <w:p w14:paraId="34733471" w14:textId="77777777" w:rsidR="005302BF" w:rsidRDefault="003D6ED6">
      <w:pPr>
        <w:pStyle w:val="3"/>
      </w:pPr>
      <w:r>
        <w:t>1.3</w:t>
      </w:r>
      <w:r>
        <w:t xml:space="preserve">　多人赌徒破产与首次退出</w:t>
      </w:r>
    </w:p>
    <w:p w14:paraId="42AFA266" w14:textId="77777777" w:rsidR="005302BF" w:rsidRDefault="003D6ED6">
      <w:r>
        <w:t>三人公平随机转移的闭式、多人问题的矩阵方法、有限域估计和多维调和测度已有系统研究</w:t>
      </w:r>
      <w:r>
        <w:t>[11-17]</w:t>
      </w:r>
      <w:r>
        <w:t>。小漂移和三角阵列首次通过的已有结果说明，</w:t>
      </w:r>
      <w:r>
        <w:rPr>
          <w:rFonts w:ascii="Cambria Math" w:eastAsia="Cambria Math" w:hAnsi="Cambria Math"/>
        </w:rPr>
        <w:t>1/N</w:t>
      </w:r>
      <w:r>
        <w:t xml:space="preserve"> </w:t>
      </w:r>
      <w:r>
        <w:t>临界漂移与函数型极限定理并非本文独有的方法</w:t>
      </w:r>
      <w:r>
        <w:t>[18,19]</w:t>
      </w:r>
      <w:r>
        <w:t>。本文的差异在于把固定原子路由诱导的跨超边协方差、网络首次耗尽、漂移分区和独立边际代理诊断放在同一模型中，并对中心二元网络给出可传递到离散均值的高斯生存序。</w:t>
      </w:r>
    </w:p>
    <w:p w14:paraId="66F60A9B" w14:textId="77777777" w:rsidR="005302BF" w:rsidRDefault="003D6ED6">
      <w:pPr>
        <w:pStyle w:val="2"/>
      </w:pPr>
      <w:r>
        <w:t>2</w:t>
      </w:r>
      <w:r>
        <w:t xml:space="preserve">　模型与问题定义</w:t>
      </w:r>
    </w:p>
    <w:p w14:paraId="0801B733" w14:textId="77777777" w:rsidR="005302BF" w:rsidRDefault="003D6ED6">
      <w:pPr>
        <w:pStyle w:val="3"/>
      </w:pPr>
      <w:r>
        <w:t>2.1</w:t>
      </w:r>
      <w:r>
        <w:t xml:space="preserve">　固定超图与原子路由</w:t>
      </w:r>
    </w:p>
    <w:p w14:paraId="44DDDFAA" w14:textId="77777777" w:rsidR="005302BF" w:rsidRDefault="003D6ED6">
      <w:r>
        <w:t>令</w:t>
      </w:r>
      <w:r>
        <w:t xml:space="preserve"> </w:t>
      </w:r>
      <w:r>
        <w:rPr>
          <w:rFonts w:ascii="Cambria Math" w:eastAsia="Cambria Math" w:hAnsi="Cambria Math"/>
        </w:rPr>
        <w:t>𝓗=(V,E)</w:t>
      </w:r>
      <w:r>
        <w:t xml:space="preserve"> </w:t>
      </w:r>
      <w:r>
        <w:t>为固定有限连通超图。每条超边</w:t>
      </w:r>
      <w:r>
        <w:t xml:space="preserve"> </w:t>
      </w:r>
      <w:r>
        <w:rPr>
          <w:rFonts w:ascii="Cambria Math" w:eastAsia="Cambria Math" w:hAnsi="Cambria Math"/>
        </w:rPr>
        <w:t>e∈ E</w:t>
      </w:r>
      <w:r>
        <w:t xml:space="preserve"> </w:t>
      </w:r>
      <w:r>
        <w:t>表示一个</w:t>
      </w:r>
      <w:r>
        <w:t xml:space="preserve"> </w:t>
      </w:r>
      <w:r>
        <w:rPr>
          <w:rFonts w:ascii="Cambria Math" w:eastAsia="Cambria Math" w:hAnsi="Cambria Math"/>
        </w:rPr>
        <w:t>k_e=|e|</w:t>
      </w:r>
      <w:r>
        <w:t xml:space="preserve"> </w:t>
      </w:r>
      <w:r>
        <w:t>方支付通道，总余额为</w:t>
      </w:r>
      <w:r>
        <w:t xml:space="preserve"> </w:t>
      </w:r>
      <w:r>
        <w:rPr>
          <w:rFonts w:ascii="Cambria Math" w:eastAsia="Cambria Math" w:hAnsi="Cambria Math"/>
        </w:rPr>
        <w:t>Nc_e</w:t>
      </w:r>
      <w:r>
        <w:t>。以有序对</w:t>
      </w:r>
      <w:r>
        <w:t xml:space="preserve"> </w:t>
      </w:r>
      <w:r>
        <w:rPr>
          <w:rFonts w:ascii="Cambria Math" w:eastAsia="Cambria Math" w:hAnsi="Cambria Math"/>
        </w:rPr>
        <w:t>(e,v)</w:t>
      </w:r>
      <w:r>
        <w:t xml:space="preserve"> </w:t>
      </w:r>
      <w:r>
        <w:t>表示超边</w:t>
      </w:r>
      <w:r>
        <w:t xml:space="preserve"> </w:t>
      </w:r>
      <w:r>
        <w:rPr>
          <w:rFonts w:ascii="Cambria Math" w:eastAsia="Cambria Math" w:hAnsi="Cambria Math"/>
        </w:rPr>
        <w:t>e</w:t>
      </w:r>
      <w:r>
        <w:t xml:space="preserve"> </w:t>
      </w:r>
      <w:r>
        <w:t>内参与者</w:t>
      </w:r>
      <w:r>
        <w:t xml:space="preserve"> </w:t>
      </w:r>
      <w:r>
        <w:rPr>
          <w:rFonts w:ascii="Cambria Math" w:eastAsia="Cambria Math" w:hAnsi="Cambria Math"/>
        </w:rPr>
        <w:t>v</w:t>
      </w:r>
      <w:r>
        <w:t xml:space="preserve"> </w:t>
      </w:r>
      <w:r>
        <w:t>的方向余额坐标，坐标集为</w:t>
      </w:r>
    </w:p>
    <w:tbl>
      <w:tblPr>
        <w:tblW w:w="0" w:type="auto"/>
        <w:jc w:val="center"/>
        <w:tblLayout w:type="fixed"/>
        <w:tblLook w:val="04A0" w:firstRow="1" w:lastRow="0" w:firstColumn="1" w:lastColumn="0" w:noHBand="0" w:noVBand="1"/>
      </w:tblPr>
      <w:tblGrid>
        <w:gridCol w:w="8200"/>
        <w:gridCol w:w="800"/>
      </w:tblGrid>
      <w:tr w:rsidR="005302BF" w14:paraId="1E8F14E4" w14:textId="77777777">
        <w:trPr>
          <w:jc w:val="center"/>
        </w:trPr>
        <w:tc>
          <w:tcPr>
            <w:tcW w:w="8200" w:type="dxa"/>
            <w:tcBorders>
              <w:top w:val="nil"/>
              <w:left w:val="nil"/>
              <w:bottom w:val="nil"/>
              <w:right w:val="nil"/>
            </w:tcBorders>
          </w:tcPr>
          <w:p w14:paraId="0EDA692F" w14:textId="7E2CFEFC" w:rsidR="005302BF" w:rsidRDefault="00BE28FA">
            <w:pPr>
              <w:pStyle w:val="affff7"/>
              <w:spacing w:before="62" w:after="62"/>
              <w:jc w:val="center"/>
            </w:pPr>
            <m:oMathPara>
              <m:oMath>
                <m:r>
                  <m:rPr>
                    <m:scr m:val="script"/>
                  </m:rPr>
                  <w:rPr>
                    <w:rFonts w:ascii="Cambria Math" w:eastAsia="Cambria Math" w:hAnsi="Cambria Math"/>
                  </w:rPr>
                  <m:t>I=</m:t>
                </m:r>
                <m:d>
                  <m:dPr>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rPr>
                          <m:t>e,v</m:t>
                        </m:r>
                      </m:e>
                    </m:d>
                    <m:r>
                      <w:rPr>
                        <w:rFonts w:ascii="Cambria Math" w:eastAsia="Cambria Math" w:hAnsi="Cambria Math"/>
                      </w:rPr>
                      <m:t>:e∈ E,</m:t>
                    </m:r>
                    <m:r>
                      <m:rPr>
                        <m:lit/>
                      </m:rPr>
                      <w:rPr>
                        <w:rFonts w:ascii="Cambria Math" w:eastAsia="Cambria Math" w:hAnsi="Cambria Math"/>
                      </w:rPr>
                      <m:t xml:space="preserve"> </m:t>
                    </m:r>
                    <m:r>
                      <w:rPr>
                        <w:rFonts w:ascii="Cambria Math" w:eastAsia="Cambria Math" w:hAnsi="Cambria Math"/>
                      </w:rPr>
                      <m:t>v∈ e</m:t>
                    </m:r>
                  </m:e>
                </m:d>
                <m:r>
                  <w:rPr>
                    <w:rFonts w:ascii="Cambria Math" w:eastAsia="Cambria Math" w:hAnsi="Cambria Math"/>
                  </w:rPr>
                  <m:t>,\qquad D=</m:t>
                </m:r>
                <m:d>
                  <m:dPr>
                    <m:begChr m:val="|"/>
                    <m:endChr m:val="|"/>
                    <m:ctrlPr>
                      <w:rPr>
                        <w:rFonts w:ascii="Cambria Math" w:eastAsia="Cambria Math" w:hAnsi="Cambria Math"/>
                        <w:i/>
                      </w:rPr>
                    </m:ctrlPr>
                  </m:dPr>
                  <m:e>
                    <m:r>
                      <m:rPr>
                        <m:scr m:val="script"/>
                      </m:rPr>
                      <w:rPr>
                        <w:rFonts w:ascii="Cambria Math" w:eastAsia="Cambria Math" w:hAnsi="Cambria Math"/>
                      </w:rPr>
                      <m:t>I</m:t>
                    </m:r>
                  </m:e>
                </m:d>
                <m:r>
                  <w:rPr>
                    <w:rFonts w:ascii="Cambria Math" w:eastAsia="Cambria Math" w:hAnsi="Cambria Math"/>
                  </w:rPr>
                  <m:t>.</m:t>
                </m:r>
              </m:oMath>
            </m:oMathPara>
          </w:p>
        </w:tc>
        <w:tc>
          <w:tcPr>
            <w:tcW w:w="800" w:type="dxa"/>
            <w:tcBorders>
              <w:top w:val="nil"/>
              <w:left w:val="nil"/>
              <w:bottom w:val="nil"/>
              <w:right w:val="nil"/>
            </w:tcBorders>
          </w:tcPr>
          <w:p w14:paraId="6C01DD2E" w14:textId="77777777" w:rsidR="005302BF" w:rsidRDefault="003D6ED6">
            <w:pPr>
              <w:pStyle w:val="affff7"/>
              <w:spacing w:before="62" w:after="62"/>
              <w:jc w:val="right"/>
            </w:pPr>
            <w:r>
              <w:t>(1)</w:t>
            </w:r>
          </w:p>
        </w:tc>
      </w:tr>
    </w:tbl>
    <w:p w14:paraId="722126F2" w14:textId="77777777" w:rsidR="005302BF" w:rsidRDefault="003D6ED6">
      <w:r>
        <w:t>内部状态空间是各通道守恒单纯形的笛卡尔积</w:t>
      </w:r>
    </w:p>
    <w:tbl>
      <w:tblPr>
        <w:tblW w:w="0" w:type="auto"/>
        <w:jc w:val="center"/>
        <w:tblLayout w:type="fixed"/>
        <w:tblLook w:val="04A0" w:firstRow="1" w:lastRow="0" w:firstColumn="1" w:lastColumn="0" w:noHBand="0" w:noVBand="1"/>
      </w:tblPr>
      <w:tblGrid>
        <w:gridCol w:w="8200"/>
        <w:gridCol w:w="800"/>
      </w:tblGrid>
      <w:tr w:rsidR="005302BF" w14:paraId="2E6543C5" w14:textId="77777777">
        <w:trPr>
          <w:jc w:val="center"/>
        </w:trPr>
        <w:tc>
          <w:tcPr>
            <w:tcW w:w="8200" w:type="dxa"/>
            <w:tcBorders>
              <w:top w:val="nil"/>
              <w:left w:val="nil"/>
              <w:bottom w:val="nil"/>
              <w:right w:val="nil"/>
            </w:tcBorders>
          </w:tcPr>
          <w:p w14:paraId="7CE013FC" w14:textId="6B441779" w:rsidR="005302BF" w:rsidRDefault="00BE28FA">
            <w:pPr>
              <w:pStyle w:val="affff7"/>
              <w:spacing w:before="62" w:after="62"/>
              <w:jc w:val="center"/>
            </w:pPr>
            <m:oMathPara>
              <m:oMath>
                <m:sSubSup>
                  <m:sSubSupPr>
                    <m:ctrlPr>
                      <w:rPr>
                        <w:rFonts w:ascii="Cambria Math" w:eastAsia="Cambria Math" w:hAnsi="Cambria Math"/>
                        <w:i/>
                      </w:rPr>
                    </m:ctrlPr>
                  </m:sSubSupPr>
                  <m:e>
                    <m:r>
                      <m:rPr>
                        <m:scr m:val="script"/>
                      </m:rPr>
                      <w:rPr>
                        <w:rFonts w:ascii="Cambria Math" w:eastAsia="Cambria Math" w:hAnsi="Cambria Math"/>
                      </w:rPr>
                      <m:t>S</m:t>
                    </m:r>
                  </m:e>
                  <m:sub>
                    <m:r>
                      <w:rPr>
                        <w:rFonts w:ascii="Cambria Math" w:eastAsia="Cambria Math" w:hAnsi="Cambria Math"/>
                      </w:rPr>
                      <m:t>N</m:t>
                    </m:r>
                  </m:sub>
                  <m:sup>
                    <m:r>
                      <w:rPr>
                        <w:rFonts w:ascii="Cambria Math" w:eastAsia="Cambria Math" w:hAnsi="Cambria Math"/>
                      </w:rPr>
                      <m:t>\circ</m:t>
                    </m:r>
                  </m:sup>
                </m:sSubSup>
                <m:r>
                  <w:rPr>
                    <w:rFonts w:ascii="Cambria Math" w:eastAsia="Cambria Math" w:hAnsi="Cambria Math"/>
                  </w:rPr>
                  <m:t>=</m:t>
                </m:r>
                <m:nary>
                  <m:naryPr>
                    <m:chr m:val="∏"/>
                    <m:supHide m:val="1"/>
                    <m:ctrlPr>
                      <w:rPr>
                        <w:rFonts w:ascii="Cambria Math" w:eastAsia="Cambria Math" w:hAnsi="Cambria Math"/>
                        <w:i/>
                      </w:rPr>
                    </m:ctrlPr>
                  </m:naryPr>
                  <m:sub>
                    <m:r>
                      <w:rPr>
                        <w:rFonts w:ascii="Cambria Math" w:eastAsia="Cambria Math" w:hAnsi="Cambria Math"/>
                      </w:rPr>
                      <m:t>e∈ E</m:t>
                    </m:r>
                  </m:sub>
                  <m:sup/>
                  <m:e/>
                </m:nary>
                <m:r>
                  <w:rPr>
                    <w:rFonts w:ascii="Cambria Math" w:eastAsia="Cambria Math" w:hAnsi="Cambria Math"/>
                  </w:rPr>
                  <m:t>≤ft</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e</m:t>
                        </m:r>
                      </m:sub>
                    </m:sSub>
                    <m:r>
                      <w:rPr>
                        <w:rFonts w:ascii="Cambria Math" w:eastAsia="Cambria Math" w:hAnsi="Cambria Math"/>
                      </w:rPr>
                      <m:t>∈</m:t>
                    </m:r>
                    <m:sSubSup>
                      <m:sSubSupPr>
                        <m:ctrlPr>
                          <w:rPr>
                            <w:rFonts w:ascii="Cambria Math" w:eastAsia="Cambria Math" w:hAnsi="Cambria Math"/>
                            <w:i/>
                          </w:rPr>
                        </m:ctrlPr>
                      </m:sSubSupPr>
                      <m:e>
                        <m:r>
                          <m:rPr>
                            <m:scr m:val="double-struck"/>
                          </m:rPr>
                          <w:rPr>
                            <w:rFonts w:ascii="Cambria Math" w:eastAsia="Cambria Math" w:hAnsi="Cambria Math"/>
                          </w:rPr>
                          <m:t>Z</m:t>
                        </m:r>
                      </m:e>
                      <m:sub>
                        <m:r>
                          <w:rPr>
                            <w:rFonts w:ascii="Cambria Math" w:eastAsia="Cambria Math" w:hAnsi="Cambria Math"/>
                          </w:rPr>
                          <m:t>&gt;0</m:t>
                        </m:r>
                      </m:sub>
                      <m:sup>
                        <m:sSub>
                          <m:sSubPr>
                            <m:ctrlPr>
                              <w:rPr>
                                <w:rFonts w:ascii="Cambria Math" w:eastAsia="Cambria Math" w:hAnsi="Cambria Math"/>
                                <w:i/>
                              </w:rPr>
                            </m:ctrlPr>
                          </m:sSubPr>
                          <m:e>
                            <m:r>
                              <w:rPr>
                                <w:rFonts w:ascii="Cambria Math" w:eastAsia="Cambria Math" w:hAnsi="Cambria Math"/>
                              </w:rPr>
                              <m:t>k</m:t>
                            </m:r>
                          </m:e>
                          <m:sub>
                            <m:r>
                              <w:rPr>
                                <w:rFonts w:ascii="Cambria Math" w:eastAsia="Cambria Math" w:hAnsi="Cambria Math"/>
                              </w:rPr>
                              <m:t>e</m:t>
                            </m:r>
                          </m:sub>
                        </m:sSub>
                      </m:sup>
                    </m:sSubSup>
                    <m:r>
                      <w:rPr>
                        <w:rFonts w:ascii="Cambria Math" w:eastAsia="Cambria Math" w:hAnsi="Cambria Math"/>
                      </w:rPr>
                      <m:t>:</m:t>
                    </m:r>
                    <m:nary>
                      <m:naryPr>
                        <m:chr m:val="∑"/>
                        <m:supHide m:val="1"/>
                        <m:ctrlPr>
                          <w:rPr>
                            <w:rFonts w:ascii="Cambria Math" w:eastAsia="Cambria Math" w:hAnsi="Cambria Math"/>
                            <w:i/>
                          </w:rPr>
                        </m:ctrlPr>
                      </m:naryPr>
                      <m:sub>
                        <m:d>
                          <m:dPr>
                            <m:ctrlPr>
                              <w:rPr>
                                <w:rFonts w:ascii="Cambria Math" w:eastAsia="Cambria Math" w:hAnsi="Cambria Math"/>
                                <w:i/>
                              </w:rPr>
                            </m:ctrlPr>
                          </m:dPr>
                          <m:e>
                            <m:r>
                              <w:rPr>
                                <w:rFonts w:ascii="Cambria Math" w:eastAsia="Cambria Math" w:hAnsi="Cambria Math"/>
                              </w:rPr>
                              <m:t>v∈ e</m:t>
                            </m:r>
                          </m:e>
                        </m:d>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e,v</m:t>
                            </m:r>
                          </m:sub>
                        </m:sSub>
                      </m:sub>
                      <m:sup/>
                      <m:e/>
                    </m:nary>
                    <m:r>
                      <w:rPr>
                        <w:rFonts w:ascii="Cambria Math" w:eastAsia="Cambria Math" w:hAnsi="Cambria Math"/>
                      </w:rPr>
                      <m:t>=N</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e</m:t>
                        </m:r>
                      </m:sub>
                    </m:sSub>
                    <m:r>
                      <w:rPr>
                        <w:rFonts w:ascii="Cambria Math" w:eastAsia="Cambria Math" w:hAnsi="Cambria Math"/>
                      </w:rPr>
                      <m:t>\right</m:t>
                    </m:r>
                  </m:e>
                </m:d>
                <m:r>
                  <w:rPr>
                    <w:rFonts w:ascii="Cambria Math" w:eastAsia="Cambria Math" w:hAnsi="Cambria Math"/>
                  </w:rPr>
                  <m:t>.</m:t>
                </m:r>
              </m:oMath>
            </m:oMathPara>
          </w:p>
        </w:tc>
        <w:tc>
          <w:tcPr>
            <w:tcW w:w="800" w:type="dxa"/>
            <w:tcBorders>
              <w:top w:val="nil"/>
              <w:left w:val="nil"/>
              <w:bottom w:val="nil"/>
              <w:right w:val="nil"/>
            </w:tcBorders>
          </w:tcPr>
          <w:p w14:paraId="3B6BB756" w14:textId="77777777" w:rsidR="005302BF" w:rsidRDefault="003D6ED6">
            <w:pPr>
              <w:pStyle w:val="affff7"/>
              <w:spacing w:before="62" w:after="62"/>
              <w:jc w:val="right"/>
            </w:pPr>
            <w:r>
              <w:t>(2)</w:t>
            </w:r>
          </w:p>
        </w:tc>
      </w:tr>
    </w:tbl>
    <w:p w14:paraId="7DE5BB1F" w14:textId="77777777" w:rsidR="005302BF" w:rsidRDefault="003D6ED6">
      <w:r>
        <w:t>固定有限简单路由字母表记为</w:t>
      </w:r>
      <w:r>
        <w:t xml:space="preserve"> </w:t>
      </w:r>
      <w:r>
        <w:rPr>
          <w:rFonts w:ascii="Cambria Math" w:eastAsia="Cambria Math" w:hAnsi="Cambria Math"/>
        </w:rPr>
        <w:t>𝒜</w:t>
      </w:r>
      <w:r>
        <w:t>，第</w:t>
      </w:r>
      <w:r>
        <w:t xml:space="preserve"> </w:t>
      </w:r>
      <w:r>
        <w:rPr>
          <w:rFonts w:ascii="Cambria Math" w:eastAsia="Cambria Math" w:hAnsi="Cambria Math"/>
        </w:rPr>
        <w:t>n</w:t>
      </w:r>
      <w:r>
        <w:t xml:space="preserve"> </w:t>
      </w:r>
      <w:r>
        <w:t>笔已接受支付的路由</w:t>
      </w:r>
      <w:r>
        <w:t xml:space="preserve"> </w:t>
      </w:r>
      <w:r>
        <w:rPr>
          <w:rFonts w:ascii="Cambria Math" w:eastAsia="Cambria Math" w:hAnsi="Cambria Math"/>
        </w:rPr>
        <w:t>A_n</w:t>
      </w:r>
      <w:r>
        <w:t xml:space="preserve"> </w:t>
      </w:r>
      <w:r>
        <w:t>独立同分布，概率为</w:t>
      </w:r>
      <w:r>
        <w:t xml:space="preserve"> </w:t>
      </w:r>
      <w:r>
        <w:rPr>
          <w:rFonts w:ascii="Cambria Math" w:eastAsia="Cambria Math" w:hAnsi="Cambria Math"/>
        </w:rPr>
        <w:t>π_N(a)</w:t>
      </w:r>
      <w:r>
        <w:t>。路由增量</w:t>
      </w:r>
      <w:r>
        <w:t xml:space="preserve"> </w:t>
      </w:r>
      <w:r>
        <w:rPr>
          <w:rFonts w:ascii="Cambria Math" w:eastAsia="Cambria Math" w:hAnsi="Cambria Math"/>
        </w:rPr>
        <w:t>ξ_N(a)∈(-1,0,1)^D</w:t>
      </w:r>
      <w:r>
        <w:t xml:space="preserve"> </w:t>
      </w:r>
      <w:r>
        <w:t>在每个被使用超边中恰有一个坐标减</w:t>
      </w:r>
      <w:r>
        <w:t>1</w:t>
      </w:r>
      <w:r>
        <w:t>、一个坐标加</w:t>
      </w:r>
      <w:r>
        <w:t>1</w:t>
      </w:r>
      <w:r>
        <w:t>，因而逐超边守恒。一笔支付可同时更新多个超边，这正是跨通道相关性的来源。</w:t>
      </w:r>
    </w:p>
    <w:p w14:paraId="71489D4E" w14:textId="77777777" w:rsidR="005302BF" w:rsidRDefault="003D6ED6">
      <w:pPr>
        <w:pStyle w:val="3"/>
      </w:pPr>
      <w:r>
        <w:t>2.2</w:t>
      </w:r>
      <w:r>
        <w:t xml:space="preserve">　首次余额耗尽时间</w:t>
      </w:r>
    </w:p>
    <w:p w14:paraId="09C79BB8" w14:textId="77777777" w:rsidR="005302BF" w:rsidRDefault="003D6ED6">
      <w:r>
        <w:t>令</w:t>
      </w:r>
      <w:r>
        <w:t xml:space="preserve"> </w:t>
      </w:r>
      <w:r>
        <w:rPr>
          <w:rFonts w:ascii="Cambria Math" w:eastAsia="Cambria Math" w:hAnsi="Cambria Math"/>
        </w:rPr>
        <w:t>x_N∈𝒮_N^\circ</w:t>
      </w:r>
      <w:r>
        <w:t xml:space="preserve"> </w:t>
      </w:r>
      <w:r>
        <w:t>为初态，并在边界后沿同一增量序列作自由延拓：</w:t>
      </w:r>
    </w:p>
    <w:tbl>
      <w:tblPr>
        <w:tblW w:w="0" w:type="auto"/>
        <w:jc w:val="center"/>
        <w:tblLayout w:type="fixed"/>
        <w:tblLook w:val="04A0" w:firstRow="1" w:lastRow="0" w:firstColumn="1" w:lastColumn="0" w:noHBand="0" w:noVBand="1"/>
      </w:tblPr>
      <w:tblGrid>
        <w:gridCol w:w="8200"/>
        <w:gridCol w:w="800"/>
      </w:tblGrid>
      <w:tr w:rsidR="005302BF" w14:paraId="4267647C" w14:textId="77777777">
        <w:trPr>
          <w:jc w:val="center"/>
        </w:trPr>
        <w:tc>
          <w:tcPr>
            <w:tcW w:w="8200" w:type="dxa"/>
            <w:tcBorders>
              <w:top w:val="nil"/>
              <w:left w:val="nil"/>
              <w:bottom w:val="nil"/>
              <w:right w:val="nil"/>
            </w:tcBorders>
          </w:tcPr>
          <w:p w14:paraId="49ADA85A" w14:textId="0B7ADD29" w:rsidR="005302BF" w:rsidRDefault="00BE28FA">
            <w:pPr>
              <w:pStyle w:val="affff7"/>
              <w:spacing w:before="62" w:after="62"/>
              <w:jc w:val="center"/>
            </w:pPr>
            <m:oMathPara>
              <m:oMath>
                <m:r>
                  <w:rPr>
                    <w:rFonts w:ascii="Cambria Math" w:eastAsia="Cambria Math" w:hAnsi="Cambria Math"/>
                  </w:rPr>
                  <m:t xml:space="preserve">\widetilde </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N</m:t>
                    </m:r>
                    <m:d>
                      <m:dPr>
                        <m:ctrlPr>
                          <w:rPr>
                            <w:rFonts w:ascii="Cambria Math" w:eastAsia="Cambria Math" w:hAnsi="Cambria Math"/>
                            <w:i/>
                          </w:rPr>
                        </m:ctrlPr>
                      </m:dPr>
                      <m:e>
                        <m:r>
                          <w:rPr>
                            <w:rFonts w:ascii="Cambria Math" w:eastAsia="Cambria Math" w:hAnsi="Cambria Math"/>
                          </w:rPr>
                          <m:t>n</m:t>
                        </m:r>
                      </m:e>
                    </m:d>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x</m:t>
                    </m:r>
                  </m:e>
                  <m:sub>
                    <m:r>
                      <w:rPr>
                        <w:rFonts w:ascii="Cambria Math" w:eastAsia="Cambria Math" w:hAnsi="Cambria Math"/>
                      </w:rPr>
                      <m:t>N</m:t>
                    </m:r>
                  </m:sub>
                </m:sSub>
                <m:r>
                  <w:rPr>
                    <w:rFonts w:ascii="Cambria Math" w:eastAsia="Cambria Math" w:hAnsi="Cambria Math"/>
                  </w:rPr>
                  <m:t>+</m:t>
                </m:r>
                <m:nary>
                  <m:naryPr>
                    <m:chr m:val="∑"/>
                    <m:supHide m:val="1"/>
                    <m:ctrlPr>
                      <w:rPr>
                        <w:rFonts w:ascii="Cambria Math" w:eastAsia="Cambria Math" w:hAnsi="Cambria Math"/>
                        <w:i/>
                      </w:rPr>
                    </m:ctrlPr>
                  </m:naryPr>
                  <m:sub>
                    <m:sSubSup>
                      <m:sSubSupPr>
                        <m:ctrlPr>
                          <w:rPr>
                            <w:rFonts w:ascii="Cambria Math" w:eastAsia="Cambria Math" w:hAnsi="Cambria Math"/>
                            <w:i/>
                          </w:rPr>
                        </m:ctrlPr>
                      </m:sSubSupPr>
                      <m:e>
                        <m:r>
                          <w:rPr>
                            <w:rFonts w:ascii="Cambria Math" w:eastAsia="Cambria Math" w:hAnsi="Cambria Math"/>
                          </w:rPr>
                          <m:t>r=1</m:t>
                        </m:r>
                      </m:e>
                      <m:sub>
                        <m:r>
                          <w:rPr>
                            <w:rFonts w:ascii="Cambria Math" w:eastAsia="Cambria Math" w:hAnsi="Cambria Math"/>
                          </w:rPr>
                          <m:t>N,r</m:t>
                        </m:r>
                      </m:sub>
                      <m:sup>
                        <m:d>
                          <m:dPr>
                            <m:ctrlPr>
                              <w:rPr>
                                <w:rFonts w:ascii="Cambria Math" w:eastAsia="Cambria Math" w:hAnsi="Cambria Math"/>
                                <w:i/>
                              </w:rPr>
                            </m:ctrlPr>
                          </m:dPr>
                          <m:e>
                            <m:r>
                              <w:rPr>
                                <w:rFonts w:ascii="Cambria Math" w:eastAsia="Cambria Math" w:hAnsi="Cambria Math"/>
                              </w:rPr>
                              <m:t>n</m:t>
                            </m:r>
                          </m:e>
                        </m:d>
                        <m:r>
                          <w:rPr>
                            <w:rFonts w:ascii="Cambria Math" w:eastAsia="Cambria Math" w:hAnsi="Cambria Math"/>
                          </w:rPr>
                          <m:t>ξ</m:t>
                        </m:r>
                      </m:sup>
                    </m:sSubSup>
                  </m:sub>
                  <m:sup/>
                  <m:e/>
                </m:nary>
                <m:r>
                  <w:rPr>
                    <w:rFonts w:ascii="Cambria Math" w:eastAsia="Cambria Math" w:hAnsi="Cambria Math"/>
                  </w:rPr>
                  <m:t>.</m:t>
                </m:r>
              </m:oMath>
            </m:oMathPara>
          </w:p>
        </w:tc>
        <w:tc>
          <w:tcPr>
            <w:tcW w:w="800" w:type="dxa"/>
            <w:tcBorders>
              <w:top w:val="nil"/>
              <w:left w:val="nil"/>
              <w:bottom w:val="nil"/>
              <w:right w:val="nil"/>
            </w:tcBorders>
          </w:tcPr>
          <w:p w14:paraId="26205B9D" w14:textId="77777777" w:rsidR="005302BF" w:rsidRDefault="003D6ED6">
            <w:pPr>
              <w:pStyle w:val="affff7"/>
              <w:spacing w:before="62" w:after="62"/>
              <w:jc w:val="right"/>
            </w:pPr>
            <w:r>
              <w:t>(3)</w:t>
            </w:r>
          </w:p>
        </w:tc>
      </w:tr>
    </w:tbl>
    <w:p w14:paraId="1386C9B5" w14:textId="77777777" w:rsidR="005302BF" w:rsidRDefault="003D6ED6">
      <w:r>
        <w:t>网络首次余额耗尽时间定义为</w:t>
      </w:r>
    </w:p>
    <w:tbl>
      <w:tblPr>
        <w:tblW w:w="0" w:type="auto"/>
        <w:jc w:val="center"/>
        <w:tblLayout w:type="fixed"/>
        <w:tblLook w:val="04A0" w:firstRow="1" w:lastRow="0" w:firstColumn="1" w:lastColumn="0" w:noHBand="0" w:noVBand="1"/>
      </w:tblPr>
      <w:tblGrid>
        <w:gridCol w:w="8200"/>
        <w:gridCol w:w="800"/>
      </w:tblGrid>
      <w:tr w:rsidR="005302BF" w14:paraId="7149E47C" w14:textId="77777777">
        <w:trPr>
          <w:jc w:val="center"/>
        </w:trPr>
        <w:tc>
          <w:tcPr>
            <w:tcW w:w="8200" w:type="dxa"/>
            <w:tcBorders>
              <w:top w:val="nil"/>
              <w:left w:val="nil"/>
              <w:bottom w:val="nil"/>
              <w:right w:val="nil"/>
            </w:tcBorders>
          </w:tcPr>
          <w:p w14:paraId="34F4E45E" w14:textId="22626050" w:rsidR="005302BF" w:rsidRDefault="00DA4FDF">
            <w:pPr>
              <w:pStyle w:val="affff7"/>
              <w:spacing w:before="62" w:after="62"/>
              <w:jc w:val="center"/>
            </w:pPr>
            <m:oMathPara>
              <m:oMath>
                <m:r>
                  <w:rPr>
                    <w:rFonts w:ascii="Cambria Math" w:eastAsia="Cambria Math" w:hAnsi="Cambria Math"/>
                  </w:rPr>
                  <m:t>τ_N=∈f(n≥ 0:</m:t>
                </m:r>
                <m:r>
                  <m:rPr>
                    <m:sty m:val="p"/>
                  </m:rPr>
                  <w:rPr>
                    <w:rFonts w:ascii="Cambria Math" w:eastAsia="Cambria Math" w:hAnsi="Cambria Math"/>
                  </w:rPr>
                  <m:t>min⁡</m:t>
                </m:r>
                <m:r>
                  <w:rPr>
                    <w:rFonts w:ascii="Cambria Math" w:eastAsia="Cambria Math" w:hAnsi="Cambria Math"/>
                  </w:rPr>
                  <m:t>_(i</m:t>
                </m:r>
                <m:r>
                  <m:rPr>
                    <m:scr m:val="script"/>
                  </m:rPr>
                  <w:rPr>
                    <w:rFonts w:ascii="Cambria Math" w:eastAsia="Cambria Math" w:hAnsi="Cambria Math"/>
                  </w:rPr>
                  <m:t>∈I)\</m:t>
                </m:r>
                <m:r>
                  <w:rPr>
                    <w:rFonts w:ascii="Cambria Math" w:eastAsia="Cambria Math" w:hAnsi="Cambria Math"/>
                  </w:rPr>
                  <m:t>widetilde X_(N,i)(n)=0).</m:t>
                </m:r>
              </m:oMath>
            </m:oMathPara>
          </w:p>
        </w:tc>
        <w:tc>
          <w:tcPr>
            <w:tcW w:w="800" w:type="dxa"/>
            <w:tcBorders>
              <w:top w:val="nil"/>
              <w:left w:val="nil"/>
              <w:bottom w:val="nil"/>
              <w:right w:val="nil"/>
            </w:tcBorders>
          </w:tcPr>
          <w:p w14:paraId="31E9CC28" w14:textId="77777777" w:rsidR="005302BF" w:rsidRDefault="003D6ED6">
            <w:pPr>
              <w:pStyle w:val="affff7"/>
              <w:spacing w:before="62" w:after="62"/>
              <w:jc w:val="right"/>
            </w:pPr>
            <w:r>
              <w:t>(4)</w:t>
            </w:r>
          </w:p>
        </w:tc>
      </w:tr>
    </w:tbl>
    <w:p w14:paraId="3ACF4D9A" w14:textId="77777777" w:rsidR="005302BF" w:rsidRDefault="003D6ED6">
      <w:r>
        <w:t>单位步长保证过程不会跳过零而未先命中零。时间单位是已接受的单位原子路由笔数。记单步漂移与协方差为</w:t>
      </w:r>
    </w:p>
    <w:tbl>
      <w:tblPr>
        <w:tblW w:w="0" w:type="auto"/>
        <w:jc w:val="center"/>
        <w:tblLayout w:type="fixed"/>
        <w:tblLook w:val="04A0" w:firstRow="1" w:lastRow="0" w:firstColumn="1" w:lastColumn="0" w:noHBand="0" w:noVBand="1"/>
      </w:tblPr>
      <w:tblGrid>
        <w:gridCol w:w="8200"/>
        <w:gridCol w:w="800"/>
      </w:tblGrid>
      <w:tr w:rsidR="005302BF" w14:paraId="61C182CF" w14:textId="77777777">
        <w:trPr>
          <w:jc w:val="center"/>
        </w:trPr>
        <w:tc>
          <w:tcPr>
            <w:tcW w:w="8200" w:type="dxa"/>
            <w:tcBorders>
              <w:top w:val="nil"/>
              <w:left w:val="nil"/>
              <w:bottom w:val="nil"/>
              <w:right w:val="nil"/>
            </w:tcBorders>
          </w:tcPr>
          <w:p w14:paraId="3DE0DDCB" w14:textId="6C652159" w:rsidR="005302BF" w:rsidRDefault="00BE28FA">
            <w:pPr>
              <w:pStyle w:val="affff7"/>
              <w:spacing w:before="62" w:after="62"/>
              <w:jc w:val="center"/>
            </w:pPr>
            <m:oMathPara>
              <m:oMath>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N</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ξ</m:t>
                    </m:r>
                  </m:e>
                  <m:sub>
                    <m:r>
                      <w:rPr>
                        <w:rFonts w:ascii="Cambria Math" w:eastAsia="Cambria Math" w:hAnsi="Cambria Math"/>
                      </w:rPr>
                      <m:t>N,1</m:t>
                    </m:r>
                  </m:sub>
                </m:sSub>
                <m:r>
                  <w:rPr>
                    <w:rFonts w:ascii="Cambria Math" w:eastAsia="Cambria Math" w:hAnsi="Cambria Math"/>
                  </w:rPr>
                  <m:t xml:space="preserve">,\qquad </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N</m:t>
                    </m:r>
                  </m:sub>
                </m:sSub>
                <m:r>
                  <w:rPr>
                    <w:rFonts w:ascii="Cambria Math" w:eastAsia="Cambria Math" w:hAnsi="Cambria Math"/>
                  </w:rPr>
                  <m:t>=Cov</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ξ</m:t>
                        </m:r>
                      </m:e>
                      <m:sub>
                        <m:r>
                          <w:rPr>
                            <w:rFonts w:ascii="Cambria Math" w:eastAsia="Cambria Math" w:hAnsi="Cambria Math"/>
                          </w:rPr>
                          <m:t>N,1</m:t>
                        </m:r>
                      </m:sub>
                    </m:sSub>
                  </m:e>
                </m:d>
                <m:r>
                  <w:rPr>
                    <w:rFonts w:ascii="Cambria Math" w:eastAsia="Cambria Math" w:hAnsi="Cambria Math"/>
                  </w:rPr>
                  <m:t>.</m:t>
                </m:r>
              </m:oMath>
            </m:oMathPara>
          </w:p>
        </w:tc>
        <w:tc>
          <w:tcPr>
            <w:tcW w:w="800" w:type="dxa"/>
            <w:tcBorders>
              <w:top w:val="nil"/>
              <w:left w:val="nil"/>
              <w:bottom w:val="nil"/>
              <w:right w:val="nil"/>
            </w:tcBorders>
          </w:tcPr>
          <w:p w14:paraId="76A98E35" w14:textId="77777777" w:rsidR="005302BF" w:rsidRDefault="003D6ED6">
            <w:pPr>
              <w:pStyle w:val="affff7"/>
              <w:spacing w:before="62" w:after="62"/>
              <w:jc w:val="right"/>
            </w:pPr>
            <w:r>
              <w:t>(5)</w:t>
            </w:r>
          </w:p>
        </w:tc>
      </w:tr>
    </w:tbl>
    <w:p w14:paraId="57C42D45" w14:textId="77777777" w:rsidR="005302BF" w:rsidRDefault="003D6ED6">
      <w:pPr>
        <w:pStyle w:val="3"/>
      </w:pPr>
      <w:r>
        <w:t>2.3</w:t>
      </w:r>
      <w:r>
        <w:t xml:space="preserve">　独立通道边际代理</w:t>
      </w:r>
    </w:p>
    <w:p w14:paraId="1C098364" w14:textId="77777777" w:rsidR="005302BF" w:rsidRDefault="003D6ED6">
      <w:r>
        <w:t>对二元通道，采用有符号位移</w:t>
      </w:r>
      <w:r>
        <w:t xml:space="preserve"> </w:t>
      </w:r>
      <w:r>
        <w:rPr>
          <w:rFonts w:ascii="Cambria Math" w:eastAsia="Cambria Math" w:hAnsi="Cambria Math"/>
        </w:rPr>
        <w:t>S_e(n)</w:t>
      </w:r>
      <w:r>
        <w:t xml:space="preserve"> </w:t>
      </w:r>
      <w:r>
        <w:t>表示余额</w:t>
      </w:r>
      <w:r>
        <w:t xml:space="preserve"> </w:t>
      </w:r>
      <w:r>
        <w:rPr>
          <w:rFonts w:ascii="Cambria Math" w:eastAsia="Cambria Math" w:hAnsi="Cambria Math"/>
        </w:rPr>
        <w:t>(N+S_e(n),N-S_e(n))</w:t>
      </w:r>
      <w:r>
        <w:t>。相关模型的一步增量向量为</w:t>
      </w:r>
      <w:r>
        <w:t xml:space="preserve"> </w:t>
      </w:r>
      <w:r>
        <w:rPr>
          <w:rFonts w:ascii="Cambria Math" w:eastAsia="Cambria Math" w:hAnsi="Cambria Math"/>
        </w:rPr>
        <w:t>ξ_n=(ξ_(n,e))_(e=1)^m</w:t>
      </w:r>
      <w:r>
        <w:t>。独立通道边际代理的一步增量</w:t>
      </w:r>
      <w:r>
        <w:t xml:space="preserve"> </w:t>
      </w:r>
      <w:r>
        <w:rPr>
          <w:rFonts w:ascii="Cambria Math" w:eastAsia="Cambria Math" w:hAnsi="Cambria Math"/>
        </w:rPr>
        <w:t>η_n</w:t>
      </w:r>
      <w:r>
        <w:t xml:space="preserve"> </w:t>
      </w:r>
      <w:r>
        <w:t>满足各坐标相互独立且</w:t>
      </w:r>
    </w:p>
    <w:tbl>
      <w:tblPr>
        <w:tblW w:w="0" w:type="auto"/>
        <w:jc w:val="center"/>
        <w:tblLayout w:type="fixed"/>
        <w:tblLook w:val="04A0" w:firstRow="1" w:lastRow="0" w:firstColumn="1" w:lastColumn="0" w:noHBand="0" w:noVBand="1"/>
      </w:tblPr>
      <w:tblGrid>
        <w:gridCol w:w="8200"/>
        <w:gridCol w:w="800"/>
      </w:tblGrid>
      <w:tr w:rsidR="005302BF" w14:paraId="4162EB7E" w14:textId="77777777">
        <w:trPr>
          <w:jc w:val="center"/>
        </w:trPr>
        <w:tc>
          <w:tcPr>
            <w:tcW w:w="8200" w:type="dxa"/>
            <w:tcBorders>
              <w:top w:val="nil"/>
              <w:left w:val="nil"/>
              <w:bottom w:val="nil"/>
              <w:right w:val="nil"/>
            </w:tcBorders>
          </w:tcPr>
          <w:p w14:paraId="34024635" w14:textId="48D9726D" w:rsidR="005302BF" w:rsidRDefault="00BE28FA">
            <w:pPr>
              <w:pStyle w:val="affff7"/>
              <w:spacing w:before="62" w:after="62"/>
              <w:jc w:val="center"/>
            </w:pPr>
            <m:oMathPara>
              <m:oMath>
                <m:sSub>
                  <m:sSubPr>
                    <m:ctrlPr>
                      <w:rPr>
                        <w:rFonts w:ascii="Cambria Math" w:eastAsia="Cambria Math" w:hAnsi="Cambria Math"/>
                        <w:i/>
                      </w:rPr>
                    </m:ctrlPr>
                  </m:sSubPr>
                  <m:e>
                    <m:r>
                      <w:rPr>
                        <w:rFonts w:ascii="Cambria Math" w:eastAsia="Cambria Math" w:hAnsi="Cambria Math"/>
                      </w:rPr>
                      <m:t>η</m:t>
                    </m:r>
                  </m:e>
                  <m:sub>
                    <m:r>
                      <w:rPr>
                        <w:rFonts w:ascii="Cambria Math" w:eastAsia="Cambria Math" w:hAnsi="Cambria Math"/>
                      </w:rPr>
                      <m:t>n,e</m:t>
                    </m:r>
                  </m:sub>
                </m:sSub>
                <m:r>
                  <w:rPr>
                    <w:rFonts w:ascii="Cambria Math" w:eastAsia="Cambria Math" w:hAnsi="Cambria Math"/>
                  </w:rPr>
                  <m:t>\overset d=</m:t>
                </m:r>
                <m:sSub>
                  <m:sSubPr>
                    <m:ctrlPr>
                      <w:rPr>
                        <w:rFonts w:ascii="Cambria Math" w:eastAsia="Cambria Math" w:hAnsi="Cambria Math"/>
                        <w:i/>
                      </w:rPr>
                    </m:ctrlPr>
                  </m:sSubPr>
                  <m:e>
                    <m:r>
                      <w:rPr>
                        <w:rFonts w:ascii="Cambria Math" w:eastAsia="Cambria Math" w:hAnsi="Cambria Math"/>
                      </w:rPr>
                      <m:t>ξ</m:t>
                    </m:r>
                  </m:e>
                  <m:sub>
                    <m:r>
                      <w:rPr>
                        <w:rFonts w:ascii="Cambria Math" w:eastAsia="Cambria Math" w:hAnsi="Cambria Math"/>
                      </w:rPr>
                      <m:t>n,e</m:t>
                    </m:r>
                  </m:sub>
                </m:sSub>
                <m:r>
                  <w:rPr>
                    <w:rFonts w:ascii="Cambria Math" w:eastAsia="Cambria Math" w:hAnsi="Cambria Math"/>
                  </w:rPr>
                  <m:t>,\qquad 1≤ e≤ m.</m:t>
                </m:r>
              </m:oMath>
            </m:oMathPara>
          </w:p>
        </w:tc>
        <w:tc>
          <w:tcPr>
            <w:tcW w:w="800" w:type="dxa"/>
            <w:tcBorders>
              <w:top w:val="nil"/>
              <w:left w:val="nil"/>
              <w:bottom w:val="nil"/>
              <w:right w:val="nil"/>
            </w:tcBorders>
          </w:tcPr>
          <w:p w14:paraId="564C1F8B" w14:textId="77777777" w:rsidR="005302BF" w:rsidRDefault="003D6ED6">
            <w:pPr>
              <w:pStyle w:val="affff7"/>
              <w:spacing w:before="62" w:after="62"/>
              <w:jc w:val="right"/>
            </w:pPr>
            <w:r>
              <w:t>(6)</w:t>
            </w:r>
          </w:p>
        </w:tc>
      </w:tr>
    </w:tbl>
    <w:p w14:paraId="0AF10C01" w14:textId="77777777" w:rsidR="005302BF" w:rsidRDefault="003D6ED6">
      <w:r>
        <w:t>代理完整保持每条通道的一步边际律，只删除跨通道依赖。它不是一组可执行的物理路由，而是用于量化独立假设误差的对照过程。本文使用的归一化停止时间效应为</w:t>
      </w:r>
    </w:p>
    <w:tbl>
      <w:tblPr>
        <w:tblW w:w="0" w:type="auto"/>
        <w:jc w:val="center"/>
        <w:tblLayout w:type="fixed"/>
        <w:tblLook w:val="04A0" w:firstRow="1" w:lastRow="0" w:firstColumn="1" w:lastColumn="0" w:noHBand="0" w:noVBand="1"/>
      </w:tblPr>
      <w:tblGrid>
        <w:gridCol w:w="8200"/>
        <w:gridCol w:w="800"/>
      </w:tblGrid>
      <w:tr w:rsidR="005302BF" w14:paraId="31F35121" w14:textId="77777777">
        <w:trPr>
          <w:jc w:val="center"/>
        </w:trPr>
        <w:tc>
          <w:tcPr>
            <w:tcW w:w="8200" w:type="dxa"/>
            <w:tcBorders>
              <w:top w:val="nil"/>
              <w:left w:val="nil"/>
              <w:bottom w:val="nil"/>
              <w:right w:val="nil"/>
            </w:tcBorders>
          </w:tcPr>
          <w:p w14:paraId="5C6643ED" w14:textId="42A9E7A9" w:rsidR="005302BF" w:rsidRDefault="00BE28FA">
            <w:pPr>
              <w:pStyle w:val="affff7"/>
              <w:spacing w:before="62" w:after="62"/>
              <w:jc w:val="center"/>
            </w:pPr>
            <m:oMathPara>
              <m:oMath>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r>
                  <w:rPr>
                    <w:rFonts w:ascii="Cambria Math" w:eastAsia="Cambria Math" w:hAnsi="Cambria Math"/>
                  </w:rPr>
                  <m:t>=\frac</m:t>
                </m:r>
                <m:d>
                  <m:dPr>
                    <m:ctrlPr>
                      <w:rPr>
                        <w:rFonts w:ascii="Cambria Math" w:eastAsia="Cambria Math" w:hAnsi="Cambria Math"/>
                        <w:i/>
                      </w:rPr>
                    </m:ctrlPr>
                  </m:dPr>
                  <m:e>
                    <m:r>
                      <w:rPr>
                        <w:rFonts w:ascii="Cambria Math" w:eastAsia="Cambria Math" w:hAnsi="Cambria Math"/>
                      </w:rPr>
                      <m:t>E</m:t>
                    </m:r>
                    <m:sSubSup>
                      <m:sSubSupPr>
                        <m:ctrlPr>
                          <w:rPr>
                            <w:rFonts w:ascii="Cambria Math" w:eastAsia="Cambria Math" w:hAnsi="Cambria Math"/>
                            <w:i/>
                          </w:rPr>
                        </m:ctrlPr>
                      </m:sSubSupPr>
                      <m:e>
                        <m:r>
                          <w:rPr>
                            <w:rFonts w:ascii="Cambria Math" w:eastAsia="Cambria Math" w:hAnsi="Cambria Math"/>
                          </w:rPr>
                          <m:t>τ</m:t>
                        </m:r>
                      </m:e>
                      <m:sub>
                        <m:r>
                          <w:rPr>
                            <w:rFonts w:ascii="Cambria Math" w:eastAsia="Cambria Math" w:hAnsi="Cambria Math"/>
                          </w:rPr>
                          <m:t>N</m:t>
                        </m:r>
                      </m:sub>
                      <m:sup>
                        <m:r>
                          <w:rPr>
                            <w:rFonts w:ascii="Cambria Math" w:eastAsia="Cambria Math" w:hAnsi="Cambria Math"/>
                          </w:rPr>
                          <m:t>\rm corr</m:t>
                        </m:r>
                      </m:sup>
                    </m:sSubSup>
                    <m:r>
                      <w:rPr>
                        <w:rFonts w:ascii="Cambria Math" w:eastAsia="Cambria Math" w:hAnsi="Cambria Math"/>
                      </w:rPr>
                      <m:t>-E</m:t>
                    </m:r>
                    <m:sSubSup>
                      <m:sSubSupPr>
                        <m:ctrlPr>
                          <w:rPr>
                            <w:rFonts w:ascii="Cambria Math" w:eastAsia="Cambria Math" w:hAnsi="Cambria Math"/>
                            <w:i/>
                          </w:rPr>
                        </m:ctrlPr>
                      </m:sSubSupPr>
                      <m:e>
                        <m:r>
                          <w:rPr>
                            <w:rFonts w:ascii="Cambria Math" w:eastAsia="Cambria Math" w:hAnsi="Cambria Math"/>
                          </w:rPr>
                          <m:t>τ</m:t>
                        </m:r>
                      </m:e>
                      <m:sub>
                        <m:r>
                          <w:rPr>
                            <w:rFonts w:ascii="Cambria Math" w:eastAsia="Cambria Math" w:hAnsi="Cambria Math"/>
                          </w:rPr>
                          <m:t>N</m:t>
                        </m:r>
                      </m:sub>
                      <m:sup>
                        <m:r>
                          <w:rPr>
                            <w:rFonts w:ascii="Cambria Math" w:eastAsia="Cambria Math" w:hAnsi="Cambria Math"/>
                          </w:rPr>
                          <m:t>\rm ind</m:t>
                        </m:r>
                      </m:sup>
                    </m:sSubSup>
                  </m:e>
                </m:d>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2</m:t>
                        </m:r>
                      </m:sup>
                    </m:sSup>
                  </m:e>
                </m:d>
                <m:r>
                  <w:rPr>
                    <w:rFonts w:ascii="Cambria Math" w:eastAsia="Cambria Math" w:hAnsi="Cambria Math"/>
                  </w:rPr>
                  <m:t>.</m:t>
                </m:r>
              </m:oMath>
            </m:oMathPara>
          </w:p>
        </w:tc>
        <w:tc>
          <w:tcPr>
            <w:tcW w:w="800" w:type="dxa"/>
            <w:tcBorders>
              <w:top w:val="nil"/>
              <w:left w:val="nil"/>
              <w:bottom w:val="nil"/>
              <w:right w:val="nil"/>
            </w:tcBorders>
          </w:tcPr>
          <w:p w14:paraId="5A48B276" w14:textId="77777777" w:rsidR="005302BF" w:rsidRDefault="003D6ED6">
            <w:pPr>
              <w:pStyle w:val="affff7"/>
              <w:spacing w:before="62" w:after="62"/>
              <w:jc w:val="right"/>
            </w:pPr>
            <w:r>
              <w:t>(7)</w:t>
            </w:r>
          </w:p>
        </w:tc>
      </w:tr>
    </w:tbl>
    <w:p w14:paraId="5E7C26EB" w14:textId="77777777" w:rsidR="005302BF" w:rsidRDefault="003D6ED6">
      <w:pPr>
        <w:pStyle w:val="3"/>
      </w:pPr>
      <w:r>
        <w:lastRenderedPageBreak/>
        <w:t>2.4</w:t>
      </w:r>
      <w:r>
        <w:t xml:space="preserve">　触边与真实支付失败的非等价性</w:t>
      </w:r>
    </w:p>
    <w:p w14:paraId="5BEDED98" w14:textId="77777777" w:rsidR="005302BF" w:rsidRDefault="003D6ED6">
      <w:r>
        <w:t>定义执行前首次拒绝时钟</w:t>
      </w:r>
    </w:p>
    <w:tbl>
      <w:tblPr>
        <w:tblW w:w="0" w:type="auto"/>
        <w:jc w:val="center"/>
        <w:tblLayout w:type="fixed"/>
        <w:tblLook w:val="04A0" w:firstRow="1" w:lastRow="0" w:firstColumn="1" w:lastColumn="0" w:noHBand="0" w:noVBand="1"/>
      </w:tblPr>
      <w:tblGrid>
        <w:gridCol w:w="8200"/>
        <w:gridCol w:w="800"/>
      </w:tblGrid>
      <w:tr w:rsidR="005302BF" w14:paraId="72F2EE95" w14:textId="77777777">
        <w:trPr>
          <w:jc w:val="center"/>
        </w:trPr>
        <w:tc>
          <w:tcPr>
            <w:tcW w:w="8200" w:type="dxa"/>
            <w:tcBorders>
              <w:top w:val="nil"/>
              <w:left w:val="nil"/>
              <w:bottom w:val="nil"/>
              <w:right w:val="nil"/>
            </w:tcBorders>
          </w:tcPr>
          <w:p w14:paraId="51C0D375" w14:textId="6B6B9F86" w:rsidR="005302BF" w:rsidRDefault="00BE28FA">
            <w:pPr>
              <w:pStyle w:val="affff7"/>
              <w:spacing w:before="62" w:after="62"/>
              <w:jc w:val="center"/>
            </w:pPr>
            <m:oMathPara>
              <m:oMath>
                <m:r>
                  <w:rPr>
                    <w:rFonts w:ascii="Cambria Math" w:eastAsia="Cambria Math" w:hAnsi="Cambria Math"/>
                  </w:rPr>
                  <m:t>ρ=∈f</m:t>
                </m:r>
                <m:d>
                  <m:dPr>
                    <m:ctrlPr>
                      <w:rPr>
                        <w:rFonts w:ascii="Cambria Math" w:eastAsia="Cambria Math" w:hAnsi="Cambria Math"/>
                        <w:i/>
                      </w:rPr>
                    </m:ctrlPr>
                  </m:dPr>
                  <m:e>
                    <m:r>
                      <w:rPr>
                        <w:rFonts w:ascii="Cambria Math" w:eastAsia="Cambria Math" w:hAnsi="Cambria Math"/>
                      </w:rPr>
                      <m:t>n≥1:\text</m:t>
                    </m:r>
                    <m:d>
                      <m:dPr>
                        <m:ctrlPr>
                          <w:rPr>
                            <w:rFonts w:ascii="Cambria Math" w:eastAsia="Cambria Math" w:hAnsi="Cambria Math"/>
                            <w:i/>
                          </w:rPr>
                        </m:ctrlPr>
                      </m:dPr>
                      <m:e>
                        <m:r>
                          <w:rPr>
                            <w:rFonts w:ascii="宋体" w:hAnsi="宋体" w:cs="宋体" w:hint="eastAsia"/>
                          </w:rPr>
                          <m:t>第</m:t>
                        </m:r>
                      </m:e>
                    </m:d>
                    <m:r>
                      <w:rPr>
                        <w:rFonts w:ascii="Cambria Math" w:eastAsia="Cambria Math" w:hAnsi="Cambria Math"/>
                      </w:rPr>
                      <m:t>n\text</m:t>
                    </m:r>
                    <m:d>
                      <m:dPr>
                        <m:ctrlPr>
                          <w:rPr>
                            <w:rFonts w:ascii="Cambria Math" w:eastAsia="Cambria Math" w:hAnsi="Cambria Math"/>
                            <w:i/>
                          </w:rPr>
                        </m:ctrlPr>
                      </m:dPr>
                      <m:e>
                        <m:r>
                          <w:rPr>
                            <w:rFonts w:ascii="宋体" w:hAnsi="宋体" w:cs="宋体" w:hint="eastAsia"/>
                          </w:rPr>
                          <m:t>个请求在执行前违反余额、协议或策略约束</m:t>
                        </m:r>
                      </m:e>
                    </m:d>
                  </m:e>
                </m:d>
                <m:r>
                  <w:rPr>
                    <w:rFonts w:ascii="Cambria Math" w:eastAsia="Cambria Math" w:hAnsi="Cambria Math"/>
                  </w:rPr>
                  <m:t>.</m:t>
                </m:r>
              </m:oMath>
            </m:oMathPara>
          </w:p>
        </w:tc>
        <w:tc>
          <w:tcPr>
            <w:tcW w:w="800" w:type="dxa"/>
            <w:tcBorders>
              <w:top w:val="nil"/>
              <w:left w:val="nil"/>
              <w:bottom w:val="nil"/>
              <w:right w:val="nil"/>
            </w:tcBorders>
          </w:tcPr>
          <w:p w14:paraId="6D7D1747" w14:textId="77777777" w:rsidR="005302BF" w:rsidRDefault="003D6ED6">
            <w:pPr>
              <w:pStyle w:val="affff7"/>
              <w:spacing w:before="62" w:after="62"/>
              <w:jc w:val="right"/>
            </w:pPr>
            <w:r>
              <w:t>(8)</w:t>
            </w:r>
          </w:p>
        </w:tc>
      </w:tr>
    </w:tbl>
    <w:p w14:paraId="6CB7CAA1" w14:textId="77777777" w:rsidR="005302BF" w:rsidRDefault="003D6ED6">
      <w:r>
        <w:t>在单位金额、无费用、无储备、无</w:t>
      </w:r>
      <w:r>
        <w:t>HTLC</w:t>
      </w:r>
      <w:r>
        <w:t>限制、无重试、无替代路径且无再平衡的简化合同中，第</w:t>
      </w:r>
      <w:r>
        <w:t xml:space="preserve"> </w:t>
      </w:r>
      <w:r>
        <w:rPr>
          <w:rFonts w:ascii="Cambria Math" w:eastAsia="Cambria Math" w:hAnsi="Cambria Math"/>
        </w:rPr>
        <w:t>τ_N</w:t>
      </w:r>
      <w:r>
        <w:t xml:space="preserve"> </w:t>
      </w:r>
      <w:r>
        <w:t>笔支付执行前所有被消费坐标至少为</w:t>
      </w:r>
      <w:r>
        <w:t>1</w:t>
      </w:r>
      <w:r>
        <w:t>，故该笔支付仍可执行；它只是在执行后首次把某坐标降到</w:t>
      </w:r>
      <w:r>
        <w:t>0</w:t>
      </w:r>
      <w:r>
        <w:t>。若继续运行同一请求序列，有限的首次余额型拒绝</w:t>
      </w:r>
      <w:r>
        <w:t xml:space="preserve"> </w:t>
      </w:r>
      <w:r>
        <w:rPr>
          <w:rFonts w:ascii="Cambria Math" w:eastAsia="Cambria Math" w:hAnsi="Cambria Math"/>
        </w:rPr>
        <w:t>ρ_(\rm bal)</w:t>
      </w:r>
      <w:r>
        <w:t xml:space="preserve"> </w:t>
      </w:r>
      <w:r>
        <w:t>必有</w:t>
      </w:r>
      <w:r>
        <w:t xml:space="preserve"> </w:t>
      </w:r>
      <w:r>
        <w:rPr>
          <w:rFonts w:ascii="Cambria Math" w:eastAsia="Cambria Math" w:hAnsi="Cambria Math"/>
        </w:rPr>
        <w:t>ρ_(\rm bal)&gt;τ_N</w:t>
      </w:r>
      <w:r>
        <w:t>，但不必等于</w:t>
      </w:r>
      <w:r>
        <w:t xml:space="preserve"> </w:t>
      </w:r>
      <w:r>
        <w:rPr>
          <w:rFonts w:ascii="Cambria Math" w:eastAsia="Cambria Math" w:hAnsi="Cambria Math"/>
        </w:rPr>
        <w:t>τ_N+1</w:t>
      </w:r>
      <w:r>
        <w:t>。</w:t>
      </w:r>
    </w:p>
    <w:p w14:paraId="61E5701B" w14:textId="77777777" w:rsidR="005302BF" w:rsidRDefault="003D6ED6">
      <w:r>
        <w:t>现实</w:t>
      </w:r>
      <w:r>
        <w:t>Lightning</w:t>
      </w:r>
      <w:r>
        <w:t>还受通道储备、承诺交易费用、</w:t>
      </w:r>
      <w:r>
        <w:t>HTLC</w:t>
      </w:r>
      <w:r>
        <w:t>上下限、</w:t>
      </w:r>
      <w:r>
        <w:t>CLTV</w:t>
      </w:r>
      <w:r>
        <w:t>、禁用状态、</w:t>
      </w:r>
      <w:r>
        <w:t>MPP</w:t>
      </w:r>
      <w:r>
        <w:t>、重试和替代路径影响</w:t>
      </w:r>
      <w:r>
        <w:t>[25-27]</w:t>
      </w:r>
      <w:r>
        <w:t>。因此，现实拒绝可以早于模型触边，现实成功也可通过替代路径或反向流晚于模型触边。在没有交易级请求、方向余额、协议状态和重试策略的共同耦合时，</w:t>
      </w:r>
      <w:r>
        <w:rPr>
          <w:rFonts w:ascii="Cambria Math" w:eastAsia="Cambria Math" w:hAnsi="Cambria Math"/>
        </w:rPr>
        <w:t>τ_N</w:t>
      </w:r>
      <w:r>
        <w:t xml:space="preserve"> </w:t>
      </w:r>
      <w:r>
        <w:t>与真实支付失败时刻不存在普适等式或随机序。</w:t>
      </w:r>
    </w:p>
    <w:p w14:paraId="3A0AB21F" w14:textId="77777777" w:rsidR="005302BF" w:rsidRDefault="003D6ED6">
      <w:pPr>
        <w:pStyle w:val="2"/>
      </w:pPr>
      <w:r>
        <w:t>3</w:t>
      </w:r>
      <w:r>
        <w:t xml:space="preserve">　网络停止时间的精确与渐近理论</w:t>
      </w:r>
    </w:p>
    <w:p w14:paraId="476021D5" w14:textId="77777777" w:rsidR="005302BF" w:rsidRDefault="003D6ED6">
      <w:pPr>
        <w:pStyle w:val="3"/>
      </w:pPr>
      <w:r>
        <w:t>3.1</w:t>
      </w:r>
      <w:r>
        <w:t xml:space="preserve">　有限状态吸收与</w:t>
      </w:r>
      <w:r>
        <w:t>Poisson</w:t>
      </w:r>
      <w:r>
        <w:t>方程</w:t>
      </w:r>
    </w:p>
    <w:p w14:paraId="4DFEC8A9" w14:textId="77777777" w:rsidR="005302BF" w:rsidRDefault="003D6ED6">
      <w:r>
        <w:rPr>
          <w:b/>
        </w:rPr>
        <w:t>定理</w:t>
      </w:r>
      <w:r>
        <w:rPr>
          <w:b/>
        </w:rPr>
        <w:t>1</w:t>
      </w:r>
      <w:r>
        <w:rPr>
          <w:b/>
        </w:rPr>
        <w:t xml:space="preserve">　有限网络精确方程。</w:t>
      </w:r>
      <w:r>
        <w:t xml:space="preserve"> </w:t>
      </w:r>
      <w:r>
        <w:t>固定可容许的</w:t>
      </w:r>
      <w:r>
        <w:t xml:space="preserve"> </w:t>
      </w:r>
      <w:r>
        <w:rPr>
          <w:rFonts w:ascii="Cambria Math" w:eastAsia="Cambria Math" w:hAnsi="Cambria Math"/>
        </w:rPr>
        <w:t>N</w:t>
      </w:r>
      <w:r>
        <w:t>。若从</w:t>
      </w:r>
      <w:r>
        <w:t xml:space="preserve"> </w:t>
      </w:r>
      <w:r>
        <w:rPr>
          <w:rFonts w:ascii="Cambria Math" w:eastAsia="Cambria Math" w:hAnsi="Cambria Math"/>
        </w:rPr>
        <w:t>𝒮_N^\circ</w:t>
      </w:r>
      <w:r>
        <w:t xml:space="preserve"> </w:t>
      </w:r>
      <w:r>
        <w:t>的每个状态都存在一个由正概率路由组成的有限路由词，使过程在执行该词期间到达边界，则：</w:t>
      </w:r>
    </w:p>
    <w:tbl>
      <w:tblPr>
        <w:tblW w:w="0" w:type="auto"/>
        <w:jc w:val="center"/>
        <w:tblLayout w:type="fixed"/>
        <w:tblLook w:val="04A0" w:firstRow="1" w:lastRow="0" w:firstColumn="1" w:lastColumn="0" w:noHBand="0" w:noVBand="1"/>
      </w:tblPr>
      <w:tblGrid>
        <w:gridCol w:w="8200"/>
        <w:gridCol w:w="800"/>
      </w:tblGrid>
      <w:tr w:rsidR="005302BF" w14:paraId="33ADB822" w14:textId="77777777">
        <w:trPr>
          <w:jc w:val="center"/>
        </w:trPr>
        <w:tc>
          <w:tcPr>
            <w:tcW w:w="8200" w:type="dxa"/>
            <w:tcBorders>
              <w:top w:val="nil"/>
              <w:left w:val="nil"/>
              <w:bottom w:val="nil"/>
              <w:right w:val="nil"/>
            </w:tcBorders>
          </w:tcPr>
          <w:p w14:paraId="4264E4E5" w14:textId="3A693E13" w:rsidR="005302BF" w:rsidRDefault="00BE28FA">
            <w:pPr>
              <w:pStyle w:val="affff7"/>
              <w:spacing w:before="62" w:after="62"/>
              <w:jc w:val="center"/>
            </w:pPr>
            <m:oMathPara>
              <m:oMath>
                <m:d>
                  <m:dPr>
                    <m:begChr m:val="|"/>
                    <m:endChr m:val="|"/>
                    <m:ctrlPr>
                      <w:rPr>
                        <w:rFonts w:ascii="Cambria Math" w:eastAsia="Cambria Math" w:hAnsi="Cambria Math"/>
                        <w:i/>
                      </w:rPr>
                    </m:ctrlPr>
                  </m:dPr>
                  <m:e>
                    <m:sSubSup>
                      <m:sSubSupPr>
                        <m:ctrlPr>
                          <w:rPr>
                            <w:rFonts w:ascii="Cambria Math" w:eastAsia="Cambria Math" w:hAnsi="Cambria Math"/>
                            <w:i/>
                          </w:rPr>
                        </m:ctrlPr>
                      </m:sSubSupPr>
                      <m:e>
                        <m:r>
                          <m:rPr>
                            <m:scr m:val="script"/>
                          </m:rPr>
                          <w:rPr>
                            <w:rFonts w:ascii="Cambria Math" w:eastAsia="Cambria Math" w:hAnsi="Cambria Math"/>
                          </w:rPr>
                          <m:t>S</m:t>
                        </m:r>
                      </m:e>
                      <m:sub>
                        <m:r>
                          <w:rPr>
                            <w:rFonts w:ascii="Cambria Math" w:eastAsia="Cambria Math" w:hAnsi="Cambria Math"/>
                          </w:rPr>
                          <m:t>N</m:t>
                        </m:r>
                      </m:sub>
                      <m:sup>
                        <m:r>
                          <w:rPr>
                            <w:rFonts w:ascii="Cambria Math" w:eastAsia="Cambria Math" w:hAnsi="Cambria Math"/>
                          </w:rPr>
                          <m:t>\circ</m:t>
                        </m:r>
                      </m:sup>
                    </m:sSubSup>
                  </m:e>
                </m:d>
                <m:r>
                  <w:rPr>
                    <w:rFonts w:ascii="Cambria Math" w:eastAsia="Cambria Math" w:hAnsi="Cambria Math"/>
                  </w:rPr>
                  <m:t>=</m:t>
                </m:r>
                <m:nary>
                  <m:naryPr>
                    <m:chr m:val="∏"/>
                    <m:supHide m:val="1"/>
                    <m:ctrlPr>
                      <w:rPr>
                        <w:rFonts w:ascii="Cambria Math" w:eastAsia="Cambria Math" w:hAnsi="Cambria Math"/>
                        <w:i/>
                      </w:rPr>
                    </m:ctrlPr>
                  </m:naryPr>
                  <m:sub>
                    <m:d>
                      <m:dPr>
                        <m:ctrlPr>
                          <w:rPr>
                            <w:rFonts w:ascii="Cambria Math" w:eastAsia="Cambria Math" w:hAnsi="Cambria Math"/>
                            <w:i/>
                          </w:rPr>
                        </m:ctrlPr>
                      </m:dPr>
                      <m:e>
                        <m:r>
                          <w:rPr>
                            <w:rFonts w:ascii="Cambria Math" w:eastAsia="Cambria Math" w:hAnsi="Cambria Math"/>
                          </w:rPr>
                          <m:t>e∈ E</m:t>
                        </m:r>
                      </m:e>
                    </m:d>
                    <m:d>
                      <m:dPr>
                        <m:ctrlPr>
                          <w:rPr>
                            <w:rFonts w:ascii="Cambria Math" w:eastAsia="Cambria Math" w:hAnsi="Cambria Math"/>
                            <w:i/>
                          </w:rPr>
                        </m:ctrlPr>
                      </m:dPr>
                      <m:e>
                        <m:r>
                          <w:rPr>
                            <w:rFonts w:ascii="Cambria Math" w:eastAsia="Cambria Math" w:hAnsi="Cambria Math"/>
                          </w:rPr>
                          <m:t>N</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e</m:t>
                            </m:r>
                          </m:sub>
                        </m:sSub>
                        <m:r>
                          <w:rPr>
                            <w:rFonts w:ascii="Cambria Math" w:eastAsia="Cambria Math" w:hAnsi="Cambria Math"/>
                          </w:rPr>
                          <m:t xml:space="preserve">-1\choose </m:t>
                        </m:r>
                        <m:sSub>
                          <m:sSubPr>
                            <m:ctrlPr>
                              <w:rPr>
                                <w:rFonts w:ascii="Cambria Math" w:eastAsia="Cambria Math" w:hAnsi="Cambria Math"/>
                                <w:i/>
                              </w:rPr>
                            </m:ctrlPr>
                          </m:sSubPr>
                          <m:e>
                            <m:r>
                              <w:rPr>
                                <w:rFonts w:ascii="Cambria Math" w:eastAsia="Cambria Math" w:hAnsi="Cambria Math"/>
                              </w:rPr>
                              <m:t>k</m:t>
                            </m:r>
                          </m:e>
                          <m:sub>
                            <m:r>
                              <w:rPr>
                                <w:rFonts w:ascii="Cambria Math" w:eastAsia="Cambria Math" w:hAnsi="Cambria Math"/>
                              </w:rPr>
                              <m:t>e</m:t>
                            </m:r>
                          </m:sub>
                        </m:sSub>
                        <m:r>
                          <w:rPr>
                            <w:rFonts w:ascii="Cambria Math" w:eastAsia="Cambria Math" w:hAnsi="Cambria Math"/>
                          </w:rPr>
                          <m:t>-1</m:t>
                        </m:r>
                      </m:e>
                    </m:d>
                  </m:sub>
                  <m:sup/>
                  <m:e/>
                </m:nary>
                <m:r>
                  <w:rPr>
                    <w:rFonts w:ascii="Cambria Math" w:eastAsia="Cambria Math" w:hAnsi="Cambria Math"/>
                  </w:rPr>
                  <m:t>,</m:t>
                </m:r>
              </m:oMath>
            </m:oMathPara>
          </w:p>
        </w:tc>
        <w:tc>
          <w:tcPr>
            <w:tcW w:w="800" w:type="dxa"/>
            <w:tcBorders>
              <w:top w:val="nil"/>
              <w:left w:val="nil"/>
              <w:bottom w:val="nil"/>
              <w:right w:val="nil"/>
            </w:tcBorders>
          </w:tcPr>
          <w:p w14:paraId="33ADF571" w14:textId="77777777" w:rsidR="005302BF" w:rsidRDefault="003D6ED6">
            <w:pPr>
              <w:pStyle w:val="affff7"/>
              <w:spacing w:before="62" w:after="62"/>
              <w:jc w:val="right"/>
            </w:pPr>
            <w:r>
              <w:t>(9)</w:t>
            </w:r>
          </w:p>
        </w:tc>
      </w:tr>
    </w:tbl>
    <w:p w14:paraId="2A7DC027" w14:textId="77777777" w:rsidR="005302BF" w:rsidRDefault="003D6ED6">
      <w:r>
        <w:t>且</w:t>
      </w:r>
      <w:r>
        <w:t xml:space="preserve"> </w:t>
      </w:r>
      <w:r>
        <w:rPr>
          <w:rFonts w:ascii="Cambria Math" w:eastAsia="Cambria Math" w:hAnsi="Cambria Math"/>
        </w:rPr>
        <w:t>τ_N</w:t>
      </w:r>
      <w:r>
        <w:t xml:space="preserve"> </w:t>
      </w:r>
      <w:r>
        <w:t>几乎处处有限并有有限均值。若</w:t>
      </w:r>
      <w:r>
        <w:t xml:space="preserve"> </w:t>
      </w:r>
      <w:r>
        <w:rPr>
          <w:rFonts w:ascii="Cambria Math" w:eastAsia="Cambria Math" w:hAnsi="Cambria Math"/>
        </w:rPr>
        <w:t>Q_N</w:t>
      </w:r>
      <w:r>
        <w:t xml:space="preserve"> </w:t>
      </w:r>
      <w:r>
        <w:t>为内部状态间的次随机转移矩阵，则</w:t>
      </w:r>
      <w:r>
        <w:t xml:space="preserve"> </w:t>
      </w:r>
      <w:r>
        <w:rPr>
          <w:rFonts w:ascii="Cambria Math" w:eastAsia="Cambria Math" w:hAnsi="Cambria Math"/>
        </w:rPr>
        <w:t>ρ(Q_N)&lt;1</w:t>
      </w:r>
      <w:r>
        <w:t>，并且</w:t>
      </w:r>
    </w:p>
    <w:tbl>
      <w:tblPr>
        <w:tblW w:w="0" w:type="auto"/>
        <w:jc w:val="center"/>
        <w:tblLayout w:type="fixed"/>
        <w:tblLook w:val="04A0" w:firstRow="1" w:lastRow="0" w:firstColumn="1" w:lastColumn="0" w:noHBand="0" w:noVBand="1"/>
      </w:tblPr>
      <w:tblGrid>
        <w:gridCol w:w="8200"/>
        <w:gridCol w:w="800"/>
      </w:tblGrid>
      <w:tr w:rsidR="005302BF" w14:paraId="29097B63" w14:textId="77777777">
        <w:trPr>
          <w:jc w:val="center"/>
        </w:trPr>
        <w:tc>
          <w:tcPr>
            <w:tcW w:w="8200" w:type="dxa"/>
            <w:tcBorders>
              <w:top w:val="nil"/>
              <w:left w:val="nil"/>
              <w:bottom w:val="nil"/>
              <w:right w:val="nil"/>
            </w:tcBorders>
          </w:tcPr>
          <w:p w14:paraId="35415CCE" w14:textId="0E62CE3D" w:rsidR="005302BF" w:rsidRDefault="00BE28FA">
            <w:pPr>
              <w:pStyle w:val="affff7"/>
              <w:spacing w:before="62" w:after="62"/>
              <w:jc w:val="center"/>
            </w:pPr>
            <m:oMathPara>
              <m:oMath>
                <m:d>
                  <m:dPr>
                    <m:ctrlPr>
                      <w:rPr>
                        <w:rFonts w:ascii="Cambria Math" w:eastAsia="Cambria Math" w:hAnsi="Cambria Math"/>
                        <w:i/>
                      </w:rPr>
                    </m:ctrlPr>
                  </m:dPr>
                  <m:e>
                    <m:r>
                      <w:rPr>
                        <w:rFonts w:ascii="Cambria Math" w:eastAsia="Cambria Math" w:hAnsi="Cambria Math"/>
                      </w:rPr>
                      <m:t>I-</m:t>
                    </m:r>
                    <m:sSub>
                      <m:sSubPr>
                        <m:ctrlPr>
                          <w:rPr>
                            <w:rFonts w:ascii="Cambria Math" w:eastAsia="Cambria Math" w:hAnsi="Cambria Math"/>
                            <w:i/>
                          </w:rPr>
                        </m:ctrlPr>
                      </m:sSubPr>
                      <m:e>
                        <m:r>
                          <w:rPr>
                            <w:rFonts w:ascii="Cambria Math" w:eastAsia="Cambria Math" w:hAnsi="Cambria Math"/>
                          </w:rPr>
                          <m:t>Q</m:t>
                        </m:r>
                      </m:e>
                      <m:sub>
                        <m:r>
                          <w:rPr>
                            <w:rFonts w:ascii="Cambria Math" w:eastAsia="Cambria Math" w:hAnsi="Cambria Math"/>
                          </w:rPr>
                          <m:t>N</m:t>
                        </m:r>
                      </m:sub>
                    </m:sSub>
                  </m:e>
                </m:d>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rPr>
                      <m:t>N</m:t>
                    </m:r>
                  </m:sub>
                </m:sSub>
                <m:r>
                  <m:rPr>
                    <m:scr m:val="double-struck"/>
                  </m:rPr>
                  <w:rPr>
                    <w:rFonts w:ascii="Cambria Math" w:eastAsia="Cambria Math" w:hAnsi="Cambria Math"/>
                  </w:rPr>
                  <m:t>=1,\</m:t>
                </m:r>
                <m:r>
                  <w:rPr>
                    <w:rFonts w:ascii="Cambria Math" w:eastAsia="Cambria Math" w:hAnsi="Cambria Math"/>
                  </w:rPr>
                  <m:t xml:space="preserve">qquad </m:t>
                </m:r>
                <m:sSub>
                  <m:sSubPr>
                    <m:ctrlPr>
                      <w:rPr>
                        <w:rFonts w:ascii="Cambria Math" w:eastAsia="Cambria Math" w:hAnsi="Cambria Math"/>
                        <w:i/>
                      </w:rPr>
                    </m:ctrlPr>
                  </m:sSubPr>
                  <m:e>
                    <m:r>
                      <w:rPr>
                        <w:rFonts w:ascii="Cambria Math" w:eastAsia="Cambria Math" w:hAnsi="Cambria Math"/>
                      </w:rPr>
                      <m:t>u</m:t>
                    </m:r>
                  </m:e>
                  <m:sub>
                    <m:r>
                      <w:rPr>
                        <w:rFonts w:ascii="Cambria Math" w:eastAsia="Cambria Math" w:hAnsi="Cambria Math"/>
                      </w:rPr>
                      <m:t>N</m:t>
                    </m:r>
                    <m:d>
                      <m:dPr>
                        <m:ctrlPr>
                          <w:rPr>
                            <w:rFonts w:ascii="Cambria Math" w:eastAsia="Cambria Math" w:hAnsi="Cambria Math"/>
                            <w:i/>
                          </w:rPr>
                        </m:ctrlPr>
                      </m:dPr>
                      <m:e>
                        <m:r>
                          <w:rPr>
                            <w:rFonts w:ascii="Cambria Math" w:eastAsia="Cambria Math" w:hAnsi="Cambria Math"/>
                          </w:rPr>
                          <m:t>x</m:t>
                        </m:r>
                      </m:e>
                    </m:d>
                  </m:sub>
                </m:sSub>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x</m:t>
                    </m:r>
                    <m:sSub>
                      <m:sSubPr>
                        <m:ctrlPr>
                          <w:rPr>
                            <w:rFonts w:ascii="Cambria Math" w:eastAsia="Cambria Math" w:hAnsi="Cambria Math"/>
                            <w:i/>
                          </w:rPr>
                        </m:ctrlPr>
                      </m:sSubPr>
                      <m:e>
                        <m:r>
                          <w:rPr>
                            <w:rFonts w:ascii="Cambria Math" w:eastAsia="Cambria Math" w:hAnsi="Cambria Math"/>
                          </w:rPr>
                          <m:t>τ</m:t>
                        </m:r>
                      </m:e>
                      <m:sub>
                        <m:r>
                          <w:rPr>
                            <w:rFonts w:ascii="Cambria Math" w:eastAsia="Cambria Math" w:hAnsi="Cambria Math"/>
                          </w:rPr>
                          <m:t>N</m:t>
                        </m:r>
                      </m:sub>
                    </m:sSub>
                  </m:sub>
                </m:sSub>
              </m:oMath>
            </m:oMathPara>
          </w:p>
        </w:tc>
        <w:tc>
          <w:tcPr>
            <w:tcW w:w="800" w:type="dxa"/>
            <w:tcBorders>
              <w:top w:val="nil"/>
              <w:left w:val="nil"/>
              <w:bottom w:val="nil"/>
              <w:right w:val="nil"/>
            </w:tcBorders>
          </w:tcPr>
          <w:p w14:paraId="27920D00" w14:textId="77777777" w:rsidR="005302BF" w:rsidRDefault="003D6ED6">
            <w:pPr>
              <w:pStyle w:val="affff7"/>
              <w:spacing w:before="62" w:after="62"/>
              <w:jc w:val="right"/>
            </w:pPr>
            <w:r>
              <w:t>(10)</w:t>
            </w:r>
          </w:p>
        </w:tc>
      </w:tr>
    </w:tbl>
    <w:p w14:paraId="6BCF5C41" w14:textId="77777777" w:rsidR="005302BF" w:rsidRDefault="003D6ED6">
      <w:r>
        <w:t>有唯一解。</w:t>
      </w:r>
    </w:p>
    <w:p w14:paraId="0D131AE9" w14:textId="77777777" w:rsidR="005302BF" w:rsidRDefault="003D6ED6">
      <w:r>
        <w:rPr>
          <w:b/>
        </w:rPr>
        <w:t>证明。</w:t>
      </w:r>
      <w:r>
        <w:t xml:space="preserve"> </w:t>
      </w:r>
      <w:r>
        <w:t>每条超边内部正整数余额组合数由隔板法得到，跨超边取笛卡尔积即得式</w:t>
      </w:r>
      <w:r>
        <w:t>(9)</w:t>
      </w:r>
      <w:r>
        <w:t>。由假设，对每个内部状态</w:t>
      </w:r>
      <w:r>
        <w:t xml:space="preserve"> </w:t>
      </w:r>
      <w:r>
        <w:rPr>
          <w:rFonts w:ascii="Cambria Math" w:eastAsia="Cambria Math" w:hAnsi="Cambria Math"/>
        </w:rPr>
        <w:t>x</w:t>
      </w:r>
      <w:r>
        <w:t xml:space="preserve"> </w:t>
      </w:r>
      <w:r>
        <w:t>存在长度</w:t>
      </w:r>
      <w:r>
        <w:t xml:space="preserve"> </w:t>
      </w:r>
      <w:r>
        <w:rPr>
          <w:rFonts w:ascii="Cambria Math" w:eastAsia="Cambria Math" w:hAnsi="Cambria Math"/>
        </w:rPr>
        <w:t>ℓ_x</w:t>
      </w:r>
      <w:r>
        <w:t xml:space="preserve"> </w:t>
      </w:r>
      <w:r>
        <w:t>的正概率吸收词，概率为</w:t>
      </w:r>
      <w:r>
        <w:t xml:space="preserve"> </w:t>
      </w:r>
      <w:r>
        <w:rPr>
          <w:rFonts w:ascii="Cambria Math" w:eastAsia="Cambria Math" w:hAnsi="Cambria Math"/>
        </w:rPr>
        <w:t>p_x&gt;0</w:t>
      </w:r>
      <w:r>
        <w:t>。有限状态性允许取</w:t>
      </w:r>
      <w:r>
        <w:t xml:space="preserve"> </w:t>
      </w:r>
      <w:r>
        <w:rPr>
          <w:rFonts w:ascii="Cambria Math" w:eastAsia="Cambria Math" w:hAnsi="Cambria Math"/>
        </w:rPr>
        <w:t>L_N=max_xℓ_x</w:t>
      </w:r>
      <w:r>
        <w:t xml:space="preserve"> </w:t>
      </w:r>
      <w:r>
        <w:t>和</w:t>
      </w:r>
      <w:r>
        <w:t xml:space="preserve"> </w:t>
      </w:r>
      <w:r>
        <w:rPr>
          <w:rFonts w:ascii="Cambria Math" w:eastAsia="Cambria Math" w:hAnsi="Cambria Math"/>
        </w:rPr>
        <w:t>δ_N=min_xp_x&gt;0</w:t>
      </w:r>
      <w:r>
        <w:t>，从而</w:t>
      </w:r>
    </w:p>
    <w:tbl>
      <w:tblPr>
        <w:tblW w:w="0" w:type="auto"/>
        <w:jc w:val="center"/>
        <w:tblLayout w:type="fixed"/>
        <w:tblLook w:val="04A0" w:firstRow="1" w:lastRow="0" w:firstColumn="1" w:lastColumn="0" w:noHBand="0" w:noVBand="1"/>
      </w:tblPr>
      <w:tblGrid>
        <w:gridCol w:w="8200"/>
        <w:gridCol w:w="800"/>
      </w:tblGrid>
      <w:tr w:rsidR="005302BF" w14:paraId="4328FC55" w14:textId="77777777">
        <w:trPr>
          <w:jc w:val="center"/>
        </w:trPr>
        <w:tc>
          <w:tcPr>
            <w:tcW w:w="8200" w:type="dxa"/>
            <w:tcBorders>
              <w:top w:val="nil"/>
              <w:left w:val="nil"/>
              <w:bottom w:val="nil"/>
              <w:right w:val="nil"/>
            </w:tcBorders>
          </w:tcPr>
          <w:p w14:paraId="30FC0256" w14:textId="19BAF3DC" w:rsidR="005302BF" w:rsidRDefault="00BE28FA">
            <w:pPr>
              <w:pStyle w:val="affff7"/>
              <w:spacing w:before="62" w:after="62"/>
              <w:jc w:val="center"/>
            </w:pPr>
            <m:oMathPara>
              <m:oMath>
                <m:sSubSup>
                  <m:sSubSupPr>
                    <m:ctrlPr>
                      <w:rPr>
                        <w:rFonts w:ascii="Cambria Math" w:eastAsia="Cambria Math" w:hAnsi="Cambria Math"/>
                        <w:i/>
                      </w:rPr>
                    </m:ctrlPr>
                  </m:sSubSupPr>
                  <m:e>
                    <m:r>
                      <w:rPr>
                        <w:rFonts w:ascii="Cambria Math" w:eastAsia="Cambria Math" w:hAnsi="Cambria Math"/>
                      </w:rPr>
                      <m:t>Q</m:t>
                    </m:r>
                  </m:e>
                  <m:sub>
                    <m:r>
                      <w:rPr>
                        <w:rFonts w:ascii="Cambria Math" w:eastAsia="Cambria Math" w:hAnsi="Cambria Math"/>
                      </w:rPr>
                      <m:t>N</m:t>
                    </m:r>
                  </m:sub>
                  <m:sup>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N</m:t>
                        </m:r>
                      </m:sub>
                    </m:sSub>
                  </m:sup>
                </m:sSubSup>
                <m:r>
                  <w:rPr>
                    <w:rFonts w:ascii="Cambria Math" w:eastAsia="Cambria Math" w:hAnsi="Cambria Math"/>
                  </w:rPr>
                  <m:t>\boldsymbol1≤</m:t>
                </m:r>
                <m:d>
                  <m:dPr>
                    <m:ctrlPr>
                      <w:rPr>
                        <w:rFonts w:ascii="Cambria Math" w:eastAsia="Cambria Math" w:hAnsi="Cambria Math"/>
                        <w:i/>
                      </w:rPr>
                    </m:ctrlPr>
                  </m:dPr>
                  <m:e>
                    <m:r>
                      <w:rPr>
                        <w:rFonts w:ascii="Cambria Math" w:eastAsia="Cambria Math" w:hAnsi="Cambria Math"/>
                      </w:rPr>
                      <m:t>1-</m:t>
                    </m:r>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e>
                </m:d>
                <m:r>
                  <w:rPr>
                    <w:rFonts w:ascii="Cambria Math" w:eastAsia="Cambria Math" w:hAnsi="Cambria Math"/>
                  </w:rPr>
                  <m:t>\boldsymbol1.</m:t>
                </m:r>
              </m:oMath>
            </m:oMathPara>
          </w:p>
        </w:tc>
        <w:tc>
          <w:tcPr>
            <w:tcW w:w="800" w:type="dxa"/>
            <w:tcBorders>
              <w:top w:val="nil"/>
              <w:left w:val="nil"/>
              <w:bottom w:val="nil"/>
              <w:right w:val="nil"/>
            </w:tcBorders>
          </w:tcPr>
          <w:p w14:paraId="4EF25EBB" w14:textId="77777777" w:rsidR="005302BF" w:rsidRDefault="003D6ED6">
            <w:pPr>
              <w:pStyle w:val="affff7"/>
              <w:spacing w:before="62" w:after="62"/>
              <w:jc w:val="right"/>
            </w:pPr>
            <w:r>
              <w:t>(11)</w:t>
            </w:r>
          </w:p>
        </w:tc>
      </w:tr>
    </w:tbl>
    <w:p w14:paraId="16651EE6" w14:textId="77777777" w:rsidR="005302BF" w:rsidRDefault="003D6ED6">
      <w:r>
        <w:t>迭代得</w:t>
      </w:r>
      <w:r>
        <w:t xml:space="preserve"> </w:t>
      </w:r>
      <w:r>
        <w:rPr>
          <w:rFonts w:ascii="Cambria Math" w:eastAsia="Cambria Math" w:hAnsi="Cambria Math"/>
        </w:rPr>
        <w:t>\|Q_N^(rL_N)\|_∈fty≤(1-δ_N)^r</w:t>
      </w:r>
      <w:r>
        <w:t>，故</w:t>
      </w:r>
      <w:r>
        <w:t xml:space="preserve"> </w:t>
      </w:r>
      <w:r>
        <w:rPr>
          <w:rFonts w:ascii="Cambria Math" w:eastAsia="Cambria Math" w:hAnsi="Cambria Math"/>
        </w:rPr>
        <w:t>Q_N^m→0</w:t>
      </w:r>
      <w:r>
        <w:t>、</w:t>
      </w:r>
      <w:r>
        <w:rPr>
          <w:rFonts w:ascii="Cambria Math" w:eastAsia="Cambria Math" w:hAnsi="Cambria Math"/>
        </w:rPr>
        <w:t>ρ(Q_N)&lt;1</w:t>
      </w:r>
      <w:r>
        <w:t>，</w:t>
      </w:r>
      <w:r>
        <w:t>Neumann</w:t>
      </w:r>
      <w:r>
        <w:t>级数</w:t>
      </w:r>
      <w:r>
        <w:t xml:space="preserve"> </w:t>
      </w:r>
      <w:r>
        <w:rPr>
          <w:rFonts w:ascii="Cambria Math" w:eastAsia="Cambria Math" w:hAnsi="Cambria Math"/>
        </w:rPr>
        <w:t>∑_(m≥0)Q_N^m</w:t>
      </w:r>
      <w:r>
        <w:t xml:space="preserve"> </w:t>
      </w:r>
      <w:r>
        <w:t>收敛。尾和公式与一步分解分别给出</w:t>
      </w:r>
      <w:r>
        <w:t xml:space="preserve"> </w:t>
      </w:r>
      <w:r>
        <w:rPr>
          <w:rFonts w:ascii="Cambria Math" w:eastAsia="Cambria Math" w:hAnsi="Cambria Math"/>
        </w:rPr>
        <w:t>u_N=(I-Q_N)^(-1)\boldsymbol1</w:t>
      </w:r>
      <w:r>
        <w:t xml:space="preserve"> </w:t>
      </w:r>
      <w:r>
        <w:t>和式</w:t>
      </w:r>
      <w:r>
        <w:t>(10)</w:t>
      </w:r>
      <w:r>
        <w:t>的唯一性。证毕。</w:t>
      </w:r>
    </w:p>
    <w:p w14:paraId="405F251D" w14:textId="77777777" w:rsidR="005302BF" w:rsidRDefault="003D6ED6">
      <w:pPr>
        <w:pStyle w:val="3"/>
      </w:pPr>
      <w:r>
        <w:t>3.2</w:t>
      </w:r>
      <w:r>
        <w:t xml:space="preserve">　漂移三分区</w:t>
      </w:r>
    </w:p>
    <w:p w14:paraId="1D1F8EEC" w14:textId="77777777" w:rsidR="005302BF" w:rsidRDefault="003D6ED6">
      <w:r>
        <w:t>设固定维数、有界增量、</w:t>
      </w:r>
      <w:r>
        <w:rPr>
          <w:rFonts w:ascii="Cambria Math" w:eastAsia="Cambria Math" w:hAnsi="Cambria Math"/>
        </w:rPr>
        <w:t>x_N/N→ z</w:t>
      </w:r>
      <w:r>
        <w:t xml:space="preserve"> </w:t>
      </w:r>
      <w:r>
        <w:t>位于乘积单纯</w:t>
      </w:r>
      <w:r>
        <w:t>形内部，并满足</w:t>
      </w:r>
    </w:p>
    <w:tbl>
      <w:tblPr>
        <w:tblW w:w="0" w:type="auto"/>
        <w:jc w:val="center"/>
        <w:tblLayout w:type="fixed"/>
        <w:tblLook w:val="04A0" w:firstRow="1" w:lastRow="0" w:firstColumn="1" w:lastColumn="0" w:noHBand="0" w:noVBand="1"/>
      </w:tblPr>
      <w:tblGrid>
        <w:gridCol w:w="8200"/>
        <w:gridCol w:w="800"/>
      </w:tblGrid>
      <w:tr w:rsidR="005302BF" w14:paraId="432CE51F" w14:textId="77777777">
        <w:trPr>
          <w:jc w:val="center"/>
        </w:trPr>
        <w:tc>
          <w:tcPr>
            <w:tcW w:w="8200" w:type="dxa"/>
            <w:tcBorders>
              <w:top w:val="nil"/>
              <w:left w:val="nil"/>
              <w:bottom w:val="nil"/>
              <w:right w:val="nil"/>
            </w:tcBorders>
          </w:tcPr>
          <w:p w14:paraId="5EBAAEDA" w14:textId="7D4AEF10" w:rsidR="005302BF" w:rsidRDefault="00BE28FA">
            <w:pPr>
              <w:pStyle w:val="affff7"/>
              <w:spacing w:before="62" w:after="62"/>
              <w:jc w:val="center"/>
            </w:pPr>
            <m:oMathPara>
              <m:oMath>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α</m:t>
                    </m:r>
                  </m:sup>
                </m:sSup>
                <m:sSub>
                  <m:sSubPr>
                    <m:ctrlPr>
                      <w:rPr>
                        <w:rFonts w:ascii="Cambria Math" w:eastAsia="Cambria Math" w:hAnsi="Cambria Math"/>
                        <w:i/>
                      </w:rPr>
                    </m:ctrlPr>
                  </m:sSubPr>
                  <m:e>
                    <m:r>
                      <w:rPr>
                        <w:rFonts w:ascii="Cambria Math" w:eastAsia="Cambria Math" w:hAnsi="Cambria Math"/>
                      </w:rPr>
                      <m:t>d</m:t>
                    </m:r>
                  </m:e>
                  <m:sub>
                    <m:r>
                      <w:rPr>
                        <w:rFonts w:ascii="Cambria Math" w:eastAsia="Cambria Math" w:hAnsi="Cambria Math"/>
                      </w:rPr>
                      <m:t>N</m:t>
                    </m:r>
                  </m:sub>
                </m:sSub>
                <m:r>
                  <w:rPr>
                    <w:rFonts w:ascii="Cambria Math" w:eastAsia="Cambria Math" w:hAnsi="Cambria Math"/>
                  </w:rPr>
                  <m:t xml:space="preserve">→β,\qquad </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N</m:t>
                    </m:r>
                  </m:sub>
                </m:sSub>
                <m:r>
                  <w:rPr>
                    <w:rFonts w:ascii="Cambria Math" w:eastAsia="Cambria Math" w:hAnsi="Cambria Math"/>
                  </w:rPr>
                  <m:t xml:space="preserve">→Γ,\qquad </m:t>
                </m:r>
                <m:sSub>
                  <m:sSubPr>
                    <m:ctrlPr>
                      <w:rPr>
                        <w:rFonts w:ascii="Cambria Math" w:eastAsia="Cambria Math" w:hAnsi="Cambria Math"/>
                        <w:i/>
                      </w:rPr>
                    </m:ctrlPr>
                  </m:sSubPr>
                  <m:e>
                    <m:r>
                      <w:rPr>
                        <w:rFonts w:ascii="Cambria Math" w:eastAsia="Cambria Math" w:hAnsi="Cambria Math"/>
                      </w:rPr>
                      <m:t>Γ</m:t>
                    </m:r>
                  </m:e>
                  <m:sub>
                    <m:r>
                      <w:rPr>
                        <w:rFonts w:ascii="Cambria Math" w:eastAsia="Cambria Math" w:hAnsi="Cambria Math"/>
                      </w:rPr>
                      <m:t>ii</m:t>
                    </m:r>
                  </m:sub>
                </m:sSub>
                <m:r>
                  <w:rPr>
                    <w:rFonts w:ascii="Cambria Math" w:eastAsia="Cambria Math" w:hAnsi="Cambria Math"/>
                  </w:rPr>
                  <m:t>&gt;0.</m:t>
                </m:r>
              </m:oMath>
            </m:oMathPara>
          </w:p>
        </w:tc>
        <w:tc>
          <w:tcPr>
            <w:tcW w:w="800" w:type="dxa"/>
            <w:tcBorders>
              <w:top w:val="nil"/>
              <w:left w:val="nil"/>
              <w:bottom w:val="nil"/>
              <w:right w:val="nil"/>
            </w:tcBorders>
          </w:tcPr>
          <w:p w14:paraId="3AD2C719" w14:textId="77777777" w:rsidR="005302BF" w:rsidRDefault="003D6ED6">
            <w:pPr>
              <w:pStyle w:val="affff7"/>
              <w:spacing w:before="62" w:after="62"/>
              <w:jc w:val="right"/>
            </w:pPr>
            <w:r>
              <w:t>(12)</w:t>
            </w:r>
          </w:p>
        </w:tc>
      </w:tr>
    </w:tbl>
    <w:p w14:paraId="2C5EA457" w14:textId="77777777" w:rsidR="005302BF" w:rsidRDefault="003D6ED6">
      <w:r>
        <w:t>当</w:t>
      </w:r>
      <w:r>
        <w:t xml:space="preserve"> </w:t>
      </w:r>
      <w:r>
        <w:rPr>
          <w:rFonts w:ascii="Cambria Math" w:eastAsia="Cambria Math" w:hAnsi="Cambria Math"/>
        </w:rPr>
        <w:t>0≤α&lt;1</w:t>
      </w:r>
      <w:r>
        <w:t xml:space="preserve"> </w:t>
      </w:r>
      <w:r>
        <w:t>且</w:t>
      </w:r>
      <w:r>
        <w:t xml:space="preserve"> </w:t>
      </w:r>
      <w:r>
        <w:rPr>
          <w:rFonts w:ascii="Cambria Math" w:eastAsia="Cambria Math" w:hAnsi="Cambria Math"/>
        </w:rPr>
        <w:t>β≠0</w:t>
      </w:r>
      <w:r>
        <w:t xml:space="preserve"> </w:t>
      </w:r>
      <w:r>
        <w:t>时，定义</w:t>
      </w:r>
    </w:p>
    <w:tbl>
      <w:tblPr>
        <w:tblW w:w="0" w:type="auto"/>
        <w:jc w:val="center"/>
        <w:tblLayout w:type="fixed"/>
        <w:tblLook w:val="04A0" w:firstRow="1" w:lastRow="0" w:firstColumn="1" w:lastColumn="0" w:noHBand="0" w:noVBand="1"/>
      </w:tblPr>
      <w:tblGrid>
        <w:gridCol w:w="8200"/>
        <w:gridCol w:w="800"/>
      </w:tblGrid>
      <w:tr w:rsidR="005302BF" w14:paraId="053BCC47" w14:textId="77777777">
        <w:trPr>
          <w:jc w:val="center"/>
        </w:trPr>
        <w:tc>
          <w:tcPr>
            <w:tcW w:w="8200" w:type="dxa"/>
            <w:tcBorders>
              <w:top w:val="nil"/>
              <w:left w:val="nil"/>
              <w:bottom w:val="nil"/>
              <w:right w:val="nil"/>
            </w:tcBorders>
          </w:tcPr>
          <w:p w14:paraId="45D35B6C" w14:textId="5C9E49C7" w:rsidR="005302BF" w:rsidRDefault="00DA4FDF">
            <w:pPr>
              <w:pStyle w:val="affff7"/>
              <w:spacing w:before="62" w:after="62"/>
              <w:jc w:val="center"/>
            </w:pPr>
            <m:oMathPara>
              <m:oMath>
                <m:r>
                  <w:rPr>
                    <w:rFonts w:ascii="Cambria Math" w:eastAsia="Cambria Math" w:hAnsi="Cambria Math"/>
                  </w:rPr>
                  <m:t>θ_*=</m:t>
                </m:r>
                <m:r>
                  <m:rPr>
                    <m:sty m:val="p"/>
                  </m:rPr>
                  <w:rPr>
                    <w:rFonts w:ascii="Cambria Math" w:eastAsia="Cambria Math" w:hAnsi="Cambria Math"/>
                  </w:rPr>
                  <m:t>min⁡</m:t>
                </m:r>
                <m:r>
                  <w:rPr>
                    <w:rFonts w:ascii="Cambria Math" w:eastAsia="Cambria Math" w:hAnsi="Cambria Math"/>
                  </w:rPr>
                  <m:t>_(i:β_i&lt;0)\frac(z_i)(-β_i),\qquad t_(N,*)=θ_*N^(1+α).</m:t>
                </m:r>
              </m:oMath>
            </m:oMathPara>
          </w:p>
        </w:tc>
        <w:tc>
          <w:tcPr>
            <w:tcW w:w="800" w:type="dxa"/>
            <w:tcBorders>
              <w:top w:val="nil"/>
              <w:left w:val="nil"/>
              <w:bottom w:val="nil"/>
              <w:right w:val="nil"/>
            </w:tcBorders>
          </w:tcPr>
          <w:p w14:paraId="58671274" w14:textId="77777777" w:rsidR="005302BF" w:rsidRDefault="003D6ED6">
            <w:pPr>
              <w:pStyle w:val="affff7"/>
              <w:spacing w:before="62" w:after="62"/>
              <w:jc w:val="right"/>
            </w:pPr>
            <w:r>
              <w:t>(13)</w:t>
            </w:r>
          </w:p>
        </w:tc>
      </w:tr>
    </w:tbl>
    <w:p w14:paraId="621874FE" w14:textId="77777777" w:rsidR="005302BF" w:rsidRDefault="003D6ED6">
      <w:r>
        <w:rPr>
          <w:b/>
        </w:rPr>
        <w:t>定理</w:t>
      </w:r>
      <w:r>
        <w:rPr>
          <w:b/>
        </w:rPr>
        <w:t>2</w:t>
      </w:r>
      <w:r>
        <w:rPr>
          <w:b/>
        </w:rPr>
        <w:t xml:space="preserve">　漂移主导区。</w:t>
      </w:r>
      <w:r>
        <w:t xml:space="preserve"> </w:t>
      </w:r>
      <w:r>
        <w:t>对每个固定</w:t>
      </w:r>
      <w:r>
        <w:t xml:space="preserve"> </w:t>
      </w:r>
      <w:r>
        <w:rPr>
          <w:rFonts w:ascii="Cambria Math" w:eastAsia="Cambria Math" w:hAnsi="Cambria Math"/>
        </w:rPr>
        <w:t>ε∈(0,1)</w:t>
      </w:r>
      <w:r>
        <w:t>，存在</w:t>
      </w:r>
      <w:r>
        <w:t xml:space="preserve"> </w:t>
      </w:r>
      <w:r>
        <w:rPr>
          <w:rFonts w:ascii="Cambria Math" w:eastAsia="Cambria Math" w:hAnsi="Cambria Math"/>
        </w:rPr>
        <w:t>c_ε&gt;0</w:t>
      </w:r>
      <w:r>
        <w:t xml:space="preserve"> </w:t>
      </w:r>
      <w:r>
        <w:t>使</w:t>
      </w:r>
    </w:p>
    <w:tbl>
      <w:tblPr>
        <w:tblW w:w="0" w:type="auto"/>
        <w:jc w:val="center"/>
        <w:tblLayout w:type="fixed"/>
        <w:tblLook w:val="04A0" w:firstRow="1" w:lastRow="0" w:firstColumn="1" w:lastColumn="0" w:noHBand="0" w:noVBand="1"/>
      </w:tblPr>
      <w:tblGrid>
        <w:gridCol w:w="8200"/>
        <w:gridCol w:w="800"/>
      </w:tblGrid>
      <w:tr w:rsidR="005302BF" w14:paraId="646F989C" w14:textId="77777777">
        <w:trPr>
          <w:jc w:val="center"/>
        </w:trPr>
        <w:tc>
          <w:tcPr>
            <w:tcW w:w="8200" w:type="dxa"/>
            <w:tcBorders>
              <w:top w:val="nil"/>
              <w:left w:val="nil"/>
              <w:bottom w:val="nil"/>
              <w:right w:val="nil"/>
            </w:tcBorders>
          </w:tcPr>
          <w:p w14:paraId="5F4D0CC3" w14:textId="42ECC3CD" w:rsidR="005302BF" w:rsidRDefault="00BE28FA">
            <w:pPr>
              <w:pStyle w:val="affff7"/>
              <w:spacing w:before="62" w:after="62"/>
              <w:jc w:val="center"/>
            </w:pPr>
            <m:oMathPara>
              <m:oMath>
                <m:r>
                  <w:rPr>
                    <w:rFonts w:ascii="Cambria Math" w:eastAsia="Cambria Math" w:hAnsi="Cambria Math"/>
                  </w:rPr>
                  <m:t>Pr≤ft</m:t>
                </m:r>
                <m:d>
                  <m:dPr>
                    <m:ctrlPr>
                      <w:rPr>
                        <w:rFonts w:ascii="Cambria Math" w:eastAsia="Cambria Math" w:hAnsi="Cambria Math"/>
                        <w:i/>
                      </w:rPr>
                    </m:ctrlPr>
                  </m:dPr>
                  <m:e>
                    <m:r>
                      <w:rPr>
                        <w:rFonts w:ascii="Cambria Math" w:eastAsia="Cambria Math" w:hAnsi="Cambria Math"/>
                      </w:rPr>
                      <m:t>≤ft</m:t>
                    </m:r>
                    <m:d>
                      <m:dPr>
                        <m:begChr m:val="|"/>
                        <m:endChr m:val="|"/>
                        <m:ctrlPr>
                          <w:rPr>
                            <w:rFonts w:ascii="Cambria Math" w:eastAsia="Cambria Math" w:hAnsi="Cambria Math"/>
                            <w:i/>
                          </w:rPr>
                        </m:ctrlPr>
                      </m:dPr>
                      <m:e>
                        <m:r>
                          <w:rPr>
                            <w:rFonts w:ascii="Cambria Math" w:eastAsia="Cambria Math" w:hAnsi="Cambria Math"/>
                          </w:rPr>
                          <m:t>\frac</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τ</m:t>
                                </m:r>
                              </m:e>
                              <m:sub>
                                <m:r>
                                  <w:rPr>
                                    <w:rFonts w:ascii="Cambria Math" w:eastAsia="Cambria Math" w:hAnsi="Cambria Math"/>
                                  </w:rPr>
                                  <m:t>N</m:t>
                                </m:r>
                              </m:sub>
                            </m:sSub>
                          </m:e>
                        </m:d>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N,*</m:t>
                                </m:r>
                              </m:sub>
                            </m:sSub>
                          </m:e>
                        </m:d>
                        <m:r>
                          <w:rPr>
                            <w:rFonts w:ascii="Cambria Math" w:eastAsia="Cambria Math" w:hAnsi="Cambria Math"/>
                          </w:rPr>
                          <m:t>-1\right</m:t>
                        </m:r>
                      </m:e>
                    </m:d>
                    <m:r>
                      <w:rPr>
                        <w:rFonts w:ascii="Cambria Math" w:eastAsia="Cambria Math" w:hAnsi="Cambria Math"/>
                      </w:rPr>
                      <m:t>&gt;ε\right</m:t>
                    </m:r>
                  </m:e>
                </m:d>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D+1</m:t>
                    </m:r>
                  </m:e>
                </m:d>
                <m:sSup>
                  <m:sSupPr>
                    <m:ctrlPr>
                      <w:rPr>
                        <w:rFonts w:ascii="Cambria Math" w:eastAsia="Cambria Math" w:hAnsi="Cambria Math"/>
                        <w:i/>
                      </w:rPr>
                    </m:ctrlPr>
                  </m:sSupPr>
                  <m:e>
                    <m:r>
                      <w:rPr>
                        <w:rFonts w:ascii="Cambria Math" w:eastAsia="Cambria Math" w:hAnsi="Cambria Math"/>
                      </w:rPr>
                      <m:t>e</m:t>
                    </m:r>
                  </m:e>
                  <m:sup>
                    <m:r>
                      <w:rPr>
                        <w:rFonts w:ascii="Cambria Math" w:eastAsia="Cambria Math" w:hAnsi="Cambria Math"/>
                      </w:rPr>
                      <m:t>-</m:t>
                    </m:r>
                    <m:sSub>
                      <m:sSubPr>
                        <m:ctrlPr>
                          <w:rPr>
                            <w:rFonts w:ascii="Cambria Math" w:eastAsia="Cambria Math" w:hAnsi="Cambria Math"/>
                            <w:i/>
                          </w:rPr>
                        </m:ctrlPr>
                      </m:sSubPr>
                      <m:e>
                        <m:r>
                          <w:rPr>
                            <w:rFonts w:ascii="Cambria Math" w:eastAsia="Cambria Math" w:hAnsi="Cambria Math"/>
                          </w:rPr>
                          <m:t>c</m:t>
                        </m:r>
                      </m:e>
                      <m:sub>
                        <m:r>
                          <w:rPr>
                            <w:rFonts w:ascii="Cambria Math" w:eastAsia="Cambria Math" w:hAnsi="Cambria Math"/>
                          </w:rPr>
                          <m:t>ε</m:t>
                        </m:r>
                      </m:sub>
                    </m:sSub>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1-α</m:t>
                        </m:r>
                      </m:sup>
                    </m:sSup>
                  </m:sup>
                </m:sSup>
                <m:r>
                  <w:rPr>
                    <w:rFonts w:ascii="Cambria Math" w:eastAsia="Cambria Math" w:hAnsi="Cambria Math"/>
                  </w:rPr>
                  <m:t>.</m:t>
                </m:r>
              </m:oMath>
            </m:oMathPara>
          </w:p>
        </w:tc>
        <w:tc>
          <w:tcPr>
            <w:tcW w:w="800" w:type="dxa"/>
            <w:tcBorders>
              <w:top w:val="nil"/>
              <w:left w:val="nil"/>
              <w:bottom w:val="nil"/>
              <w:right w:val="nil"/>
            </w:tcBorders>
          </w:tcPr>
          <w:p w14:paraId="29EF8289" w14:textId="77777777" w:rsidR="005302BF" w:rsidRDefault="003D6ED6">
            <w:pPr>
              <w:pStyle w:val="affff7"/>
              <w:spacing w:before="62" w:after="62"/>
              <w:jc w:val="right"/>
            </w:pPr>
            <w:r>
              <w:t>(14)</w:t>
            </w:r>
          </w:p>
        </w:tc>
      </w:tr>
    </w:tbl>
    <w:p w14:paraId="283E8685" w14:textId="77777777" w:rsidR="005302BF" w:rsidRDefault="003D6ED6">
      <w:r>
        <w:t>并存在</w:t>
      </w:r>
      <w:r>
        <w:t xml:space="preserve"> </w:t>
      </w:r>
      <w:r>
        <w:rPr>
          <w:rFonts w:ascii="Cambria Math" w:eastAsia="Cambria Math" w:hAnsi="Cambria Math"/>
        </w:rPr>
        <w:t>λ_0&gt;0</w:t>
      </w:r>
      <w:r>
        <w:t xml:space="preserve"> </w:t>
      </w:r>
      <w:r>
        <w:t>使</w:t>
      </w:r>
      <w:r>
        <w:t xml:space="preserve"> </w:t>
      </w:r>
      <w:r>
        <w:rPr>
          <w:rFonts w:ascii="Cambria Math" w:eastAsia="Cambria Math" w:hAnsi="Cambria Math"/>
        </w:rPr>
        <w:t>\sup_NE\exp(λ_0τ_N/t_(N,*))&lt;∈fty</w:t>
      </w:r>
      <w:r>
        <w:t>。因此任意固定</w:t>
      </w:r>
      <w:r>
        <w:t xml:space="preserve"> </w:t>
      </w:r>
      <w:r>
        <w:rPr>
          <w:rFonts w:ascii="Cambria Math" w:eastAsia="Cambria Math" w:hAnsi="Cambria Math"/>
        </w:rPr>
        <w:t>q&gt;0</w:t>
      </w:r>
      <w:r>
        <w:t xml:space="preserve"> </w:t>
      </w:r>
      <w:r>
        <w:t>均有</w:t>
      </w:r>
      <w:r>
        <w:t xml:space="preserve"> </w:t>
      </w:r>
      <w:r>
        <w:rPr>
          <w:rFonts w:ascii="Cambria Math" w:eastAsia="Cambria Math" w:hAnsi="Cambria Math"/>
        </w:rPr>
        <w:t>E(τ_N/t_(N,*))^q→1</w:t>
      </w:r>
      <w:r>
        <w:t>。</w:t>
      </w:r>
    </w:p>
    <w:p w14:paraId="01BB5ABC" w14:textId="77777777" w:rsidR="005302BF" w:rsidRDefault="003D6ED6">
      <w:r>
        <w:t>证明要点是：在</w:t>
      </w:r>
      <w:r>
        <w:t xml:space="preserve"> </w:t>
      </w:r>
      <w:r>
        <w:rPr>
          <w:rFonts w:ascii="Cambria Math" w:eastAsia="Cambria Math" w:hAnsi="Cambria Math"/>
        </w:rPr>
        <w:t>(1-ε)t_(N,*)</w:t>
      </w:r>
      <w:r>
        <w:t xml:space="preserve"> </w:t>
      </w:r>
      <w:r>
        <w:t>前所有坐标的确定性余量均为</w:t>
      </w:r>
      <w:r>
        <w:t xml:space="preserve"> </w:t>
      </w:r>
      <w:r>
        <w:rPr>
          <w:rFonts w:ascii="Cambria Math" w:eastAsia="Cambria Math" w:hAnsi="Cambria Math"/>
        </w:rPr>
        <w:t>O(N)</w:t>
      </w:r>
      <w:r>
        <w:t>，最大型</w:t>
      </w:r>
      <w:r>
        <w:t>Azuma</w:t>
      </w:r>
      <w:r>
        <w:t>不等式给出早尾；达到</w:t>
      </w:r>
      <w:r>
        <w:t xml:space="preserve"> </w:t>
      </w:r>
      <w:r>
        <w:rPr>
          <w:rFonts w:ascii="Cambria Math" w:eastAsia="Cambria Math" w:hAnsi="Cambria Math"/>
        </w:rPr>
        <w:t>θ_*</w:t>
      </w:r>
      <w:r>
        <w:t xml:space="preserve"> </w:t>
      </w:r>
      <w:r>
        <w:t>的负漂移坐标在</w:t>
      </w:r>
      <w:r>
        <w:t xml:space="preserve"> </w:t>
      </w:r>
      <w:r>
        <w:rPr>
          <w:rFonts w:ascii="Cambria Math" w:eastAsia="Cambria Math" w:hAnsi="Cambria Math"/>
        </w:rPr>
        <w:t>(1+ε)t_(N,*)</w:t>
      </w:r>
      <w:r>
        <w:t xml:space="preserve"> </w:t>
      </w:r>
      <w:r>
        <w:t>后仍未触边需要</w:t>
      </w:r>
      <w:r>
        <w:t xml:space="preserve"> </w:t>
      </w:r>
      <w:r>
        <w:rPr>
          <w:rFonts w:ascii="Cambria Math" w:eastAsia="Cambria Math" w:hAnsi="Cambria Math"/>
        </w:rPr>
        <w:t>O(N)</w:t>
      </w:r>
      <w:r>
        <w:t xml:space="preserve"> </w:t>
      </w:r>
      <w:r>
        <w:t>的反向偏离，给出晚尾；强</w:t>
      </w:r>
      <w:r>
        <w:t>Markov</w:t>
      </w:r>
      <w:r>
        <w:t>分块把局部指数界延伸为统一指数矩。</w:t>
      </w:r>
    </w:p>
    <w:p w14:paraId="0B949D8A" w14:textId="77777777" w:rsidR="005302BF" w:rsidRDefault="003D6ED6">
      <w:r>
        <w:t>当</w:t>
      </w:r>
      <w:r>
        <w:t xml:space="preserve"> </w:t>
      </w:r>
      <w:r>
        <w:rPr>
          <w:rFonts w:ascii="Cambria Math" w:eastAsia="Cambria Math" w:hAnsi="Cambria Math"/>
        </w:rPr>
        <w:t>α=1</w:t>
      </w:r>
      <w:r>
        <w:t xml:space="preserve"> </w:t>
      </w:r>
      <w:r>
        <w:t>时，漂移与扩散均在</w:t>
      </w:r>
      <w:r>
        <w:t xml:space="preserve"> </w:t>
      </w:r>
      <w:r>
        <w:rPr>
          <w:rFonts w:ascii="Cambria Math" w:eastAsia="Cambria Math" w:hAnsi="Cambria Math"/>
        </w:rPr>
        <w:t>N^2</w:t>
      </w:r>
      <w:r>
        <w:t xml:space="preserve"> </w:t>
      </w:r>
      <w:r>
        <w:t>时间尺度保留；当</w:t>
      </w:r>
      <w:r>
        <w:t xml:space="preserve"> </w:t>
      </w:r>
      <w:r>
        <w:rPr>
          <w:rFonts w:ascii="Cambria Math" w:eastAsia="Cambria Math" w:hAnsi="Cambria Math"/>
        </w:rPr>
        <w:t>α&gt;1</w:t>
      </w:r>
      <w:r>
        <w:t xml:space="preserve"> </w:t>
      </w:r>
      <w:r>
        <w:t>时，一阶漂移消失。记</w:t>
      </w:r>
    </w:p>
    <w:tbl>
      <w:tblPr>
        <w:tblW w:w="0" w:type="auto"/>
        <w:jc w:val="center"/>
        <w:tblLayout w:type="fixed"/>
        <w:tblLook w:val="04A0" w:firstRow="1" w:lastRow="0" w:firstColumn="1" w:lastColumn="0" w:noHBand="0" w:noVBand="1"/>
      </w:tblPr>
      <w:tblGrid>
        <w:gridCol w:w="8200"/>
        <w:gridCol w:w="800"/>
      </w:tblGrid>
      <w:tr w:rsidR="005302BF" w14:paraId="19681097" w14:textId="77777777">
        <w:trPr>
          <w:jc w:val="center"/>
        </w:trPr>
        <w:tc>
          <w:tcPr>
            <w:tcW w:w="8200" w:type="dxa"/>
            <w:tcBorders>
              <w:top w:val="nil"/>
              <w:left w:val="nil"/>
              <w:bottom w:val="nil"/>
              <w:right w:val="nil"/>
            </w:tcBorders>
          </w:tcPr>
          <w:p w14:paraId="5F6C764C" w14:textId="77777777" w:rsidR="005302BF" w:rsidRDefault="00DA4FDF">
            <w:pPr>
              <w:pStyle w:val="affff7"/>
              <w:spacing w:before="62" w:after="62"/>
              <w:jc w:val="center"/>
            </w:pPr>
            <m:oMathPara>
              <m:oMath>
                <m:r>
                  <w:rPr>
                    <w:rFonts w:ascii="Cambria Math" w:eastAsia="Cambria Math" w:hAnsi="Cambria Math"/>
                  </w:rPr>
                  <m:t>Z_b(t)=z+bt+Γ^(1/2)W_H(t), b=\begin(cases)β,&amp;α=1, 0,&amp;α&gt;1,\end(cases)</m:t>
                </m:r>
              </m:oMath>
            </m:oMathPara>
          </w:p>
        </w:tc>
        <w:tc>
          <w:tcPr>
            <w:tcW w:w="800" w:type="dxa"/>
            <w:tcBorders>
              <w:top w:val="nil"/>
              <w:left w:val="nil"/>
              <w:bottom w:val="nil"/>
              <w:right w:val="nil"/>
            </w:tcBorders>
          </w:tcPr>
          <w:p w14:paraId="5F033729" w14:textId="77777777" w:rsidR="005302BF" w:rsidRDefault="003D6ED6">
            <w:pPr>
              <w:pStyle w:val="affff7"/>
              <w:spacing w:before="62" w:after="62"/>
              <w:jc w:val="right"/>
            </w:pPr>
            <w:r>
              <w:t>(15)</w:t>
            </w:r>
          </w:p>
        </w:tc>
      </w:tr>
    </w:tbl>
    <w:p w14:paraId="48512B86" w14:textId="77777777" w:rsidR="005302BF" w:rsidRDefault="003D6ED6">
      <w:r>
        <w:t>并令</w:t>
      </w:r>
      <w:r>
        <w:t xml:space="preserve"> </w:t>
      </w:r>
      <w:r>
        <w:rPr>
          <w:rFonts w:ascii="Cambria Math" w:eastAsia="Cambria Math" w:hAnsi="Cambria Math"/>
        </w:rPr>
        <w:t>T_b</w:t>
      </w:r>
      <w:r>
        <w:t xml:space="preserve"> </w:t>
      </w:r>
      <w:r>
        <w:t>为</w:t>
      </w:r>
      <w:r>
        <w:t xml:space="preserve"> </w:t>
      </w:r>
      <w:r>
        <w:rPr>
          <w:rFonts w:ascii="Cambria Math" w:eastAsia="Cambria Math" w:hAnsi="Cambria Math"/>
        </w:rPr>
        <w:t>Z_b</w:t>
      </w:r>
      <w:r>
        <w:t xml:space="preserve"> </w:t>
      </w:r>
      <w:r>
        <w:t>首次离开开乘积单纯形的时间。</w:t>
      </w:r>
    </w:p>
    <w:p w14:paraId="6CFF9622" w14:textId="77777777" w:rsidR="005302BF" w:rsidRDefault="003D6ED6">
      <w:r>
        <w:rPr>
          <w:b/>
        </w:rPr>
        <w:t>定理</w:t>
      </w:r>
      <w:r>
        <w:rPr>
          <w:b/>
        </w:rPr>
        <w:t>3</w:t>
      </w:r>
      <w:r>
        <w:rPr>
          <w:b/>
        </w:rPr>
        <w:t xml:space="preserve">　临界与公平扩散区。</w:t>
      </w:r>
      <w:r>
        <w:t xml:space="preserve"> </w:t>
      </w:r>
      <w:r>
        <w:t>在式</w:t>
      </w:r>
      <w:r>
        <w:t>(12)</w:t>
      </w:r>
      <w:r>
        <w:t>条件下，</w:t>
      </w:r>
    </w:p>
    <w:tbl>
      <w:tblPr>
        <w:tblW w:w="0" w:type="auto"/>
        <w:jc w:val="center"/>
        <w:tblLayout w:type="fixed"/>
        <w:tblLook w:val="04A0" w:firstRow="1" w:lastRow="0" w:firstColumn="1" w:lastColumn="0" w:noHBand="0" w:noVBand="1"/>
      </w:tblPr>
      <w:tblGrid>
        <w:gridCol w:w="8200"/>
        <w:gridCol w:w="800"/>
      </w:tblGrid>
      <w:tr w:rsidR="005302BF" w14:paraId="79A4CE62" w14:textId="77777777">
        <w:trPr>
          <w:jc w:val="center"/>
        </w:trPr>
        <w:tc>
          <w:tcPr>
            <w:tcW w:w="8200" w:type="dxa"/>
            <w:tcBorders>
              <w:top w:val="nil"/>
              <w:left w:val="nil"/>
              <w:bottom w:val="nil"/>
              <w:right w:val="nil"/>
            </w:tcBorders>
          </w:tcPr>
          <w:p w14:paraId="242F8A1E" w14:textId="6E6EC741" w:rsidR="005302BF" w:rsidRDefault="00BE28FA">
            <w:pPr>
              <w:pStyle w:val="affff7"/>
              <w:spacing w:before="62" w:after="62"/>
              <w:jc w:val="center"/>
            </w:pPr>
            <m:oMathPara>
              <m:oMath>
                <m:r>
                  <w:rPr>
                    <w:rFonts w:ascii="Cambria Math" w:eastAsia="Cambria Math" w:hAnsi="Cambria Math"/>
                  </w:rPr>
                  <m:t>\frac</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τ</m:t>
                        </m:r>
                      </m:e>
                      <m:sub>
                        <m:r>
                          <w:rPr>
                            <w:rFonts w:ascii="Cambria Math" w:eastAsia="Cambria Math" w:hAnsi="Cambria Math"/>
                          </w:rPr>
                          <m:t>N</m:t>
                        </m:r>
                      </m:sub>
                    </m:sSub>
                  </m:e>
                </m:d>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2</m:t>
                        </m:r>
                      </m:sup>
                    </m:sSup>
                  </m:e>
                </m:d>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b</m:t>
                    </m:r>
                  </m:sub>
                </m:sSub>
                <m:r>
                  <w:rPr>
                    <w:rFonts w:ascii="Cambria Math" w:eastAsia="Cambria Math" w:hAnsi="Cambria Math"/>
                  </w:rPr>
                  <m:t>,\qquad E≤ft</m:t>
                </m:r>
                <m:sSup>
                  <m:sSupPr>
                    <m:ctrlPr>
                      <w:rPr>
                        <w:rFonts w:ascii="Cambria Math" w:eastAsia="Cambria Math" w:hAnsi="Cambria Math"/>
                        <w:i/>
                      </w:rPr>
                    </m:ctrlPr>
                  </m:sSupPr>
                  <m:e>
                    <m:d>
                      <m:dPr>
                        <m:ctrlPr>
                          <w:rPr>
                            <w:rFonts w:ascii="Cambria Math" w:eastAsia="Cambria Math" w:hAnsi="Cambria Math"/>
                            <w:i/>
                          </w:rPr>
                        </m:ctrlPr>
                      </m:dPr>
                      <m:e>
                        <m:r>
                          <w:rPr>
                            <w:rFonts w:ascii="Cambria Math" w:eastAsia="Cambria Math" w:hAnsi="Cambria Math"/>
                          </w:rPr>
                          <m:t>\frac</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τ</m:t>
                                </m:r>
                              </m:e>
                              <m:sub>
                                <m:r>
                                  <w:rPr>
                                    <w:rFonts w:ascii="Cambria Math" w:eastAsia="Cambria Math" w:hAnsi="Cambria Math"/>
                                  </w:rPr>
                                  <m:t>N</m:t>
                                </m:r>
                              </m:sub>
                            </m:sSub>
                          </m:e>
                        </m:d>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2</m:t>
                                </m:r>
                              </m:sup>
                            </m:sSup>
                          </m:e>
                        </m:d>
                        <m:r>
                          <w:rPr>
                            <w:rFonts w:ascii="Cambria Math" w:eastAsia="Cambria Math" w:hAnsi="Cambria Math"/>
                          </w:rPr>
                          <m:t>\right</m:t>
                        </m:r>
                      </m:e>
                    </m:d>
                  </m:e>
                  <m:sup>
                    <m:r>
                      <w:rPr>
                        <w:rFonts w:ascii="Cambria Math" w:eastAsia="Cambria Math" w:hAnsi="Cambria Math"/>
                      </w:rPr>
                      <m:t>q</m:t>
                    </m:r>
                  </m:sup>
                </m:sSup>
                <m:r>
                  <w:rPr>
                    <w:rFonts w:ascii="Cambria Math" w:eastAsia="Cambria Math" w:hAnsi="Cambria Math"/>
                  </w:rPr>
                  <m:t>→E</m:t>
                </m:r>
                <m:sSubSup>
                  <m:sSubSupPr>
                    <m:ctrlPr>
                      <w:rPr>
                        <w:rFonts w:ascii="Cambria Math" w:eastAsia="Cambria Math" w:hAnsi="Cambria Math"/>
                        <w:i/>
                      </w:rPr>
                    </m:ctrlPr>
                  </m:sSubSupPr>
                  <m:e>
                    <m:r>
                      <w:rPr>
                        <w:rFonts w:ascii="Cambria Math" w:eastAsia="Cambria Math" w:hAnsi="Cambria Math"/>
                      </w:rPr>
                      <m:t>T</m:t>
                    </m:r>
                  </m:e>
                  <m:sub>
                    <m:r>
                      <w:rPr>
                        <w:rFonts w:ascii="Cambria Math" w:eastAsia="Cambria Math" w:hAnsi="Cambria Math"/>
                      </w:rPr>
                      <m:t>b</m:t>
                    </m:r>
                  </m:sub>
                  <m:sup>
                    <m:r>
                      <w:rPr>
                        <w:rFonts w:ascii="Cambria Math" w:eastAsia="Cambria Math" w:hAnsi="Cambria Math"/>
                      </w:rPr>
                      <m:t>q</m:t>
                    </m:r>
                  </m:sup>
                </m:sSubSup>
                <m:d>
                  <m:dPr>
                    <m:ctrlPr>
                      <w:rPr>
                        <w:rFonts w:ascii="Cambria Math" w:eastAsia="Cambria Math" w:hAnsi="Cambria Math"/>
                        <w:i/>
                      </w:rPr>
                    </m:ctrlPr>
                  </m:dPr>
                  <m:e>
                    <m:r>
                      <w:rPr>
                        <w:rFonts w:ascii="Cambria Math" w:eastAsia="Cambria Math" w:hAnsi="Cambria Math"/>
                      </w:rPr>
                      <m:t>q&gt;0</m:t>
                    </m:r>
                  </m:e>
                </m:d>
                <m:r>
                  <w:rPr>
                    <w:rFonts w:ascii="Cambria Math" w:eastAsia="Cambria Math" w:hAnsi="Cambria Math"/>
                  </w:rPr>
                  <m:t>.</m:t>
                </m:r>
              </m:oMath>
            </m:oMathPara>
          </w:p>
        </w:tc>
        <w:tc>
          <w:tcPr>
            <w:tcW w:w="800" w:type="dxa"/>
            <w:tcBorders>
              <w:top w:val="nil"/>
              <w:left w:val="nil"/>
              <w:bottom w:val="nil"/>
              <w:right w:val="nil"/>
            </w:tcBorders>
          </w:tcPr>
          <w:p w14:paraId="4ED26CCD" w14:textId="77777777" w:rsidR="005302BF" w:rsidRDefault="003D6ED6">
            <w:pPr>
              <w:pStyle w:val="affff7"/>
              <w:spacing w:before="62" w:after="62"/>
              <w:jc w:val="right"/>
            </w:pPr>
            <w:r>
              <w:t>(16)</w:t>
            </w:r>
          </w:p>
        </w:tc>
      </w:tr>
    </w:tbl>
    <w:p w14:paraId="428E849B" w14:textId="77777777" w:rsidR="005302BF" w:rsidRDefault="003D6ED6">
      <w:r>
        <w:t>证明由三角阵列</w:t>
      </w:r>
      <w:r>
        <w:t>Donsker</w:t>
      </w:r>
      <w:r>
        <w:t>定理、首次接触后的逐面立即穿越、连续映射定理以及全状态</w:t>
      </w:r>
      <w:r>
        <w:t xml:space="preserve"> </w:t>
      </w:r>
      <w:r>
        <w:rPr>
          <w:rFonts w:ascii="Cambria Math" w:eastAsia="Cambria Math" w:hAnsi="Cambria Math"/>
        </w:rPr>
        <w:t>O(N^2)</w:t>
      </w:r>
      <w:r>
        <w:t xml:space="preserve"> </w:t>
      </w:r>
      <w:r>
        <w:t>均值界组成。逐面正法向方差保证同时命中有限多个面的情形仍满足退出映射几乎处处连续；势函数与强</w:t>
      </w:r>
      <w:r>
        <w:t>Markov</w:t>
      </w:r>
      <w:r>
        <w:t>几何分块给出统一正指数矩，从而允许全部固定正阶矩通过极限。</w:t>
      </w:r>
    </w:p>
    <w:p w14:paraId="708203A6" w14:textId="77777777" w:rsidR="005302BF" w:rsidRDefault="003D6ED6">
      <w:pPr>
        <w:pStyle w:val="3"/>
      </w:pPr>
      <w:r>
        <w:t>3.3</w:t>
      </w:r>
      <w:r>
        <w:t xml:space="preserve">　独立聚合的充分条件</w:t>
      </w:r>
    </w:p>
    <w:p w14:paraId="46D2F33C" w14:textId="77777777" w:rsidR="005302BF" w:rsidRDefault="003D6ED6">
      <w:r>
        <w:rPr>
          <w:b/>
        </w:rPr>
        <w:t>定理</w:t>
      </w:r>
      <w:r>
        <w:rPr>
          <w:b/>
        </w:rPr>
        <w:t>4</w:t>
      </w:r>
      <w:r>
        <w:rPr>
          <w:b/>
        </w:rPr>
        <w:t xml:space="preserve">　高斯块独立。</w:t>
      </w:r>
      <w:r>
        <w:t xml:space="preserve"> </w:t>
      </w:r>
      <w:r>
        <w:t>若极限协方差按超边分块且</w:t>
      </w:r>
      <w:r>
        <w:t xml:space="preserve"> </w:t>
      </w:r>
      <w:r>
        <w:rPr>
          <w:rFonts w:ascii="Cambria Math" w:eastAsia="Cambria Math" w:hAnsi="Cambria Math"/>
        </w:rPr>
        <w:t>Γ_(ef)=0 (e≠ f)</w:t>
      </w:r>
      <w:r>
        <w:t>，则不同超边的高斯路径块相互独立。设</w:t>
      </w:r>
      <w:r>
        <w:t xml:space="preserve"> </w:t>
      </w:r>
      <w:r>
        <w:rPr>
          <w:rFonts w:ascii="Cambria Math" w:eastAsia="Cambria Math" w:hAnsi="Cambria Math"/>
        </w:rPr>
        <w:t>T_e</w:t>
      </w:r>
      <w:r>
        <w:t xml:space="preserve"> </w:t>
      </w:r>
      <w:r>
        <w:t>为第</w:t>
      </w:r>
      <w:r>
        <w:t xml:space="preserve"> </w:t>
      </w:r>
      <w:r>
        <w:rPr>
          <w:rFonts w:ascii="Cambria Math" w:eastAsia="Cambria Math" w:hAnsi="Cambria Math"/>
        </w:rPr>
        <w:t>e</w:t>
      </w:r>
      <w:r>
        <w:t xml:space="preserve"> </w:t>
      </w:r>
      <w:r>
        <w:t>个块的首次退出时间，则</w:t>
      </w:r>
    </w:p>
    <w:tbl>
      <w:tblPr>
        <w:tblW w:w="0" w:type="auto"/>
        <w:jc w:val="center"/>
        <w:tblLayout w:type="fixed"/>
        <w:tblLook w:val="04A0" w:firstRow="1" w:lastRow="0" w:firstColumn="1" w:lastColumn="0" w:noHBand="0" w:noVBand="1"/>
      </w:tblPr>
      <w:tblGrid>
        <w:gridCol w:w="8200"/>
        <w:gridCol w:w="800"/>
      </w:tblGrid>
      <w:tr w:rsidR="005302BF" w14:paraId="425E995D" w14:textId="77777777">
        <w:trPr>
          <w:jc w:val="center"/>
        </w:trPr>
        <w:tc>
          <w:tcPr>
            <w:tcW w:w="8200" w:type="dxa"/>
            <w:tcBorders>
              <w:top w:val="nil"/>
              <w:left w:val="nil"/>
              <w:bottom w:val="nil"/>
              <w:right w:val="nil"/>
            </w:tcBorders>
          </w:tcPr>
          <w:p w14:paraId="25CA2F6C" w14:textId="50701734" w:rsidR="005302BF" w:rsidRDefault="00DA4FDF">
            <w:pPr>
              <w:pStyle w:val="affff7"/>
              <w:spacing w:before="62" w:after="62"/>
              <w:jc w:val="center"/>
            </w:pPr>
            <m:oMathPara>
              <m:oMath>
                <m:r>
                  <w:rPr>
                    <w:rFonts w:ascii="Cambria Math" w:eastAsia="Cambria Math" w:hAnsi="Cambria Math"/>
                  </w:rPr>
                  <m:t>T_b=</m:t>
                </m:r>
                <m:r>
                  <m:rPr>
                    <m:sty m:val="p"/>
                  </m:rPr>
                  <w:rPr>
                    <w:rFonts w:ascii="Cambria Math" w:eastAsia="Cambria Math" w:hAnsi="Cambria Math"/>
                  </w:rPr>
                  <m:t>min⁡</m:t>
                </m:r>
                <m:r>
                  <w:rPr>
                    <w:rFonts w:ascii="Cambria Math" w:eastAsia="Cambria Math" w:hAnsi="Cambria Math"/>
                  </w:rPr>
                  <m:t xml:space="preserve">_(e∈ E)T_e,qquad </m:t>
                </m:r>
                <m:r>
                  <m:rPr>
                    <m:sty m:val="p"/>
                  </m:rPr>
                  <w:rPr>
                    <w:rFonts w:ascii="Cambria Math" w:eastAsia="Cambria Math" w:hAnsi="Cambria Math"/>
                  </w:rPr>
                  <m:t>Pr⁡</m:t>
                </m:r>
                <m:r>
                  <w:rPr>
                    <w:rFonts w:ascii="Cambria Math" w:eastAsia="Cambria Math" w:hAnsi="Cambria Math"/>
                  </w:rPr>
                  <m:t>(T_b&gt;t)=∏_(e∈ E)</m:t>
                </m:r>
                <m:r>
                  <m:rPr>
                    <m:sty m:val="p"/>
                  </m:rPr>
                  <w:rPr>
                    <w:rFonts w:ascii="Cambria Math" w:eastAsia="Cambria Math" w:hAnsi="Cambria Math"/>
                  </w:rPr>
                  <m:t>Pr⁡</m:t>
                </m:r>
                <m:r>
                  <w:rPr>
                    <w:rFonts w:ascii="Cambria Math" w:eastAsia="Cambria Math" w:hAnsi="Cambria Math"/>
                  </w:rPr>
                  <m:t>(T_e&gt;t).</m:t>
                </m:r>
              </m:oMath>
            </m:oMathPara>
          </w:p>
        </w:tc>
        <w:tc>
          <w:tcPr>
            <w:tcW w:w="800" w:type="dxa"/>
            <w:tcBorders>
              <w:top w:val="nil"/>
              <w:left w:val="nil"/>
              <w:bottom w:val="nil"/>
              <w:right w:val="nil"/>
            </w:tcBorders>
          </w:tcPr>
          <w:p w14:paraId="588A07EB" w14:textId="77777777" w:rsidR="005302BF" w:rsidRDefault="003D6ED6">
            <w:pPr>
              <w:pStyle w:val="affff7"/>
              <w:spacing w:before="62" w:after="62"/>
              <w:jc w:val="right"/>
            </w:pPr>
            <w:r>
              <w:t>(17)</w:t>
            </w:r>
          </w:p>
        </w:tc>
      </w:tr>
    </w:tbl>
    <w:p w14:paraId="422E5A34" w14:textId="77777777" w:rsidR="005302BF" w:rsidRDefault="003D6ED6">
      <w:r>
        <w:t>零交叉协方差只在联合高斯极限中蕴含块独立；对一般非高斯离散增量，零协方差并不足以得到式</w:t>
      </w:r>
      <w:r>
        <w:t>(17)</w:t>
      </w:r>
      <w:r>
        <w:t>。</w:t>
      </w:r>
    </w:p>
    <w:p w14:paraId="0747596E" w14:textId="77777777" w:rsidR="005302BF" w:rsidRDefault="003D6ED6">
      <w:pPr>
        <w:pStyle w:val="2"/>
      </w:pPr>
      <w:r>
        <w:t>4</w:t>
      </w:r>
      <w:r>
        <w:t xml:space="preserve">　零漂移二元通道的相关生存序</w:t>
      </w:r>
    </w:p>
    <w:p w14:paraId="573E90F3" w14:textId="77777777" w:rsidR="005302BF" w:rsidRDefault="003D6ED6">
      <w:r>
        <w:t>对固定</w:t>
      </w:r>
      <w:r>
        <w:t xml:space="preserve"> </w:t>
      </w:r>
      <w:r>
        <w:rPr>
          <w:rFonts w:ascii="Cambria Math" w:eastAsia="Cambria Math" w:hAnsi="Cambria Math"/>
        </w:rPr>
        <w:t>m</w:t>
      </w:r>
      <w:r>
        <w:t xml:space="preserve"> </w:t>
      </w:r>
      <w:r>
        <w:t>条二元通道，设相关增量</w:t>
      </w:r>
      <w:r>
        <w:t xml:space="preserve"> </w:t>
      </w:r>
      <w:r>
        <w:rPr>
          <w:rFonts w:ascii="Cambria Math" w:eastAsia="Cambria Math" w:hAnsi="Cambria Math"/>
        </w:rPr>
        <w:t>ξ_r∈(-1,0,1)^m</w:t>
      </w:r>
      <w:r>
        <w:t xml:space="preserve"> </w:t>
      </w:r>
      <w:r>
        <w:t>独立同分布、均值为</w:t>
      </w:r>
      <w:r>
        <w:t>0</w:t>
      </w:r>
      <w:r>
        <w:t>、协方差为</w:t>
      </w:r>
      <w:r>
        <w:t xml:space="preserve"> </w:t>
      </w:r>
      <w:r>
        <w:rPr>
          <w:rFonts w:ascii="Cambria Math" w:eastAsia="Cambria Math" w:hAnsi="Cambria Math"/>
        </w:rPr>
        <w:t>Σ</w:t>
      </w:r>
      <w:r>
        <w:t>，且每个对角元严格为正。独立代理保持逐坐标</w:t>
      </w:r>
      <w:r>
        <w:lastRenderedPageBreak/>
        <w:t>边际并具有协方差</w:t>
      </w:r>
      <w:r>
        <w:t xml:space="preserve"> </w:t>
      </w:r>
      <w:r>
        <w:rPr>
          <w:rFonts w:ascii="Cambria Math" w:eastAsia="Cambria Math" w:hAnsi="Cambria Math"/>
        </w:rPr>
        <w:t>D=diag(Σ_(11),…,Σ_(mm))</w:t>
      </w:r>
      <w:r>
        <w:t>。令</w:t>
      </w:r>
    </w:p>
    <w:tbl>
      <w:tblPr>
        <w:tblW w:w="0" w:type="auto"/>
        <w:jc w:val="center"/>
        <w:tblLayout w:type="fixed"/>
        <w:tblLook w:val="04A0" w:firstRow="1" w:lastRow="0" w:firstColumn="1" w:lastColumn="0" w:noHBand="0" w:noVBand="1"/>
      </w:tblPr>
      <w:tblGrid>
        <w:gridCol w:w="8200"/>
        <w:gridCol w:w="800"/>
      </w:tblGrid>
      <w:tr w:rsidR="005302BF" w14:paraId="70F5A3A6" w14:textId="77777777">
        <w:trPr>
          <w:jc w:val="center"/>
        </w:trPr>
        <w:tc>
          <w:tcPr>
            <w:tcW w:w="8200" w:type="dxa"/>
            <w:tcBorders>
              <w:top w:val="nil"/>
              <w:left w:val="nil"/>
              <w:bottom w:val="nil"/>
              <w:right w:val="nil"/>
            </w:tcBorders>
          </w:tcPr>
          <w:p w14:paraId="164B98C4" w14:textId="3FB6009A" w:rsidR="005302BF" w:rsidRDefault="00DA4FDF">
            <w:pPr>
              <w:pStyle w:val="affff7"/>
              <w:spacing w:before="62" w:after="62"/>
              <w:jc w:val="center"/>
            </w:pPr>
            <m:oMathPara>
              <m:oMath>
                <m:r>
                  <w:rPr>
                    <w:rFonts w:ascii="Cambria Math" w:eastAsia="Cambria Math" w:hAnsi="Cambria Math"/>
                  </w:rPr>
                  <m:t>τ_N^a=∈f(n≥0:</m:t>
                </m:r>
                <m:r>
                  <m:rPr>
                    <m:sty m:val="p"/>
                  </m:rPr>
                  <w:rPr>
                    <w:rFonts w:ascii="Cambria Math" w:eastAsia="Cambria Math" w:hAnsi="Cambria Math"/>
                  </w:rPr>
                  <m:t>max⁡</m:t>
                </m:r>
                <m:r>
                  <w:rPr>
                    <w:rFonts w:ascii="Cambria Math" w:eastAsia="Cambria Math" w:hAnsi="Cambria Math"/>
                  </w:rPr>
                  <m:t>_e|S_e^a(n)|=N),\qquad a∈(corr,ind).</m:t>
                </m:r>
              </m:oMath>
            </m:oMathPara>
          </w:p>
        </w:tc>
        <w:tc>
          <w:tcPr>
            <w:tcW w:w="800" w:type="dxa"/>
            <w:tcBorders>
              <w:top w:val="nil"/>
              <w:left w:val="nil"/>
              <w:bottom w:val="nil"/>
              <w:right w:val="nil"/>
            </w:tcBorders>
          </w:tcPr>
          <w:p w14:paraId="6D304C8D" w14:textId="77777777" w:rsidR="005302BF" w:rsidRDefault="003D6ED6">
            <w:pPr>
              <w:pStyle w:val="affff7"/>
              <w:spacing w:before="62" w:after="62"/>
              <w:jc w:val="right"/>
            </w:pPr>
            <w:r>
              <w:t>(18)</w:t>
            </w:r>
          </w:p>
        </w:tc>
      </w:tr>
    </w:tbl>
    <w:p w14:paraId="1A93FCD6" w14:textId="77777777" w:rsidR="005302BF" w:rsidRDefault="003D6ED6">
      <w:r>
        <w:t>对应的</w:t>
      </w:r>
      <w:r>
        <w:t>Brownian</w:t>
      </w:r>
      <w:r>
        <w:t>退出时间记为</w:t>
      </w:r>
      <w:r>
        <w:t xml:space="preserve"> </w:t>
      </w:r>
      <w:r>
        <w:rPr>
          <w:rFonts w:ascii="Cambria Math" w:eastAsia="Cambria Math" w:hAnsi="Cambria Math"/>
        </w:rPr>
        <w:t>T_(\rm corr)</w:t>
      </w:r>
      <w:r>
        <w:t xml:space="preserve"> </w:t>
      </w:r>
      <w:r>
        <w:t>和</w:t>
      </w:r>
      <w:r>
        <w:t xml:space="preserve"> </w:t>
      </w:r>
      <w:r>
        <w:rPr>
          <w:rFonts w:ascii="Cambria Math" w:eastAsia="Cambria Math" w:hAnsi="Cambria Math"/>
        </w:rPr>
        <w:t>T_(\rm ind)</w:t>
      </w:r>
      <w:r>
        <w:t>。</w:t>
      </w:r>
    </w:p>
    <w:p w14:paraId="3A575604" w14:textId="77777777" w:rsidR="005302BF" w:rsidRDefault="003D6ED6">
      <w:r>
        <w:rPr>
          <w:b/>
        </w:rPr>
        <w:t>定理</w:t>
      </w:r>
      <w:r>
        <w:rPr>
          <w:b/>
        </w:rPr>
        <w:t>5</w:t>
      </w:r>
      <w:r>
        <w:rPr>
          <w:b/>
        </w:rPr>
        <w:t xml:space="preserve">　离散</w:t>
      </w:r>
      <w:r>
        <w:rPr>
          <w:b/>
        </w:rPr>
        <w:t>—</w:t>
      </w:r>
      <w:r>
        <w:rPr>
          <w:b/>
        </w:rPr>
        <w:t>高斯生存序桥接。</w:t>
      </w:r>
      <w:r>
        <w:t xml:space="preserve"> </w:t>
      </w:r>
      <w:r>
        <w:t>在平衡初态、严格零漂移和固定有限二元通道条件下，</w:t>
      </w:r>
    </w:p>
    <w:tbl>
      <w:tblPr>
        <w:tblW w:w="0" w:type="auto"/>
        <w:jc w:val="center"/>
        <w:tblLayout w:type="fixed"/>
        <w:tblLook w:val="04A0" w:firstRow="1" w:lastRow="0" w:firstColumn="1" w:lastColumn="0" w:noHBand="0" w:noVBand="1"/>
      </w:tblPr>
      <w:tblGrid>
        <w:gridCol w:w="8200"/>
        <w:gridCol w:w="800"/>
      </w:tblGrid>
      <w:tr w:rsidR="005302BF" w14:paraId="15919EAD" w14:textId="77777777">
        <w:trPr>
          <w:jc w:val="center"/>
        </w:trPr>
        <w:tc>
          <w:tcPr>
            <w:tcW w:w="8200" w:type="dxa"/>
            <w:tcBorders>
              <w:top w:val="nil"/>
              <w:left w:val="nil"/>
              <w:bottom w:val="nil"/>
              <w:right w:val="nil"/>
            </w:tcBorders>
          </w:tcPr>
          <w:p w14:paraId="438B9ABD" w14:textId="73AD1B46" w:rsidR="005302BF" w:rsidRDefault="00BE28FA">
            <w:pPr>
              <w:pStyle w:val="affff7"/>
              <w:spacing w:before="62" w:after="62"/>
              <w:jc w:val="center"/>
            </w:pPr>
            <m:oMathPara>
              <m:oMath>
                <m:r>
                  <w:rPr>
                    <w:rFonts w:ascii="Cambria Math" w:eastAsia="Cambria Math" w:hAnsi="Cambria Math"/>
                  </w:rPr>
                  <m:t>\frac</m:t>
                </m:r>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rPr>
                          <m:t>τ</m:t>
                        </m:r>
                      </m:e>
                      <m:sub>
                        <m:r>
                          <w:rPr>
                            <w:rFonts w:ascii="Cambria Math" w:eastAsia="Cambria Math" w:hAnsi="Cambria Math"/>
                          </w:rPr>
                          <m:t>N</m:t>
                        </m:r>
                      </m:sub>
                      <m:sup>
                        <m:r>
                          <w:rPr>
                            <w:rFonts w:ascii="Cambria Math" w:eastAsia="Cambria Math" w:hAnsi="Cambria Math"/>
                          </w:rPr>
                          <m:t>a</m:t>
                        </m:r>
                      </m:sup>
                    </m:sSubSup>
                  </m:e>
                </m:d>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2</m:t>
                        </m:r>
                      </m:sup>
                    </m:sSup>
                  </m:e>
                </m:d>
                <m:r>
                  <w:rPr>
                    <w:rFonts w:ascii="Cambria Math" w:eastAsia="Cambria Math" w:hAnsi="Cambria Math"/>
                  </w:rPr>
                  <m:t xml:space="preserve">⇒ </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a</m:t>
                    </m:r>
                  </m:sub>
                </m:sSub>
                <m:r>
                  <w:rPr>
                    <w:rFonts w:ascii="Cambria Math" w:eastAsia="Cambria Math" w:hAnsi="Cambria Math"/>
                  </w:rPr>
                  <m:t>,qquad \su</m:t>
                </m:r>
                <m:sSub>
                  <m:sSubPr>
                    <m:ctrlPr>
                      <w:rPr>
                        <w:rFonts w:ascii="Cambria Math" w:eastAsia="Cambria Math" w:hAnsi="Cambria Math"/>
                        <w:i/>
                      </w:rPr>
                    </m:ctrlPr>
                  </m:sSubPr>
                  <m:e>
                    <m:r>
                      <w:rPr>
                        <w:rFonts w:ascii="Cambria Math" w:eastAsia="Cambria Math" w:hAnsi="Cambria Math"/>
                      </w:rPr>
                      <m:t>p</m:t>
                    </m:r>
                  </m:e>
                  <m:sub>
                    <m:r>
                      <w:rPr>
                        <w:rFonts w:ascii="Cambria Math" w:eastAsia="Cambria Math" w:hAnsi="Cambria Math"/>
                      </w:rPr>
                      <m:t>NE</m:t>
                    </m:r>
                  </m:sub>
                </m:sSub>
                <m:r>
                  <w:rPr>
                    <w:rFonts w:ascii="Cambria Math" w:eastAsia="Cambria Math" w:hAnsi="Cambria Math"/>
                  </w:rPr>
                  <m:t>\exp≤ft</m:t>
                </m:r>
                <m:d>
                  <m:dPr>
                    <m:ctrlPr>
                      <w:rPr>
                        <w:rFonts w:ascii="Cambria Math" w:eastAsia="Cambria Math" w:hAnsi="Cambria Math"/>
                        <w:i/>
                      </w:rPr>
                    </m:ctrlPr>
                  </m:dPr>
                  <m:e>
                    <m:r>
                      <w:rPr>
                        <w:rFonts w:ascii="Cambria Math" w:eastAsia="Cambria Math" w:hAnsi="Cambria Math"/>
                      </w:rPr>
                      <m:t>λ\frac</m:t>
                    </m:r>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rPr>
                              <m:t>τ</m:t>
                            </m:r>
                          </m:e>
                          <m:sub>
                            <m:r>
                              <w:rPr>
                                <w:rFonts w:ascii="Cambria Math" w:eastAsia="Cambria Math" w:hAnsi="Cambria Math"/>
                              </w:rPr>
                              <m:t>N</m:t>
                            </m:r>
                          </m:sub>
                          <m:sup>
                            <m:r>
                              <w:rPr>
                                <w:rFonts w:ascii="Cambria Math" w:eastAsia="Cambria Math" w:hAnsi="Cambria Math"/>
                              </w:rPr>
                              <m:t>a</m:t>
                            </m:r>
                          </m:sup>
                        </m:sSubSup>
                      </m:e>
                    </m:d>
                    <m:d>
                      <m:dPr>
                        <m:ctrlPr>
                          <w:rPr>
                            <w:rFonts w:ascii="Cambria Math" w:eastAsia="Cambria Math" w:hAnsi="Cambria Math"/>
                            <w:i/>
                          </w:rPr>
                        </m:ctrlPr>
                      </m:dPr>
                      <m:e>
                        <m:sSup>
                          <m:sSupPr>
                            <m:ctrlPr>
                              <w:rPr>
                                <w:rFonts w:ascii="Cambria Math" w:eastAsia="Cambria Math" w:hAnsi="Cambria Math"/>
                                <w:i/>
                              </w:rPr>
                            </m:ctrlPr>
                          </m:sSupPr>
                          <m:e>
                            <m:r>
                              <w:rPr>
                                <w:rFonts w:ascii="Cambria Math" w:eastAsia="Cambria Math" w:hAnsi="Cambria Math"/>
                              </w:rPr>
                              <m:t>N</m:t>
                            </m:r>
                          </m:e>
                          <m:sup>
                            <m:r>
                              <w:rPr>
                                <w:rFonts w:ascii="Cambria Math" w:eastAsia="Cambria Math" w:hAnsi="Cambria Math"/>
                              </w:rPr>
                              <m:t>2</m:t>
                            </m:r>
                          </m:sup>
                        </m:sSup>
                      </m:e>
                    </m:d>
                    <m:r>
                      <w:rPr>
                        <w:rFonts w:ascii="Cambria Math" w:eastAsia="Cambria Math" w:hAnsi="Cambria Math"/>
                      </w:rPr>
                      <m:t>\right</m:t>
                    </m:r>
                  </m:e>
                </m:d>
                <m:r>
                  <w:rPr>
                    <w:rFonts w:ascii="Cambria Math" w:eastAsia="Cambria Math" w:hAnsi="Cambria Math"/>
                  </w:rPr>
                  <m:t>&lt;∈fty</m:t>
                </m:r>
              </m:oMath>
            </m:oMathPara>
          </w:p>
        </w:tc>
        <w:tc>
          <w:tcPr>
            <w:tcW w:w="800" w:type="dxa"/>
            <w:tcBorders>
              <w:top w:val="nil"/>
              <w:left w:val="nil"/>
              <w:bottom w:val="nil"/>
              <w:right w:val="nil"/>
            </w:tcBorders>
          </w:tcPr>
          <w:p w14:paraId="5DBC22D8" w14:textId="77777777" w:rsidR="005302BF" w:rsidRDefault="003D6ED6">
            <w:pPr>
              <w:pStyle w:val="affff7"/>
              <w:spacing w:before="62" w:after="62"/>
              <w:jc w:val="right"/>
            </w:pPr>
            <w:r>
              <w:t>(19)</w:t>
            </w:r>
          </w:p>
        </w:tc>
      </w:tr>
    </w:tbl>
    <w:p w14:paraId="0E80FD09" w14:textId="77777777" w:rsidR="005302BF" w:rsidRDefault="003D6ED6">
      <w:r>
        <w:t>对某个</w:t>
      </w:r>
      <w:r>
        <w:t xml:space="preserve"> </w:t>
      </w:r>
      <w:r>
        <w:rPr>
          <w:rFonts w:ascii="Cambria Math" w:eastAsia="Cambria Math" w:hAnsi="Cambria Math"/>
        </w:rPr>
        <w:t>λ&gt;0</w:t>
      </w:r>
      <w:r>
        <w:t xml:space="preserve"> </w:t>
      </w:r>
      <w:r>
        <w:t>及两个模型同时成立。并且对所有</w:t>
      </w:r>
      <w:r>
        <w:t xml:space="preserve"> </w:t>
      </w:r>
      <w:r>
        <w:rPr>
          <w:rFonts w:ascii="Cambria Math" w:eastAsia="Cambria Math" w:hAnsi="Cambria Math"/>
        </w:rPr>
        <w:t>t≥0</w:t>
      </w:r>
      <w:r>
        <w:t>，</w:t>
      </w:r>
    </w:p>
    <w:tbl>
      <w:tblPr>
        <w:tblW w:w="0" w:type="auto"/>
        <w:jc w:val="center"/>
        <w:tblLayout w:type="fixed"/>
        <w:tblLook w:val="04A0" w:firstRow="1" w:lastRow="0" w:firstColumn="1" w:lastColumn="0" w:noHBand="0" w:noVBand="1"/>
      </w:tblPr>
      <w:tblGrid>
        <w:gridCol w:w="8200"/>
        <w:gridCol w:w="800"/>
      </w:tblGrid>
      <w:tr w:rsidR="005302BF" w14:paraId="6D155A13" w14:textId="77777777">
        <w:trPr>
          <w:jc w:val="center"/>
        </w:trPr>
        <w:tc>
          <w:tcPr>
            <w:tcW w:w="8200" w:type="dxa"/>
            <w:tcBorders>
              <w:top w:val="nil"/>
              <w:left w:val="nil"/>
              <w:bottom w:val="nil"/>
              <w:right w:val="nil"/>
            </w:tcBorders>
          </w:tcPr>
          <w:p w14:paraId="0577FFDD" w14:textId="2064428D" w:rsidR="005302BF" w:rsidRDefault="00BE28FA">
            <w:pPr>
              <w:pStyle w:val="affff7"/>
              <w:spacing w:before="62" w:after="62"/>
              <w:jc w:val="center"/>
            </w:pPr>
            <m:oMathPara>
              <m:oMath>
                <m:func>
                  <m:funcPr>
                    <m:ctrlPr>
                      <w:rPr>
                        <w:rFonts w:ascii="Cambria Math" w:eastAsia="Cambria Math" w:hAnsi="Cambria Math"/>
                      </w:rPr>
                    </m:ctrlPr>
                  </m:funcPr>
                  <m:fName>
                    <m:r>
                      <m:rPr>
                        <m:sty m:val="p"/>
                      </m:rPr>
                      <w:rPr>
                        <w:rFonts w:ascii="Cambria Math" w:eastAsia="Cambria Math" w:hAnsi="Cambria Math"/>
                      </w:rPr>
                      <m:t>Pr</m:t>
                    </m: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\rm corr</m:t>
                            </m:r>
                          </m:sub>
                        </m:sSub>
                        <m:r>
                          <w:rPr>
                            <w:rFonts w:ascii="Cambria Math" w:eastAsia="Cambria Math" w:hAnsi="Cambria Math"/>
                          </w:rPr>
                          <m:t>&gt;t</m:t>
                        </m:r>
                      </m:e>
                    </m:d>
                  </m:e>
                </m:func>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Pr</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\rm ind</m:t>
                            </m:r>
                          </m:sub>
                        </m:sSub>
                        <m:r>
                          <w:rPr>
                            <w:rFonts w:ascii="Cambria Math" w:eastAsia="Cambria Math" w:hAnsi="Cambria Math"/>
                          </w:rPr>
                          <m:t>&gt;t</m:t>
                        </m:r>
                      </m:e>
                    </m:d>
                  </m:e>
                </m:func>
                <m:r>
                  <w:rPr>
                    <w:rFonts w:ascii="Cambria Math" w:eastAsia="Cambria Math" w:hAnsi="Cambria Math"/>
                  </w:rPr>
                  <m:t>,</m:t>
                </m:r>
              </m:oMath>
            </m:oMathPara>
          </w:p>
        </w:tc>
        <w:tc>
          <w:tcPr>
            <w:tcW w:w="800" w:type="dxa"/>
            <w:tcBorders>
              <w:top w:val="nil"/>
              <w:left w:val="nil"/>
              <w:bottom w:val="nil"/>
              <w:right w:val="nil"/>
            </w:tcBorders>
          </w:tcPr>
          <w:p w14:paraId="679F8099" w14:textId="77777777" w:rsidR="005302BF" w:rsidRDefault="003D6ED6">
            <w:pPr>
              <w:pStyle w:val="affff7"/>
              <w:spacing w:before="62" w:after="62"/>
              <w:jc w:val="right"/>
            </w:pPr>
            <w:r>
              <w:t>(20)</w:t>
            </w:r>
          </w:p>
        </w:tc>
      </w:tr>
    </w:tbl>
    <w:p w14:paraId="672D8BB4" w14:textId="77777777" w:rsidR="005302BF" w:rsidRDefault="003D6ED6">
      <w:r>
        <w:t>从而</w:t>
      </w:r>
    </w:p>
    <w:tbl>
      <w:tblPr>
        <w:tblW w:w="0" w:type="auto"/>
        <w:jc w:val="center"/>
        <w:tblLayout w:type="fixed"/>
        <w:tblLook w:val="04A0" w:firstRow="1" w:lastRow="0" w:firstColumn="1" w:lastColumn="0" w:noHBand="0" w:noVBand="1"/>
      </w:tblPr>
      <w:tblGrid>
        <w:gridCol w:w="8200"/>
        <w:gridCol w:w="800"/>
      </w:tblGrid>
      <w:tr w:rsidR="005302BF" w14:paraId="62A7F6A3" w14:textId="77777777">
        <w:trPr>
          <w:jc w:val="center"/>
        </w:trPr>
        <w:tc>
          <w:tcPr>
            <w:tcW w:w="8200" w:type="dxa"/>
            <w:tcBorders>
              <w:top w:val="nil"/>
              <w:left w:val="nil"/>
              <w:bottom w:val="nil"/>
              <w:right w:val="nil"/>
            </w:tcBorders>
          </w:tcPr>
          <w:p w14:paraId="59555B85" w14:textId="7B7E5595" w:rsidR="005302BF" w:rsidRDefault="00BE28FA">
            <w:pPr>
              <w:pStyle w:val="affff7"/>
              <w:spacing w:before="62" w:after="62"/>
              <w:jc w:val="center"/>
            </w:pPr>
            <m:oMathPara>
              <m:oMath>
                <m:r>
                  <w:rPr>
                    <w:rFonts w:ascii="Cambria Math" w:eastAsia="Cambria Math" w:hAnsi="Cambria Math"/>
                  </w:rPr>
                  <m:t>\li</m:t>
                </m:r>
                <m:sSub>
                  <m:sSubPr>
                    <m:ctrlPr>
                      <w:rPr>
                        <w:rFonts w:ascii="Cambria Math" w:eastAsia="Cambria Math" w:hAnsi="Cambria Math"/>
                        <w:i/>
                      </w:rPr>
                    </m:ctrlPr>
                  </m:sSubPr>
                  <m:e>
                    <m:r>
                      <w:rPr>
                        <w:rFonts w:ascii="Cambria Math" w:eastAsia="Cambria Math" w:hAnsi="Cambria Math"/>
                      </w:rPr>
                      <m:t>m</m:t>
                    </m:r>
                  </m:e>
                  <m:sub>
                    <m:d>
                      <m:dPr>
                        <m:ctrlPr>
                          <w:rPr>
                            <w:rFonts w:ascii="Cambria Math" w:eastAsia="Cambria Math" w:hAnsi="Cambria Math"/>
                            <w:i/>
                          </w:rPr>
                        </m:ctrlPr>
                      </m:dPr>
                      <m:e>
                        <m:r>
                          <w:rPr>
                            <w:rFonts w:ascii="Cambria Math" w:eastAsia="Cambria Math" w:hAnsi="Cambria Math"/>
                          </w:rPr>
                          <m:t>N→∈fty</m:t>
                        </m:r>
                      </m:e>
                    </m:d>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N</m:t>
                        </m:r>
                      </m:sub>
                    </m:sSub>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\rm corr</m:t>
                    </m:r>
                  </m:sub>
                </m:sSub>
                <m:r>
                  <w:rPr>
                    <w:rFonts w:ascii="Cambria Math" w:eastAsia="Cambria Math" w:hAnsi="Cambria Math"/>
                  </w:rPr>
                  <m:t>-E</m:t>
                </m:r>
                <m:sSub>
                  <m:sSubPr>
                    <m:ctrlPr>
                      <w:rPr>
                        <w:rFonts w:ascii="Cambria Math" w:eastAsia="Cambria Math" w:hAnsi="Cambria Math"/>
                        <w:i/>
                      </w:rPr>
                    </m:ctrlPr>
                  </m:sSubPr>
                  <m:e>
                    <m:r>
                      <w:rPr>
                        <w:rFonts w:ascii="Cambria Math" w:eastAsia="Cambria Math" w:hAnsi="Cambria Math"/>
                      </w:rPr>
                      <m:t>T</m:t>
                    </m:r>
                  </m:e>
                  <m:sub>
                    <m:r>
                      <w:rPr>
                        <w:rFonts w:ascii="Cambria Math" w:eastAsia="Cambria Math" w:hAnsi="Cambria Math"/>
                      </w:rPr>
                      <m:t>\rm ind</m:t>
                    </m:r>
                  </m:sub>
                </m:sSub>
                <m:r>
                  <w:rPr>
                    <w:rFonts w:ascii="Cambria Math" w:eastAsia="Cambria Math" w:hAnsi="Cambria Math"/>
                  </w:rPr>
                  <m:t>≥0.</m:t>
                </m:r>
              </m:oMath>
            </m:oMathPara>
          </w:p>
        </w:tc>
        <w:tc>
          <w:tcPr>
            <w:tcW w:w="800" w:type="dxa"/>
            <w:tcBorders>
              <w:top w:val="nil"/>
              <w:left w:val="nil"/>
              <w:bottom w:val="nil"/>
              <w:right w:val="nil"/>
            </w:tcBorders>
          </w:tcPr>
          <w:p w14:paraId="3AA4E312" w14:textId="77777777" w:rsidR="005302BF" w:rsidRDefault="003D6ED6">
            <w:pPr>
              <w:pStyle w:val="affff7"/>
              <w:spacing w:before="62" w:after="62"/>
              <w:jc w:val="right"/>
            </w:pPr>
            <w:r>
              <w:t>(21)</w:t>
            </w:r>
          </w:p>
        </w:tc>
      </w:tr>
    </w:tbl>
    <w:p w14:paraId="60ADC7E5" w14:textId="77777777" w:rsidR="005302BF" w:rsidRDefault="003D6ED6">
      <w:r>
        <w:rPr>
          <w:b/>
        </w:rPr>
        <w:t>证明。</w:t>
      </w:r>
      <w:r>
        <w:t xml:space="preserve"> </w:t>
      </w:r>
      <w:r>
        <w:t>两个有界独立同分布增量序列分别满足多元函数型中心极限定理。首次触边后的法向</w:t>
      </w:r>
      <w:r>
        <w:t>Brownian</w:t>
      </w:r>
      <w:r>
        <w:t>增量在任意右邻域立即穿越，故退出映射几乎处处连续。取势函数</w:t>
      </w:r>
      <w:r>
        <w:t xml:space="preserve"> </w:t>
      </w:r>
      <w:r>
        <w:rPr>
          <w:rFonts w:ascii="Cambria Math" w:eastAsia="Cambria Math" w:hAnsi="Cambria Math"/>
        </w:rPr>
        <w:t>V(s)=∑_es_e^2</w:t>
      </w:r>
      <w:r>
        <w:t>，停止前有</w:t>
      </w:r>
      <w:r>
        <w:t xml:space="preserve"> </w:t>
      </w:r>
      <w:r>
        <w:rPr>
          <w:rFonts w:ascii="Cambria Math" w:eastAsia="Cambria Math" w:hAnsi="Cambria Math"/>
        </w:rPr>
        <w:t>EΔ V=trΣ&gt;0</w:t>
      </w:r>
      <w:r>
        <w:t>，可选停止给出全状态</w:t>
      </w:r>
      <w:r>
        <w:t xml:space="preserve"> </w:t>
      </w:r>
      <w:r>
        <w:rPr>
          <w:rFonts w:ascii="Cambria Math" w:eastAsia="Cambria Math" w:hAnsi="Cambria Math"/>
        </w:rPr>
        <w:t>O(N^2)</w:t>
      </w:r>
      <w:r>
        <w:t xml:space="preserve"> </w:t>
      </w:r>
      <w:r>
        <w:t>均值界；再按长度</w:t>
      </w:r>
      <w:r>
        <w:t xml:space="preserve"> </w:t>
      </w:r>
      <w:r>
        <w:rPr>
          <w:rFonts w:ascii="Cambria Math" w:eastAsia="Cambria Math" w:hAnsi="Cambria Math"/>
        </w:rPr>
        <w:t>O(N^2)</w:t>
      </w:r>
      <w:r>
        <w:t xml:space="preserve"> </w:t>
      </w:r>
      <w:r>
        <w:t>分块并使用强</w:t>
      </w:r>
      <w:r>
        <w:t>Markov</w:t>
      </w:r>
      <w:r>
        <w:t>性，得到式</w:t>
      </w:r>
      <w:r>
        <w:t>(19)</w:t>
      </w:r>
      <w:r>
        <w:t>的统一指数矩。</w:t>
      </w:r>
    </w:p>
    <w:p w14:paraId="05DA7FA0" w14:textId="77777777" w:rsidR="005302BF" w:rsidRDefault="003D6ED6">
      <w:r>
        <w:t>固定时间网格时，每条通道在对称区间内生存的事件是中心高斯空间中的对称凸集。</w:t>
      </w:r>
      <w:r>
        <w:t>Royen</w:t>
      </w:r>
      <w:r>
        <w:t>证明的高斯相关不等式</w:t>
      </w:r>
      <w:r>
        <w:t>[20]</w:t>
      </w:r>
      <w:r>
        <w:t>及有限次归纳给出联合生存概率不小于边际生存概率乘积；加密时间网格并利用连续路径与边界无原子性得到式</w:t>
      </w:r>
      <w:r>
        <w:t>(20)</w:t>
      </w:r>
      <w:r>
        <w:t>。统一指数矩允许均值通过极限，结合生存函数积分即得式</w:t>
      </w:r>
      <w:r>
        <w:t>(21)</w:t>
      </w:r>
      <w:r>
        <w:t>。证毕。</w:t>
      </w:r>
    </w:p>
    <w:p w14:paraId="2A5ED207" w14:textId="77777777" w:rsidR="005302BF" w:rsidRDefault="003D6ED6">
      <w:r>
        <w:t>式</w:t>
      </w:r>
      <w:r>
        <w:t>(21)</w:t>
      </w:r>
      <w:r>
        <w:t>只给出极限非负序。它不是有限</w:t>
      </w:r>
      <w:r>
        <w:t xml:space="preserve"> </w:t>
      </w:r>
      <w:r>
        <w:rPr>
          <w:rFonts w:ascii="Cambria Math" w:eastAsia="Cambria Math" w:hAnsi="Cambria Math"/>
        </w:rPr>
        <w:t>N</w:t>
      </w:r>
      <w:r>
        <w:t xml:space="preserve"> </w:t>
      </w:r>
      <w:r>
        <w:t>的符号定理，也不覆盖非平衡初态、非零漂移、状态依赖路由、增长网络或三元以上超边。</w:t>
      </w:r>
    </w:p>
    <w:p w14:paraId="12AC132A" w14:textId="77777777" w:rsidR="005302BF" w:rsidRDefault="003D6ED6">
      <w:pPr>
        <w:pStyle w:val="2"/>
      </w:pPr>
      <w:r>
        <w:t>5</w:t>
      </w:r>
      <w:r>
        <w:t xml:space="preserve">　计算方法与实验设计</w:t>
      </w:r>
    </w:p>
    <w:p w14:paraId="6E67E3B5" w14:textId="77777777" w:rsidR="005302BF" w:rsidRDefault="003D6ED6">
      <w:pPr>
        <w:pStyle w:val="3"/>
      </w:pPr>
      <w:r>
        <w:t>5.1</w:t>
      </w:r>
      <w:r>
        <w:t xml:space="preserve">　确定性精确求解</w:t>
      </w:r>
    </w:p>
    <w:p w14:paraId="22979276" w14:textId="77777777" w:rsidR="005302BF" w:rsidRDefault="003D6ED6">
      <w:r>
        <w:t>对可枚举内部状态，构造稀疏次随机矩阵</w:t>
      </w:r>
      <w:r>
        <w:t xml:space="preserve"> </w:t>
      </w:r>
      <w:r>
        <w:rPr>
          <w:rFonts w:ascii="Cambria Math" w:eastAsia="Cambria Math" w:hAnsi="Cambria Math"/>
        </w:rPr>
        <w:t>Q_N</w:t>
      </w:r>
      <w:r>
        <w:t>，用式</w:t>
      </w:r>
      <w:r>
        <w:t>(10)</w:t>
      </w:r>
      <w:r>
        <w:t>求解均值。反向图搜索验证每个内部状态能否沿正支持到达一步泄漏状态；最大绝对残差</w:t>
      </w:r>
      <w:r>
        <w:t xml:space="preserve"> </w:t>
      </w:r>
      <w:r>
        <w:rPr>
          <w:rFonts w:ascii="Cambria Math" w:eastAsia="Cambria Math" w:hAnsi="Cambria Math"/>
        </w:rPr>
        <w:t>\|(I-Q_N)u_N-\boldsymbol1\|_∈fty</w:t>
      </w:r>
      <w:r>
        <w:t xml:space="preserve"> </w:t>
      </w:r>
      <w:r>
        <w:t>作为方程一致</w:t>
      </w:r>
      <w:r>
        <w:t>性门。该残差不是严格前向误差界，因此结果同时使用可达性证书、解析锚点和独立实现交叉核查。</w:t>
      </w:r>
    </w:p>
    <w:p w14:paraId="2BDA8E83" w14:textId="77777777" w:rsidR="005302BF" w:rsidRDefault="003D6ED6">
      <w:pPr>
        <w:pStyle w:val="3"/>
      </w:pPr>
      <w:r>
        <w:t>5.2</w:t>
      </w:r>
      <w:r>
        <w:t xml:space="preserve">　相关</w:t>
      </w:r>
      <w:r>
        <w:t>—</w:t>
      </w:r>
      <w:r>
        <w:t>独立配对仿真</w:t>
      </w:r>
    </w:p>
    <w:p w14:paraId="7A9A02AA" w14:textId="77777777" w:rsidR="005302BF" w:rsidRDefault="003D6ED6">
      <w:r>
        <w:t>相关模型与独立代理使用共同随机数和保持边际的配对构造，以降低</w:t>
      </w:r>
      <w:r>
        <w:t xml:space="preserve"> </w:t>
      </w:r>
      <w:r>
        <w:rPr>
          <w:rFonts w:ascii="Cambria Math" w:eastAsia="Cambria Math" w:hAnsi="Cambria Math"/>
        </w:rPr>
        <w:t>τ_N^(\rm corr)-τ_N^(\rm ind)</w:t>
      </w:r>
      <w:r>
        <w:t xml:space="preserve"> </w:t>
      </w:r>
      <w:r>
        <w:t>的方差。每个实验单元分成互不重叠区块，以区块均值计算同时置信区间；正式运行与复跑使用不相交种子。全部轨迹的停止事件均为式</w:t>
      </w:r>
      <w:r>
        <w:t>(4)</w:t>
      </w:r>
      <w:r>
        <w:t>，不把窗口截断或未观察到的现实失败记为停止。</w:t>
      </w:r>
    </w:p>
    <w:p w14:paraId="0165341D" w14:textId="77777777" w:rsidR="005302BF" w:rsidRDefault="003D6ED6">
      <w:pPr>
        <w:pStyle w:val="3"/>
      </w:pPr>
      <w:r>
        <w:t>5.3</w:t>
      </w:r>
      <w:r>
        <w:t xml:space="preserve">　拓扑输入与需求核</w:t>
      </w:r>
    </w:p>
    <w:p w14:paraId="228CF5DC" w14:textId="77777777" w:rsidR="005302BF" w:rsidRDefault="003D6ED6">
      <w:r>
        <w:t>历史实验使用</w:t>
      </w:r>
      <w:r>
        <w:t>2020</w:t>
      </w:r>
      <w:r>
        <w:t>、</w:t>
      </w:r>
      <w:r>
        <w:t>2022</w:t>
      </w:r>
      <w:r>
        <w:t>和</w:t>
      </w:r>
      <w:r>
        <w:t>2023</w:t>
      </w:r>
      <w:r>
        <w:t>公开清洗快照；当前实验使用</w:t>
      </w:r>
      <w:r>
        <w:t>2026-07-22</w:t>
      </w:r>
      <w:r>
        <w:t>高容量、可定位通道投影。后者原始投影含</w:t>
      </w:r>
      <w:r>
        <w:t>1277</w:t>
      </w:r>
      <w:r>
        <w:t>个节点、</w:t>
      </w:r>
      <w:r>
        <w:t>9999</w:t>
      </w:r>
      <w:r>
        <w:t>条无向边和</w:t>
      </w:r>
      <w:r>
        <w:t>3</w:t>
      </w:r>
      <w:r>
        <w:t>个连通分量，最大连通分量含</w:t>
      </w:r>
      <w:r>
        <w:t>1273</w:t>
      </w:r>
      <w:r>
        <w:t>个节点、</w:t>
      </w:r>
      <w:r>
        <w:t>9997</w:t>
      </w:r>
      <w:r>
        <w:t>条边。为保证计算可比性，每个日期冻结一个</w:t>
      </w:r>
      <w:r>
        <w:t>31</w:t>
      </w:r>
      <w:r>
        <w:t>节点主锚点和一个</w:t>
      </w:r>
      <w:r>
        <w:t>31</w:t>
      </w:r>
      <w:r>
        <w:t>节点枢纽锚点，路由为固定最短路集合，支付金额为</w:t>
      </w:r>
      <w:r>
        <w:t>1</w:t>
      </w:r>
      <w:r>
        <w:t>，余额尺度为</w:t>
      </w:r>
      <w:r>
        <w:t xml:space="preserve"> </w:t>
      </w:r>
      <w:r>
        <w:rPr>
          <w:rFonts w:ascii="Cambria Math" w:eastAsia="Cambria Math" w:hAnsi="Cambria Math"/>
        </w:rPr>
        <w:t>N=40</w:t>
      </w:r>
      <w:r>
        <w:t>。</w:t>
      </w:r>
    </w:p>
    <w:p w14:paraId="14C0AAAE" w14:textId="77777777" w:rsidR="005302BF" w:rsidRDefault="003D6ED6">
      <w:r>
        <w:t>需求概率以</w:t>
      </w:r>
    </w:p>
    <w:tbl>
      <w:tblPr>
        <w:tblW w:w="0" w:type="auto"/>
        <w:jc w:val="center"/>
        <w:tblLayout w:type="fixed"/>
        <w:tblLook w:val="04A0" w:firstRow="1" w:lastRow="0" w:firstColumn="1" w:lastColumn="0" w:noHBand="0" w:noVBand="1"/>
      </w:tblPr>
      <w:tblGrid>
        <w:gridCol w:w="8200"/>
        <w:gridCol w:w="800"/>
      </w:tblGrid>
      <w:tr w:rsidR="005302BF" w14:paraId="780F931B" w14:textId="77777777">
        <w:trPr>
          <w:jc w:val="center"/>
        </w:trPr>
        <w:tc>
          <w:tcPr>
            <w:tcW w:w="8200" w:type="dxa"/>
            <w:tcBorders>
              <w:top w:val="nil"/>
              <w:left w:val="nil"/>
              <w:bottom w:val="nil"/>
              <w:right w:val="nil"/>
            </w:tcBorders>
          </w:tcPr>
          <w:p w14:paraId="3E608534" w14:textId="4C723C1D" w:rsidR="005302BF" w:rsidRDefault="00BE28FA">
            <w:pPr>
              <w:pStyle w:val="affff7"/>
              <w:spacing w:before="62" w:after="62"/>
              <w:jc w:val="center"/>
            </w:pPr>
            <m:oMathPara>
              <m:oMath>
                <m:sSub>
                  <m:sSubPr>
                    <m:ctrlPr>
                      <w:rPr>
                        <w:rFonts w:ascii="Cambria Math" w:eastAsia="Cambria Math" w:hAnsi="Cambria Math"/>
                        <w:i/>
                      </w:rPr>
                    </m:ctrlPr>
                  </m:sSubPr>
                  <m:e>
                    <m:r>
                      <w:rPr>
                        <w:rFonts w:ascii="Cambria Math" w:eastAsia="Cambria Math" w:hAnsi="Cambria Math"/>
                      </w:rPr>
                      <m:t>π</m:t>
                    </m:r>
                  </m:e>
                  <m:sub>
                    <m:r>
                      <w:rPr>
                        <w:rFonts w:ascii="Cambria Math" w:eastAsia="Cambria Math" w:hAnsi="Cambria Math"/>
                      </w:rPr>
                      <m:t>λ</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1-λ</m:t>
                    </m:r>
                  </m:e>
                </m:d>
                <m:sSub>
                  <m:sSubPr>
                    <m:ctrlPr>
                      <w:rPr>
                        <w:rFonts w:ascii="Cambria Math" w:eastAsia="Cambria Math" w:hAnsi="Cambria Math"/>
                        <w:i/>
                      </w:rPr>
                    </m:ctrlPr>
                  </m:sSubPr>
                  <m:e>
                    <m:r>
                      <w:rPr>
                        <w:rFonts w:ascii="Cambria Math" w:eastAsia="Cambria Math" w:hAnsi="Cambria Math"/>
                      </w:rPr>
                      <m:t>π</m:t>
                    </m:r>
                  </m:e>
                  <m:sub>
                    <m:r>
                      <w:rPr>
                        <w:rFonts w:ascii="Cambria Math" w:eastAsia="Cambria Math" w:hAnsi="Cambria Math"/>
                      </w:rPr>
                      <m:t>\rm uniform</m:t>
                    </m:r>
                  </m:sub>
                </m:sSub>
                <m:r>
                  <w:rPr>
                    <w:rFonts w:ascii="Cambria Math" w:eastAsia="Cambria Math" w:hAnsi="Cambria Math"/>
                  </w:rPr>
                  <m:t>+λ</m:t>
                </m:r>
                <m:sSub>
                  <m:sSubPr>
                    <m:ctrlPr>
                      <w:rPr>
                        <w:rFonts w:ascii="Cambria Math" w:eastAsia="Cambria Math" w:hAnsi="Cambria Math"/>
                        <w:i/>
                      </w:rPr>
                    </m:ctrlPr>
                  </m:sSubPr>
                  <m:e>
                    <m:r>
                      <w:rPr>
                        <w:rFonts w:ascii="Cambria Math" w:eastAsia="Cambria Math" w:hAnsi="Cambria Math"/>
                      </w:rPr>
                      <m:t>π</m:t>
                    </m:r>
                  </m:e>
                  <m:sub>
                    <m:r>
                      <w:rPr>
                        <w:rFonts w:ascii="Cambria Math" w:eastAsia="Cambria Math" w:hAnsi="Cambria Math"/>
                      </w:rPr>
                      <m:t>\rm hotspot</m:t>
                    </m:r>
                  </m:sub>
                </m:sSub>
                <m:r>
                  <w:rPr>
                    <w:rFonts w:ascii="Cambria Math" w:eastAsia="Cambria Math" w:hAnsi="Cambria Math"/>
                  </w:rPr>
                  <m:t>,\qquad λ∈</m:t>
                </m:r>
                <m:d>
                  <m:dPr>
                    <m:ctrlPr>
                      <w:rPr>
                        <w:rFonts w:ascii="Cambria Math" w:eastAsia="Cambria Math" w:hAnsi="Cambria Math"/>
                        <w:i/>
                      </w:rPr>
                    </m:ctrlPr>
                  </m:dPr>
                  <m:e>
                    <m:r>
                      <w:rPr>
                        <w:rFonts w:ascii="Cambria Math" w:eastAsia="Cambria Math" w:hAnsi="Cambria Math"/>
                      </w:rPr>
                      <m:t>0,0.25,0.5,0.75,1</m:t>
                    </m:r>
                  </m:e>
                </m:d>
              </m:oMath>
            </m:oMathPara>
          </w:p>
        </w:tc>
        <w:tc>
          <w:tcPr>
            <w:tcW w:w="800" w:type="dxa"/>
            <w:tcBorders>
              <w:top w:val="nil"/>
              <w:left w:val="nil"/>
              <w:bottom w:val="nil"/>
              <w:right w:val="nil"/>
            </w:tcBorders>
          </w:tcPr>
          <w:p w14:paraId="17E2EFA0" w14:textId="77777777" w:rsidR="005302BF" w:rsidRDefault="003D6ED6">
            <w:pPr>
              <w:pStyle w:val="affff7"/>
              <w:spacing w:before="62" w:after="62"/>
              <w:jc w:val="right"/>
            </w:pPr>
            <w:r>
              <w:t>(22)</w:t>
            </w:r>
          </w:p>
        </w:tc>
      </w:tr>
    </w:tbl>
    <w:p w14:paraId="088B65AD" w14:textId="77777777" w:rsidR="005302BF" w:rsidRDefault="003D6ED6">
      <w:r>
        <w:t>在均匀有序</w:t>
      </w:r>
      <w:r>
        <w:t>OD</w:t>
      </w:r>
      <w:r>
        <w:t>和热点</w:t>
      </w:r>
      <w:r>
        <w:t>OD</w:t>
      </w:r>
      <w:r>
        <w:t>之间插值。该插值同时改变漂移、协方差和高阶矩，因此只能解释为需求不平衡轴上的综合机制，不能称为</w:t>
      </w:r>
      <w:r>
        <w:t>“</w:t>
      </w:r>
      <w:r>
        <w:t>仅漂移</w:t>
      </w:r>
      <w:r>
        <w:t>”</w:t>
      </w:r>
      <w:r>
        <w:t>的因果识别。</w:t>
      </w:r>
    </w:p>
    <w:p w14:paraId="66C862DB" w14:textId="77777777" w:rsidR="005302BF" w:rsidRDefault="003D6ED6">
      <w:pPr>
        <w:pStyle w:val="3"/>
      </w:pPr>
      <w:r>
        <w:t>5.4</w:t>
      </w:r>
      <w:r>
        <w:t xml:space="preserve">　可复现性门</w:t>
      </w:r>
    </w:p>
    <w:p w14:paraId="30855090" w14:textId="77777777" w:rsidR="005302BF" w:rsidRDefault="003D6ED6">
      <w:r>
        <w:t>所有正式结果保存原始</w:t>
      </w:r>
      <w:r>
        <w:t>CSV/NPZ</w:t>
      </w:r>
      <w:r>
        <w:t>、随机种子、环境、元数据和</w:t>
      </w:r>
      <w:r>
        <w:t>SHA-256</w:t>
      </w:r>
      <w:r>
        <w:t>清单。独立复跑直接从原始</w:t>
      </w:r>
      <w:r>
        <w:t>NPZ</w:t>
      </w:r>
      <w:r>
        <w:t>重算轨迹、单元均值与区块统计。审阅稿复现包在</w:t>
      </w:r>
      <w:r>
        <w:t>2026-07-24</w:t>
      </w:r>
      <w:r>
        <w:t>通过</w:t>
      </w:r>
      <w:r>
        <w:t>113</w:t>
      </w:r>
      <w:r>
        <w:t>项自动检查；这一工程门只证明代码与冻结产物一致，不替代定理证明或同行评审。</w:t>
      </w:r>
    </w:p>
    <w:p w14:paraId="05707876" w14:textId="77777777" w:rsidR="005302BF" w:rsidRDefault="003D6ED6">
      <w:pPr>
        <w:pStyle w:val="2"/>
      </w:pPr>
      <w:r>
        <w:t>6</w:t>
      </w:r>
      <w:r>
        <w:t xml:space="preserve">　结果与分析</w:t>
      </w:r>
    </w:p>
    <w:p w14:paraId="46C9F9AB" w14:textId="77777777" w:rsidR="005302BF" w:rsidRDefault="003D6ED6">
      <w:pPr>
        <w:pStyle w:val="3"/>
      </w:pPr>
      <w:r>
        <w:t>6.1</w:t>
      </w:r>
      <w:r>
        <w:t xml:space="preserve">　有限网络精确锚点</w:t>
      </w:r>
    </w:p>
    <w:p w14:paraId="4D7BF4CE" w14:textId="77777777" w:rsidR="005302BF" w:rsidRDefault="003D6ED6">
      <w:r>
        <w:t>表</w:t>
      </w:r>
      <w:r>
        <w:t>1</w:t>
      </w:r>
      <w:r>
        <w:t>给出包含二元与三元超边的冻结实例。三个尺度均通过全状态耗尽可达性门；最大残差处于双精度舍入量级。</w:t>
      </w:r>
    </w:p>
    <w:p w14:paraId="276B5AF4" w14:textId="77777777" w:rsidR="005302BF" w:rsidRDefault="003D6ED6">
      <w:pPr>
        <w:pStyle w:val="affff4"/>
        <w:ind w:firstLine="361"/>
        <w:jc w:val="center"/>
      </w:pPr>
      <w:r>
        <w:rPr>
          <w:b/>
        </w:rPr>
        <w:t>表</w:t>
      </w:r>
      <w:r>
        <w:rPr>
          <w:b/>
        </w:rPr>
        <w:t>1</w:t>
      </w:r>
      <w:r>
        <w:rPr>
          <w:b/>
        </w:rPr>
        <w:t xml:space="preserve">　有限网络</w:t>
      </w:r>
      <w:r>
        <w:rPr>
          <w:b/>
        </w:rPr>
        <w:t>Poisson</w:t>
      </w:r>
      <w:r>
        <w:rPr>
          <w:b/>
        </w:rPr>
        <w:t>方程精确求解</w:t>
      </w:r>
    </w:p>
    <w:p w14:paraId="5C8D0D7E" w14:textId="77777777" w:rsidR="005302BF" w:rsidRDefault="005302BF">
      <w:pPr>
        <w:sectPr w:rsidR="005302BF">
          <w:type w:val="continuous"/>
          <w:pgSz w:w="11907" w:h="16160"/>
          <w:pgMar w:top="1366" w:right="1134" w:bottom="1366" w:left="1134" w:header="992" w:footer="765" w:gutter="0"/>
          <w:cols w:num="2" w:space="426"/>
          <w:titlePg/>
          <w:docGrid w:type="lines" w:linePitch="312" w:charSpace="1857"/>
        </w:sectPr>
      </w:pPr>
    </w:p>
    <w:tbl>
      <w:tblPr>
        <w:tblW w:w="0" w:type="auto"/>
        <w:jc w:val="center"/>
        <w:tblLook w:val="04A0" w:firstRow="1" w:lastRow="0" w:firstColumn="1" w:lastColumn="0" w:noHBand="0" w:noVBand="1"/>
      </w:tblPr>
      <w:tblGrid>
        <w:gridCol w:w="1928"/>
        <w:gridCol w:w="1928"/>
        <w:gridCol w:w="1949"/>
        <w:gridCol w:w="1928"/>
        <w:gridCol w:w="1928"/>
      </w:tblGrid>
      <w:tr w:rsidR="005302BF" w14:paraId="046FA15F" w14:textId="77777777">
        <w:trPr>
          <w:jc w:val="center"/>
        </w:trPr>
        <w:tc>
          <w:tcPr>
            <w:tcW w:w="1928" w:type="dxa"/>
            <w:tcBorders>
              <w:top w:val="single" w:sz="8" w:space="0" w:color="000000"/>
              <w:left w:val="nil"/>
              <w:bottom w:val="single" w:sz="4" w:space="0" w:color="000000"/>
              <w:right w:val="nil"/>
            </w:tcBorders>
            <w:vAlign w:val="center"/>
          </w:tcPr>
          <w:p w14:paraId="2A4B8639" w14:textId="77777777" w:rsidR="005302BF" w:rsidRDefault="003D6ED6">
            <w:pPr>
              <w:jc w:val="center"/>
            </w:pPr>
            <w:r>
              <w:rPr>
                <w:rFonts w:ascii="Cambria Math" w:eastAsia="Cambria Math" w:hAnsi="Cambria Math"/>
                <w:b/>
              </w:rPr>
              <w:t>N</w:t>
            </w:r>
          </w:p>
        </w:tc>
        <w:tc>
          <w:tcPr>
            <w:tcW w:w="1928" w:type="dxa"/>
            <w:tcBorders>
              <w:top w:val="single" w:sz="8" w:space="0" w:color="000000"/>
              <w:left w:val="nil"/>
              <w:bottom w:val="single" w:sz="4" w:space="0" w:color="000000"/>
              <w:right w:val="nil"/>
            </w:tcBorders>
            <w:vAlign w:val="center"/>
          </w:tcPr>
          <w:p w14:paraId="2E68FE51" w14:textId="77777777" w:rsidR="005302BF" w:rsidRDefault="003D6ED6">
            <w:pPr>
              <w:jc w:val="center"/>
            </w:pPr>
            <w:r>
              <w:rPr>
                <w:b/>
              </w:rPr>
              <w:t>内部状态数</w:t>
            </w:r>
          </w:p>
        </w:tc>
        <w:tc>
          <w:tcPr>
            <w:tcW w:w="1928" w:type="dxa"/>
            <w:tcBorders>
              <w:top w:val="single" w:sz="8" w:space="0" w:color="000000"/>
              <w:left w:val="nil"/>
              <w:bottom w:val="single" w:sz="4" w:space="0" w:color="000000"/>
              <w:right w:val="nil"/>
            </w:tcBorders>
            <w:vAlign w:val="center"/>
          </w:tcPr>
          <w:p w14:paraId="0CF13974" w14:textId="77777777" w:rsidR="005302BF" w:rsidRDefault="003D6ED6">
            <w:pPr>
              <w:jc w:val="center"/>
            </w:pPr>
            <w:r>
              <w:rPr>
                <w:rFonts w:ascii="Cambria Math" w:eastAsia="Cambria Math" w:hAnsi="Cambria Math"/>
                <w:b/>
              </w:rPr>
              <w:t>Eτ_N</w:t>
            </w:r>
          </w:p>
        </w:tc>
        <w:tc>
          <w:tcPr>
            <w:tcW w:w="1928" w:type="dxa"/>
            <w:tcBorders>
              <w:top w:val="single" w:sz="8" w:space="0" w:color="000000"/>
              <w:left w:val="nil"/>
              <w:bottom w:val="single" w:sz="4" w:space="0" w:color="000000"/>
              <w:right w:val="nil"/>
            </w:tcBorders>
            <w:vAlign w:val="center"/>
          </w:tcPr>
          <w:p w14:paraId="1D35CA52" w14:textId="77777777" w:rsidR="005302BF" w:rsidRDefault="003D6ED6">
            <w:pPr>
              <w:jc w:val="center"/>
            </w:pPr>
            <w:r>
              <w:rPr>
                <w:b/>
              </w:rPr>
              <w:t>最大绝对残差</w:t>
            </w:r>
          </w:p>
        </w:tc>
        <w:tc>
          <w:tcPr>
            <w:tcW w:w="1928" w:type="dxa"/>
            <w:tcBorders>
              <w:top w:val="single" w:sz="8" w:space="0" w:color="000000"/>
              <w:left w:val="nil"/>
              <w:bottom w:val="single" w:sz="4" w:space="0" w:color="000000"/>
              <w:right w:val="nil"/>
            </w:tcBorders>
            <w:vAlign w:val="center"/>
          </w:tcPr>
          <w:p w14:paraId="339F6197" w14:textId="77777777" w:rsidR="005302BF" w:rsidRDefault="003D6ED6">
            <w:pPr>
              <w:jc w:val="center"/>
            </w:pPr>
            <w:r>
              <w:rPr>
                <w:b/>
              </w:rPr>
              <w:t>全状态可达边界</w:t>
            </w:r>
          </w:p>
        </w:tc>
      </w:tr>
      <w:tr w:rsidR="005302BF" w14:paraId="3DDBBE88" w14:textId="77777777">
        <w:trPr>
          <w:jc w:val="center"/>
        </w:trPr>
        <w:tc>
          <w:tcPr>
            <w:tcW w:w="1928" w:type="dxa"/>
            <w:tcBorders>
              <w:top w:val="nil"/>
              <w:left w:val="nil"/>
              <w:bottom w:val="nil"/>
              <w:right w:val="nil"/>
            </w:tcBorders>
            <w:vAlign w:val="center"/>
          </w:tcPr>
          <w:p w14:paraId="498E5FE0" w14:textId="77777777" w:rsidR="005302BF" w:rsidRDefault="003D6ED6">
            <w:pPr>
              <w:jc w:val="center"/>
            </w:pPr>
            <w:r>
              <w:t>1</w:t>
            </w:r>
          </w:p>
        </w:tc>
        <w:tc>
          <w:tcPr>
            <w:tcW w:w="1928" w:type="dxa"/>
            <w:tcBorders>
              <w:top w:val="nil"/>
              <w:left w:val="nil"/>
              <w:bottom w:val="nil"/>
              <w:right w:val="nil"/>
            </w:tcBorders>
            <w:vAlign w:val="center"/>
          </w:tcPr>
          <w:p w14:paraId="7600EE36" w14:textId="77777777" w:rsidR="005302BF" w:rsidRDefault="003D6ED6">
            <w:pPr>
              <w:jc w:val="center"/>
            </w:pPr>
            <w:r>
              <w:t>1</w:t>
            </w:r>
          </w:p>
        </w:tc>
        <w:tc>
          <w:tcPr>
            <w:tcW w:w="1928" w:type="dxa"/>
            <w:tcBorders>
              <w:top w:val="nil"/>
              <w:left w:val="nil"/>
              <w:bottom w:val="nil"/>
              <w:right w:val="nil"/>
            </w:tcBorders>
            <w:vAlign w:val="center"/>
          </w:tcPr>
          <w:p w14:paraId="1CBF85A8" w14:textId="77777777" w:rsidR="005302BF" w:rsidRDefault="003D6ED6">
            <w:pPr>
              <w:jc w:val="center"/>
            </w:pPr>
            <w:r>
              <w:t>1.000000000000000</w:t>
            </w:r>
          </w:p>
        </w:tc>
        <w:tc>
          <w:tcPr>
            <w:tcW w:w="1928" w:type="dxa"/>
            <w:tcBorders>
              <w:top w:val="nil"/>
              <w:left w:val="nil"/>
              <w:bottom w:val="nil"/>
              <w:right w:val="nil"/>
            </w:tcBorders>
            <w:vAlign w:val="center"/>
          </w:tcPr>
          <w:p w14:paraId="7A773134" w14:textId="77777777" w:rsidR="005302BF" w:rsidRDefault="003D6ED6">
            <w:pPr>
              <w:jc w:val="center"/>
            </w:pPr>
            <w:r>
              <w:t>0</w:t>
            </w:r>
          </w:p>
        </w:tc>
        <w:tc>
          <w:tcPr>
            <w:tcW w:w="1928" w:type="dxa"/>
            <w:tcBorders>
              <w:top w:val="nil"/>
              <w:left w:val="nil"/>
              <w:bottom w:val="nil"/>
              <w:right w:val="nil"/>
            </w:tcBorders>
            <w:vAlign w:val="center"/>
          </w:tcPr>
          <w:p w14:paraId="49A79A6A" w14:textId="77777777" w:rsidR="005302BF" w:rsidRDefault="003D6ED6">
            <w:pPr>
              <w:jc w:val="center"/>
            </w:pPr>
            <w:r>
              <w:t>是</w:t>
            </w:r>
          </w:p>
        </w:tc>
      </w:tr>
      <w:tr w:rsidR="005302BF" w14:paraId="0DAE8074" w14:textId="77777777">
        <w:trPr>
          <w:jc w:val="center"/>
        </w:trPr>
        <w:tc>
          <w:tcPr>
            <w:tcW w:w="1928" w:type="dxa"/>
            <w:tcBorders>
              <w:top w:val="nil"/>
              <w:left w:val="nil"/>
              <w:bottom w:val="nil"/>
              <w:right w:val="nil"/>
            </w:tcBorders>
            <w:vAlign w:val="center"/>
          </w:tcPr>
          <w:p w14:paraId="32294212" w14:textId="77777777" w:rsidR="005302BF" w:rsidRDefault="003D6ED6">
            <w:pPr>
              <w:jc w:val="center"/>
            </w:pPr>
            <w:r>
              <w:t>2</w:t>
            </w:r>
          </w:p>
        </w:tc>
        <w:tc>
          <w:tcPr>
            <w:tcW w:w="1928" w:type="dxa"/>
            <w:tcBorders>
              <w:top w:val="nil"/>
              <w:left w:val="nil"/>
              <w:bottom w:val="nil"/>
              <w:right w:val="nil"/>
            </w:tcBorders>
            <w:vAlign w:val="center"/>
          </w:tcPr>
          <w:p w14:paraId="73D87E22" w14:textId="77777777" w:rsidR="005302BF" w:rsidRDefault="003D6ED6">
            <w:pPr>
              <w:jc w:val="center"/>
            </w:pPr>
            <w:r>
              <w:t>100</w:t>
            </w:r>
          </w:p>
        </w:tc>
        <w:tc>
          <w:tcPr>
            <w:tcW w:w="1928" w:type="dxa"/>
            <w:tcBorders>
              <w:top w:val="nil"/>
              <w:left w:val="nil"/>
              <w:bottom w:val="nil"/>
              <w:right w:val="nil"/>
            </w:tcBorders>
            <w:vAlign w:val="center"/>
          </w:tcPr>
          <w:p w14:paraId="536BD723" w14:textId="77777777" w:rsidR="005302BF" w:rsidRDefault="003D6ED6">
            <w:pPr>
              <w:jc w:val="center"/>
            </w:pPr>
            <w:r>
              <w:t>3.845405988723624</w:t>
            </w:r>
          </w:p>
        </w:tc>
        <w:tc>
          <w:tcPr>
            <w:tcW w:w="1928" w:type="dxa"/>
            <w:tcBorders>
              <w:top w:val="nil"/>
              <w:left w:val="nil"/>
              <w:bottom w:val="nil"/>
              <w:right w:val="nil"/>
            </w:tcBorders>
            <w:vAlign w:val="center"/>
          </w:tcPr>
          <w:p w14:paraId="6B292C0F" w14:textId="77777777" w:rsidR="005302BF" w:rsidRDefault="003D6ED6">
            <w:pPr>
              <w:jc w:val="center"/>
            </w:pPr>
            <w:r>
              <w:rPr>
                <w:rFonts w:ascii="Cambria Math" w:eastAsia="Cambria Math" w:hAnsi="Cambria Math"/>
              </w:rPr>
              <w:t>2.44×10^(-15)</w:t>
            </w:r>
          </w:p>
        </w:tc>
        <w:tc>
          <w:tcPr>
            <w:tcW w:w="1928" w:type="dxa"/>
            <w:tcBorders>
              <w:top w:val="nil"/>
              <w:left w:val="nil"/>
              <w:bottom w:val="nil"/>
              <w:right w:val="nil"/>
            </w:tcBorders>
            <w:vAlign w:val="center"/>
          </w:tcPr>
          <w:p w14:paraId="258C2D31" w14:textId="77777777" w:rsidR="005302BF" w:rsidRDefault="003D6ED6">
            <w:pPr>
              <w:jc w:val="center"/>
            </w:pPr>
            <w:r>
              <w:t>是</w:t>
            </w:r>
          </w:p>
        </w:tc>
      </w:tr>
      <w:tr w:rsidR="005302BF" w14:paraId="1844775A" w14:textId="77777777">
        <w:trPr>
          <w:jc w:val="center"/>
        </w:trPr>
        <w:tc>
          <w:tcPr>
            <w:tcW w:w="1928" w:type="dxa"/>
            <w:tcBorders>
              <w:top w:val="nil"/>
              <w:left w:val="nil"/>
              <w:bottom w:val="single" w:sz="8" w:space="0" w:color="000000"/>
              <w:right w:val="nil"/>
            </w:tcBorders>
            <w:vAlign w:val="center"/>
          </w:tcPr>
          <w:p w14:paraId="7A8298D6" w14:textId="77777777" w:rsidR="005302BF" w:rsidRDefault="003D6ED6">
            <w:pPr>
              <w:jc w:val="center"/>
            </w:pPr>
            <w:r>
              <w:t>3</w:t>
            </w:r>
          </w:p>
        </w:tc>
        <w:tc>
          <w:tcPr>
            <w:tcW w:w="1928" w:type="dxa"/>
            <w:tcBorders>
              <w:top w:val="nil"/>
              <w:left w:val="nil"/>
              <w:bottom w:val="single" w:sz="8" w:space="0" w:color="000000"/>
              <w:right w:val="nil"/>
            </w:tcBorders>
            <w:vAlign w:val="center"/>
          </w:tcPr>
          <w:p w14:paraId="7F2E3A81" w14:textId="77777777" w:rsidR="005302BF" w:rsidRDefault="003D6ED6">
            <w:pPr>
              <w:jc w:val="center"/>
            </w:pPr>
            <w:r>
              <w:t>784</w:t>
            </w:r>
          </w:p>
        </w:tc>
        <w:tc>
          <w:tcPr>
            <w:tcW w:w="1928" w:type="dxa"/>
            <w:tcBorders>
              <w:top w:val="nil"/>
              <w:left w:val="nil"/>
              <w:bottom w:val="single" w:sz="8" w:space="0" w:color="000000"/>
              <w:right w:val="nil"/>
            </w:tcBorders>
            <w:vAlign w:val="center"/>
          </w:tcPr>
          <w:p w14:paraId="2B87754E" w14:textId="77777777" w:rsidR="005302BF" w:rsidRDefault="003D6ED6">
            <w:pPr>
              <w:jc w:val="center"/>
            </w:pPr>
            <w:r>
              <w:t>8.654869502436274</w:t>
            </w:r>
          </w:p>
        </w:tc>
        <w:tc>
          <w:tcPr>
            <w:tcW w:w="1928" w:type="dxa"/>
            <w:tcBorders>
              <w:top w:val="nil"/>
              <w:left w:val="nil"/>
              <w:bottom w:val="single" w:sz="8" w:space="0" w:color="000000"/>
              <w:right w:val="nil"/>
            </w:tcBorders>
            <w:vAlign w:val="center"/>
          </w:tcPr>
          <w:p w14:paraId="06ABF05B" w14:textId="77777777" w:rsidR="005302BF" w:rsidRDefault="003D6ED6">
            <w:pPr>
              <w:jc w:val="center"/>
            </w:pPr>
            <w:r>
              <w:rPr>
                <w:rFonts w:ascii="Cambria Math" w:eastAsia="Cambria Math" w:hAnsi="Cambria Math"/>
              </w:rPr>
              <w:t>6.88×10^(-15)</w:t>
            </w:r>
          </w:p>
        </w:tc>
        <w:tc>
          <w:tcPr>
            <w:tcW w:w="1928" w:type="dxa"/>
            <w:tcBorders>
              <w:top w:val="nil"/>
              <w:left w:val="nil"/>
              <w:bottom w:val="single" w:sz="8" w:space="0" w:color="000000"/>
              <w:right w:val="nil"/>
            </w:tcBorders>
            <w:vAlign w:val="center"/>
          </w:tcPr>
          <w:p w14:paraId="0D307D52" w14:textId="77777777" w:rsidR="005302BF" w:rsidRDefault="003D6ED6">
            <w:pPr>
              <w:jc w:val="center"/>
            </w:pPr>
            <w:r>
              <w:t>是</w:t>
            </w:r>
          </w:p>
        </w:tc>
      </w:tr>
    </w:tbl>
    <w:p w14:paraId="15A372E4" w14:textId="77777777" w:rsidR="005302BF" w:rsidRDefault="005302BF">
      <w:pPr>
        <w:sectPr w:rsidR="005302BF">
          <w:type w:val="continuous"/>
          <w:pgSz w:w="11907" w:h="16160"/>
          <w:pgMar w:top="1366" w:right="1134" w:bottom="1366" w:left="1134" w:header="992" w:footer="765" w:gutter="0"/>
          <w:cols w:space="720"/>
          <w:titlePg/>
          <w:docGrid w:type="lines" w:linePitch="312" w:charSpace="1857"/>
        </w:sectPr>
      </w:pPr>
    </w:p>
    <w:p w14:paraId="3A7B5B56" w14:textId="77777777" w:rsidR="005302BF" w:rsidRDefault="003D6ED6">
      <w:r>
        <w:t>这些结果核查了式</w:t>
      </w:r>
      <w:r>
        <w:t>(10)</w:t>
      </w:r>
      <w:r>
        <w:t>在给定有限实例中的实现，</w:t>
      </w:r>
      <w:r>
        <w:t>但不把有限枚举误作所有</w:t>
      </w:r>
      <w:r>
        <w:t xml:space="preserve"> </w:t>
      </w:r>
      <w:r>
        <w:rPr>
          <w:rFonts w:ascii="Cambria Math" w:eastAsia="Cambria Math" w:hAnsi="Cambria Math"/>
        </w:rPr>
        <w:t>N</w:t>
      </w:r>
      <w:r>
        <w:t xml:space="preserve"> </w:t>
      </w:r>
      <w:r>
        <w:t>的可达性证明。</w:t>
      </w:r>
    </w:p>
    <w:p w14:paraId="296BC929" w14:textId="77777777" w:rsidR="005302BF" w:rsidRDefault="003D6ED6">
      <w:pPr>
        <w:pStyle w:val="3"/>
      </w:pPr>
      <w:r>
        <w:lastRenderedPageBreak/>
        <w:t>6.2</w:t>
      </w:r>
      <w:r>
        <w:t xml:space="preserve">　三节点路径的离散</w:t>
      </w:r>
      <w:r>
        <w:t>—</w:t>
      </w:r>
      <w:r>
        <w:t>高斯桥接</w:t>
      </w:r>
    </w:p>
    <w:p w14:paraId="2710F859" w14:textId="77777777" w:rsidR="005302BF" w:rsidRDefault="003D6ED6">
      <w:r>
        <w:t>三节点路径的相关增量为</w:t>
      </w:r>
      <w:r>
        <w:t xml:space="preserve"> </w:t>
      </w:r>
      <w:r>
        <w:rPr>
          <w:rFonts w:ascii="Cambria Math" w:eastAsia="Cambria Math" w:hAnsi="Cambria Math"/>
        </w:rPr>
        <w:t>(-1,0),(1,0),(0,-1),(0,1),(-1,-1),(1,1)</w:t>
      </w:r>
      <w:r>
        <w:t>，各以</w:t>
      </w:r>
      <w:r>
        <w:t xml:space="preserve"> </w:t>
      </w:r>
      <w:r>
        <w:rPr>
          <w:rFonts w:ascii="Cambria Math" w:eastAsia="Cambria Math" w:hAnsi="Cambria Math"/>
        </w:rPr>
        <w:t>1/6</w:t>
      </w:r>
      <w:r>
        <w:t xml:space="preserve"> </w:t>
      </w:r>
      <w:r>
        <w:t>发生，故</w:t>
      </w:r>
    </w:p>
    <w:tbl>
      <w:tblPr>
        <w:tblW w:w="0" w:type="auto"/>
        <w:jc w:val="center"/>
        <w:tblLayout w:type="fixed"/>
        <w:tblLook w:val="04A0" w:firstRow="1" w:lastRow="0" w:firstColumn="1" w:lastColumn="0" w:noHBand="0" w:noVBand="1"/>
      </w:tblPr>
      <w:tblGrid>
        <w:gridCol w:w="8200"/>
        <w:gridCol w:w="800"/>
      </w:tblGrid>
      <w:tr w:rsidR="005302BF" w14:paraId="53118F73" w14:textId="77777777">
        <w:trPr>
          <w:jc w:val="center"/>
        </w:trPr>
        <w:tc>
          <w:tcPr>
            <w:tcW w:w="8200" w:type="dxa"/>
            <w:tcBorders>
              <w:top w:val="nil"/>
              <w:left w:val="nil"/>
              <w:bottom w:val="nil"/>
              <w:right w:val="nil"/>
            </w:tcBorders>
          </w:tcPr>
          <w:p w14:paraId="511428A0" w14:textId="77777777" w:rsidR="005302BF" w:rsidRDefault="00DA4FDF">
            <w:pPr>
              <w:pStyle w:val="affff7"/>
              <w:spacing w:before="62" w:after="62"/>
              <w:jc w:val="center"/>
            </w:pPr>
            <m:oMathPara>
              <m:oMath>
                <m:r>
                  <w:rPr>
                    <w:rFonts w:ascii="Cambria Math" w:eastAsia="Cambria Math" w:hAnsi="Cambria Math"/>
                  </w:rPr>
                  <m:t>Σ=\begin(pmatrix)2/3&amp;1/3 1/3&amp;2/3\end(pmatrix),\qquad D=diag(2/3,2/3).</m:t>
                </m:r>
              </m:oMath>
            </m:oMathPara>
          </w:p>
        </w:tc>
        <w:tc>
          <w:tcPr>
            <w:tcW w:w="800" w:type="dxa"/>
            <w:tcBorders>
              <w:top w:val="nil"/>
              <w:left w:val="nil"/>
              <w:bottom w:val="nil"/>
              <w:right w:val="nil"/>
            </w:tcBorders>
          </w:tcPr>
          <w:p w14:paraId="0D67681B" w14:textId="77777777" w:rsidR="005302BF" w:rsidRDefault="003D6ED6">
            <w:pPr>
              <w:pStyle w:val="affff7"/>
              <w:spacing w:before="62" w:after="62"/>
              <w:jc w:val="right"/>
            </w:pPr>
            <w:r>
              <w:t>(23)</w:t>
            </w:r>
          </w:p>
        </w:tc>
      </w:tr>
    </w:tbl>
    <w:p w14:paraId="63B91F18" w14:textId="77777777" w:rsidR="005302BF" w:rsidRDefault="003D6ED6">
      <w:r>
        <w:t>对</w:t>
      </w:r>
      <w:r>
        <w:t xml:space="preserve"> </w:t>
      </w:r>
      <w:r>
        <w:rPr>
          <w:rFonts w:ascii="Cambria Math" w:eastAsia="Cambria Math" w:hAnsi="Cambria Math"/>
        </w:rPr>
        <w:t>N=1,2,4,…,256</w:t>
      </w:r>
      <w:r>
        <w:t xml:space="preserve"> </w:t>
      </w:r>
      <w:r>
        <w:t>确定性求解被杀二维游走。独立</w:t>
      </w:r>
      <w:r>
        <w:t>Brownian</w:t>
      </w:r>
      <w:r>
        <w:t>极限由一维区间生存谱的平方积分得到</w:t>
      </w:r>
      <w:r>
        <w:t xml:space="preserve"> </w:t>
      </w:r>
      <w:r>
        <w:rPr>
          <w:rFonts w:ascii="Cambria Math" w:eastAsia="Cambria Math" w:hAnsi="Cambria Math"/>
        </w:rPr>
        <w:t>ET_(\rm ind)=0.884056239375</w:t>
      </w:r>
      <w:r>
        <w:t>；相关极限约为</w:t>
      </w:r>
      <w:r>
        <w:t>0.933236</w:t>
      </w:r>
      <w:r>
        <w:t>，极限差约为</w:t>
      </w:r>
      <w:r>
        <w:t>0.04918</w:t>
      </w:r>
      <w:r>
        <w:t>。最大线性残差为</w:t>
      </w:r>
      <w:r>
        <w:t xml:space="preserve"> </w:t>
      </w:r>
      <w:r>
        <w:rPr>
          <w:rFonts w:ascii="Cambria Math" w:eastAsia="Cambria Math" w:hAnsi="Cambria Math"/>
        </w:rPr>
        <w:t>1.06×10^(-10)</w:t>
      </w:r>
      <w:r>
        <w:t>。值得注意的是，</w:t>
      </w:r>
      <w:r>
        <w:rPr>
          <w:rFonts w:ascii="Cambria Math" w:eastAsia="Cambria Math" w:hAnsi="Cambria Math"/>
        </w:rPr>
        <w:t>N=1</w:t>
      </w:r>
      <w:r>
        <w:t xml:space="preserve"> </w:t>
      </w:r>
      <w:r>
        <w:t>时</w:t>
      </w:r>
    </w:p>
    <w:tbl>
      <w:tblPr>
        <w:tblW w:w="0" w:type="auto"/>
        <w:jc w:val="center"/>
        <w:tblLayout w:type="fixed"/>
        <w:tblLook w:val="04A0" w:firstRow="1" w:lastRow="0" w:firstColumn="1" w:lastColumn="0" w:noHBand="0" w:noVBand="1"/>
      </w:tblPr>
      <w:tblGrid>
        <w:gridCol w:w="8200"/>
        <w:gridCol w:w="800"/>
      </w:tblGrid>
      <w:tr w:rsidR="005302BF" w14:paraId="372DD384" w14:textId="77777777">
        <w:trPr>
          <w:jc w:val="center"/>
        </w:trPr>
        <w:tc>
          <w:tcPr>
            <w:tcW w:w="8200" w:type="dxa"/>
            <w:tcBorders>
              <w:top w:val="nil"/>
              <w:left w:val="nil"/>
              <w:bottom w:val="nil"/>
              <w:right w:val="nil"/>
            </w:tcBorders>
          </w:tcPr>
          <w:p w14:paraId="4FEAC046" w14:textId="67134185" w:rsidR="005302BF" w:rsidRDefault="00BE28FA">
            <w:pPr>
              <w:pStyle w:val="affff7"/>
              <w:spacing w:before="62" w:after="62"/>
              <w:jc w:val="center"/>
            </w:pPr>
            <m:oMathPara>
              <m:oMath>
                <m:sSub>
                  <m:sSubPr>
                    <m:ctrlPr>
                      <w:rPr>
                        <w:rFonts w:ascii="Cambria Math" w:eastAsia="Cambria Math" w:hAnsi="Cambria Math"/>
                        <w:i/>
                      </w:rPr>
                    </m:ctrlPr>
                  </m:sSubPr>
                  <m:e>
                    <m:r>
                      <w:rPr>
                        <w:rFonts w:ascii="Cambria Math" w:eastAsia="Cambria Math" w:hAnsi="Cambria Math"/>
                      </w:rPr>
                      <m:t>Δ</m:t>
                    </m:r>
                  </m:e>
                  <m:sub>
                    <m:r>
                      <w:rPr>
                        <w:rFonts w:ascii="Cambria Math" w:eastAsia="Cambria Math" w:hAnsi="Cambria Math"/>
                      </w:rPr>
                      <m:t>1</m:t>
                    </m:r>
                  </m:sub>
                </m:sSub>
                <m:r>
                  <w:rPr>
                    <w:rFonts w:ascii="Cambria Math" w:eastAsia="Cambria Math" w:hAnsi="Cambria Math"/>
                  </w:rPr>
                  <m:t>=1-</m:t>
                </m:r>
                <m:f>
                  <m:fPr>
                    <m:ctrlPr>
                      <w:rPr>
                        <w:rFonts w:ascii="Cambria Math" w:eastAsia="Cambria Math" w:hAnsi="Cambria Math"/>
                        <w:i/>
                      </w:rPr>
                    </m:ctrlPr>
                  </m:fPr>
                  <m:num>
                    <m:r>
                      <w:rPr>
                        <w:rFonts w:ascii="Cambria Math" w:eastAsia="Cambria Math" w:hAnsi="Cambria Math"/>
                      </w:rPr>
                      <m:t>9</m:t>
                    </m:r>
                  </m:num>
                  <m:den>
                    <m:r>
                      <w:rPr>
                        <w:rFonts w:ascii="Cambria Math" w:eastAsia="Cambria Math" w:hAnsi="Cambria Math"/>
                      </w:rPr>
                      <m:t>8</m:t>
                    </m:r>
                  </m:den>
                </m:f>
                <m:r>
                  <w:rPr>
                    <w:rFonts w:ascii="Cambria Math" w:eastAsia="Cambria Math" w:hAnsi="Cambria Math"/>
                  </w:rPr>
                  <m:t>=-0.125,</m:t>
                </m:r>
              </m:oMath>
            </m:oMathPara>
          </w:p>
        </w:tc>
        <w:tc>
          <w:tcPr>
            <w:tcW w:w="800" w:type="dxa"/>
            <w:tcBorders>
              <w:top w:val="nil"/>
              <w:left w:val="nil"/>
              <w:bottom w:val="nil"/>
              <w:right w:val="nil"/>
            </w:tcBorders>
          </w:tcPr>
          <w:p w14:paraId="7BDF0E20" w14:textId="77777777" w:rsidR="005302BF" w:rsidRDefault="003D6ED6">
            <w:pPr>
              <w:pStyle w:val="affff7"/>
              <w:spacing w:before="62" w:after="62"/>
              <w:jc w:val="right"/>
            </w:pPr>
            <w:r>
              <w:t>(24)</w:t>
            </w:r>
          </w:p>
        </w:tc>
      </w:tr>
    </w:tbl>
    <w:p w14:paraId="74184C63" w14:textId="77777777" w:rsidR="005302BF" w:rsidRDefault="003D6ED6">
      <w:r>
        <w:t>而全部</w:t>
      </w:r>
      <w:r>
        <w:t xml:space="preserve"> </w:t>
      </w:r>
      <w:r>
        <w:rPr>
          <w:rFonts w:ascii="Cambria Math" w:eastAsia="Cambria Math" w:hAnsi="Cambria Math"/>
        </w:rPr>
        <w:t>N≥2</w:t>
      </w:r>
      <w:r>
        <w:t xml:space="preserve"> </w:t>
      </w:r>
      <w:r>
        <w:t>网格点为正。图</w:t>
      </w:r>
      <w:r>
        <w:t>1</w:t>
      </w:r>
      <w:r>
        <w:t>同时显示渐近收敛与有限尺度反例。</w:t>
      </w:r>
    </w:p>
    <w:p w14:paraId="63375F35" w14:textId="77777777" w:rsidR="005302BF" w:rsidRDefault="005302BF">
      <w:pPr>
        <w:sectPr w:rsidR="005302BF">
          <w:type w:val="continuous"/>
          <w:pgSz w:w="11907" w:h="16160"/>
          <w:pgMar w:top="1366" w:right="1134" w:bottom="1366" w:left="1134" w:header="992" w:footer="765" w:gutter="0"/>
          <w:cols w:num="2" w:space="426"/>
          <w:titlePg/>
          <w:docGrid w:type="lines" w:linePitch="312" w:charSpace="1857"/>
        </w:sectPr>
      </w:pPr>
    </w:p>
    <w:p w14:paraId="5E4C6E29" w14:textId="77777777" w:rsidR="005302BF" w:rsidRDefault="003D6ED6">
      <w:pPr>
        <w:jc w:val="center"/>
      </w:pPr>
      <w:r>
        <w:rPr>
          <w:noProof/>
        </w:rPr>
        <w:drawing>
          <wp:inline distT="0" distB="0" distL="0" distR="0" wp14:anchorId="7972803A" wp14:editId="38AE2762">
            <wp:extent cx="5940000" cy="2873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gaussian-bridge.png"/>
                    <pic:cNvPicPr/>
                  </pic:nvPicPr>
                  <pic:blipFill>
                    <a:blip r:embed="rId9"/>
                    <a:stretch>
                      <a:fillRect/>
                    </a:stretch>
                  </pic:blipFill>
                  <pic:spPr>
                    <a:xfrm>
                      <a:off x="0" y="0"/>
                      <a:ext cx="5940000" cy="2873702"/>
                    </a:xfrm>
                    <a:prstGeom prst="rect">
                      <a:avLst/>
                    </a:prstGeom>
                  </pic:spPr>
                </pic:pic>
              </a:graphicData>
            </a:graphic>
          </wp:inline>
        </w:drawing>
      </w:r>
    </w:p>
    <w:p w14:paraId="352B090A" w14:textId="77777777" w:rsidR="005302BF" w:rsidRDefault="003D6ED6">
      <w:pPr>
        <w:pStyle w:val="affffb"/>
      </w:pPr>
      <w:r>
        <w:t>图</w:t>
      </w:r>
      <w:r>
        <w:t xml:space="preserve">1  </w:t>
      </w:r>
      <w:r>
        <w:t>离散停止时间收敛到中心高斯生存序</w:t>
      </w:r>
    </w:p>
    <w:p w14:paraId="4F069EEC" w14:textId="77777777" w:rsidR="005302BF" w:rsidRDefault="005302BF">
      <w:pPr>
        <w:sectPr w:rsidR="005302BF">
          <w:type w:val="continuous"/>
          <w:pgSz w:w="11907" w:h="16160"/>
          <w:pgMar w:top="1366" w:right="1134" w:bottom="1366" w:left="1134" w:header="992" w:footer="765" w:gutter="0"/>
          <w:cols w:space="720"/>
          <w:titlePg/>
          <w:docGrid w:type="lines" w:linePitch="312" w:charSpace="1857"/>
        </w:sectPr>
      </w:pPr>
    </w:p>
    <w:p w14:paraId="4C0B98DA" w14:textId="77777777" w:rsidR="005302BF" w:rsidRDefault="003D6ED6">
      <w:pPr>
        <w:pStyle w:val="3"/>
      </w:pPr>
      <w:r>
        <w:t>6.3</w:t>
      </w:r>
      <w:r>
        <w:t xml:space="preserve">　公开</w:t>
      </w:r>
      <w:r>
        <w:t>Lightning</w:t>
      </w:r>
      <w:r>
        <w:t>拓扑中的混合符号</w:t>
      </w:r>
    </w:p>
    <w:p w14:paraId="73F3CA38" w14:textId="77777777" w:rsidR="005302BF" w:rsidRDefault="003D6ED6">
      <w:r>
        <w:t>历史正式运行包含</w:t>
      </w:r>
      <w:r>
        <w:t>48</w:t>
      </w:r>
      <w:r>
        <w:t>格、每格</w:t>
      </w:r>
      <w:r>
        <w:t>20000</w:t>
      </w:r>
      <w:r>
        <w:t>对轨迹；独立复跑规模相同。</w:t>
      </w:r>
      <w:r>
        <w:t>48/48</w:t>
      </w:r>
      <w:r>
        <w:t>个</w:t>
      </w:r>
      <w:r>
        <w:t>“</w:t>
      </w:r>
      <w:r>
        <w:t>复跑减正式</w:t>
      </w:r>
      <w:r>
        <w:t>”</w:t>
      </w:r>
      <w:r>
        <w:t>同时区间均包含</w:t>
      </w:r>
      <w:r>
        <w:t>0</w:t>
      </w:r>
      <w:r>
        <w:t>，合并后每格</w:t>
      </w:r>
      <w:r>
        <w:t>40000</w:t>
      </w:r>
      <w:r>
        <w:t>对、</w:t>
      </w:r>
      <w:r>
        <w:t>80</w:t>
      </w:r>
      <w:r>
        <w:t>区块，</w:t>
      </w:r>
      <w:r>
        <w:t>48/48</w:t>
      </w:r>
      <w:r>
        <w:t>达到</w:t>
      </w:r>
      <w:r>
        <w:t>0.03</w:t>
      </w:r>
      <w:r>
        <w:t>精度目标。合并效应</w:t>
      </w:r>
      <w:r>
        <w:t>20</w:t>
      </w:r>
      <w:r>
        <w:t>个为正、</w:t>
      </w:r>
      <w:r>
        <w:t>28</w:t>
      </w:r>
      <w:r>
        <w:t>个为负，范围为</w:t>
      </w:r>
      <w:r>
        <w:t xml:space="preserve"> </w:t>
      </w:r>
      <w:r>
        <w:rPr>
          <w:rFonts w:ascii="Cambria Math" w:eastAsia="Cambria Math" w:hAnsi="Cambria Math"/>
        </w:rPr>
        <w:t>[-0.03791,0.02411]</w:t>
      </w:r>
      <w:r>
        <w:t>。</w:t>
      </w:r>
    </w:p>
    <w:p w14:paraId="6AA1BD2E" w14:textId="77777777" w:rsidR="005302BF" w:rsidRDefault="003D6ED6">
      <w:r>
        <w:t>2026</w:t>
      </w:r>
      <w:r>
        <w:t>过滤投影正式运行包含</w:t>
      </w:r>
      <w:r>
        <w:t>16</w:t>
      </w:r>
      <w:r>
        <w:t>格、每格</w:t>
      </w:r>
      <w:r>
        <w:t>55200</w:t>
      </w:r>
      <w:r>
        <w:t>对轨迹，</w:t>
      </w:r>
      <w:r>
        <w:t>15/16</w:t>
      </w:r>
      <w:r>
        <w:t>通过</w:t>
      </w:r>
      <w:r>
        <w:t>0.03</w:t>
      </w:r>
      <w:r>
        <w:t>精度门；复跑</w:t>
      </w:r>
      <w:r>
        <w:t>16/16</w:t>
      </w:r>
      <w:r>
        <w:t>通过。</w:t>
      </w:r>
      <w:r>
        <w:t>16/16</w:t>
      </w:r>
      <w:r>
        <w:t>个直接比较同时区间包含</w:t>
      </w:r>
      <w:r>
        <w:t>0</w:t>
      </w:r>
      <w:r>
        <w:t>，合并后每格</w:t>
      </w:r>
      <w:r>
        <w:t>110400</w:t>
      </w:r>
      <w:r>
        <w:t>对、</w:t>
      </w:r>
      <w:r>
        <w:t>80</w:t>
      </w:r>
      <w:r>
        <w:t>区块，效应</w:t>
      </w:r>
      <w:r>
        <w:t>9</w:t>
      </w:r>
      <w:r>
        <w:t>个为正、</w:t>
      </w:r>
      <w:r>
        <w:t>7</w:t>
      </w:r>
      <w:r>
        <w:t>个为负，范围为</w:t>
      </w:r>
      <w:r>
        <w:t xml:space="preserve"> </w:t>
      </w:r>
      <w:r>
        <w:rPr>
          <w:rFonts w:ascii="Cambria Math" w:eastAsia="Cambria Math" w:hAnsi="Cambria Math"/>
        </w:rPr>
        <w:t>[-0.03199,0.04366]</w:t>
      </w:r>
      <w:r>
        <w:t>。历史与当前投影均否定</w:t>
      </w:r>
      <w:r>
        <w:t>“</w:t>
      </w:r>
      <w:r>
        <w:t>有限尺度效应普遍为正</w:t>
      </w:r>
      <w:r>
        <w:t>”</w:t>
      </w:r>
      <w:r>
        <w:t>的外推。</w:t>
      </w:r>
    </w:p>
    <w:p w14:paraId="59E36AD8" w14:textId="77777777" w:rsidR="005302BF" w:rsidRDefault="003D6ED6">
      <w:r>
        <w:t>原始历史正式运行和复跑的最大同时半宽分别为</w:t>
      </w:r>
      <w:r>
        <w:t>0.03405</w:t>
      </w:r>
      <w:r>
        <w:t>和</w:t>
      </w:r>
      <w:r>
        <w:t>0.03716</w:t>
      </w:r>
      <w:r>
        <w:t>，均未完全通过</w:t>
      </w:r>
      <w:r>
        <w:t>0.03</w:t>
      </w:r>
      <w:r>
        <w:t>门；</w:t>
      </w:r>
      <w:r>
        <w:t>2026</w:t>
      </w:r>
      <w:r>
        <w:t>正式运行的最大半宽为</w:t>
      </w:r>
      <w:r>
        <w:t>0.03332</w:t>
      </w:r>
      <w:r>
        <w:t>，也未完全通过。合并分析提高了精度，但不能抹除原始门失败，故正文只报告冻结设计内的混合符号与复跑一致性。</w:t>
      </w:r>
    </w:p>
    <w:p w14:paraId="0486D835" w14:textId="77777777" w:rsidR="005302BF" w:rsidRDefault="003D6ED6">
      <w:pPr>
        <w:pStyle w:val="3"/>
      </w:pPr>
      <w:r>
        <w:t>6.4</w:t>
      </w:r>
      <w:r>
        <w:t xml:space="preserve">　热点需求的符号机制</w:t>
      </w:r>
    </w:p>
    <w:p w14:paraId="442126C5" w14:textId="77777777" w:rsidR="005302BF" w:rsidRDefault="003D6ED6">
      <w:r>
        <w:t>将式</w:t>
      </w:r>
      <w:r>
        <w:t>(22)</w:t>
      </w:r>
      <w:r>
        <w:t>应用于</w:t>
      </w:r>
      <w:r>
        <w:t>4</w:t>
      </w:r>
      <w:r>
        <w:t>个日期、每日期</w:t>
      </w:r>
      <w:r>
        <w:t>2</w:t>
      </w:r>
      <w:r>
        <w:t>个冻结锚点，共得到</w:t>
      </w:r>
      <w:r>
        <w:t>80</w:t>
      </w:r>
      <w:r>
        <w:t>个实验单元、</w:t>
      </w:r>
      <w:r>
        <w:t>3200</w:t>
      </w:r>
      <w:r>
        <w:t>个非重叠区块和</w:t>
      </w:r>
      <w:r>
        <w:t>80</w:t>
      </w:r>
      <w:r>
        <w:t>个唯一种子。主要结果见表</w:t>
      </w:r>
      <w:r>
        <w:t>2</w:t>
      </w:r>
      <w:r>
        <w:t>与图</w:t>
      </w:r>
      <w:r>
        <w:t>2</w:t>
      </w:r>
      <w:r>
        <w:t>。</w:t>
      </w:r>
    </w:p>
    <w:p w14:paraId="46D93247" w14:textId="77777777" w:rsidR="005302BF" w:rsidRDefault="003D6ED6">
      <w:pPr>
        <w:pStyle w:val="affff4"/>
        <w:ind w:firstLine="361"/>
        <w:jc w:val="center"/>
      </w:pPr>
      <w:r>
        <w:rPr>
          <w:b/>
        </w:rPr>
        <w:t>表</w:t>
      </w:r>
      <w:r>
        <w:rPr>
          <w:b/>
        </w:rPr>
        <w:t>2</w:t>
      </w:r>
      <w:r>
        <w:rPr>
          <w:b/>
        </w:rPr>
        <w:t xml:space="preserve">　均匀</w:t>
      </w:r>
      <w:r>
        <w:rPr>
          <w:b/>
        </w:rPr>
        <w:t>—</w:t>
      </w:r>
      <w:r>
        <w:rPr>
          <w:b/>
        </w:rPr>
        <w:t>热点需求插值的归一化停止时间效应</w:t>
      </w:r>
    </w:p>
    <w:p w14:paraId="156A980D" w14:textId="77777777" w:rsidR="005302BF" w:rsidRDefault="005302BF">
      <w:pPr>
        <w:sectPr w:rsidR="005302BF">
          <w:type w:val="continuous"/>
          <w:pgSz w:w="11907" w:h="16160"/>
          <w:pgMar w:top="1366" w:right="1134" w:bottom="1366" w:left="1134" w:header="992" w:footer="765" w:gutter="0"/>
          <w:cols w:num="2" w:space="426"/>
          <w:titlePg/>
          <w:docGrid w:type="lines" w:linePitch="312" w:charSpace="1857"/>
        </w:sectPr>
      </w:pPr>
    </w:p>
    <w:tbl>
      <w:tblPr>
        <w:tblW w:w="0" w:type="auto"/>
        <w:jc w:val="center"/>
        <w:tblLook w:val="04A0" w:firstRow="1" w:lastRow="0" w:firstColumn="1" w:lastColumn="0" w:noHBand="0" w:noVBand="1"/>
      </w:tblPr>
      <w:tblGrid>
        <w:gridCol w:w="3213"/>
        <w:gridCol w:w="3213"/>
        <w:gridCol w:w="3213"/>
      </w:tblGrid>
      <w:tr w:rsidR="005302BF" w14:paraId="186A5B35" w14:textId="77777777">
        <w:trPr>
          <w:jc w:val="center"/>
        </w:trPr>
        <w:tc>
          <w:tcPr>
            <w:tcW w:w="3213" w:type="dxa"/>
            <w:tcBorders>
              <w:top w:val="single" w:sz="8" w:space="0" w:color="000000"/>
              <w:left w:val="nil"/>
              <w:bottom w:val="single" w:sz="4" w:space="0" w:color="000000"/>
              <w:right w:val="nil"/>
            </w:tcBorders>
            <w:vAlign w:val="center"/>
          </w:tcPr>
          <w:p w14:paraId="3557DE6D" w14:textId="77777777" w:rsidR="005302BF" w:rsidRDefault="003D6ED6">
            <w:pPr>
              <w:jc w:val="center"/>
            </w:pPr>
            <w:r>
              <w:rPr>
                <w:b/>
              </w:rPr>
              <w:t>热点权重</w:t>
            </w:r>
            <w:r>
              <w:rPr>
                <w:b/>
              </w:rPr>
              <w:t xml:space="preserve"> </w:t>
            </w:r>
            <w:r>
              <w:rPr>
                <w:rFonts w:ascii="Cambria Math" w:eastAsia="Cambria Math" w:hAnsi="Cambria Math"/>
                <w:b/>
              </w:rPr>
              <w:t>λ</w:t>
            </w:r>
          </w:p>
        </w:tc>
        <w:tc>
          <w:tcPr>
            <w:tcW w:w="3213" w:type="dxa"/>
            <w:tcBorders>
              <w:top w:val="single" w:sz="8" w:space="0" w:color="000000"/>
              <w:left w:val="nil"/>
              <w:bottom w:val="single" w:sz="4" w:space="0" w:color="000000"/>
              <w:right w:val="nil"/>
            </w:tcBorders>
            <w:vAlign w:val="center"/>
          </w:tcPr>
          <w:p w14:paraId="06FCBBD1" w14:textId="77777777" w:rsidR="005302BF" w:rsidRDefault="003D6ED6">
            <w:pPr>
              <w:jc w:val="center"/>
            </w:pPr>
            <w:r>
              <w:rPr>
                <w:b/>
              </w:rPr>
              <w:t>平均效应</w:t>
            </w:r>
          </w:p>
        </w:tc>
        <w:tc>
          <w:tcPr>
            <w:tcW w:w="3213" w:type="dxa"/>
            <w:tcBorders>
              <w:top w:val="single" w:sz="8" w:space="0" w:color="000000"/>
              <w:left w:val="nil"/>
              <w:bottom w:val="single" w:sz="4" w:space="0" w:color="000000"/>
              <w:right w:val="nil"/>
            </w:tcBorders>
            <w:vAlign w:val="center"/>
          </w:tcPr>
          <w:p w14:paraId="28BDE797" w14:textId="77777777" w:rsidR="005302BF" w:rsidRDefault="003D6ED6">
            <w:pPr>
              <w:jc w:val="center"/>
            </w:pPr>
            <w:r>
              <w:rPr>
                <w:b/>
              </w:rPr>
              <w:t>95%</w:t>
            </w:r>
            <w:r>
              <w:rPr>
                <w:b/>
              </w:rPr>
              <w:t>五重同时区间</w:t>
            </w:r>
          </w:p>
        </w:tc>
      </w:tr>
      <w:tr w:rsidR="005302BF" w14:paraId="7D662B5B" w14:textId="77777777">
        <w:trPr>
          <w:jc w:val="center"/>
        </w:trPr>
        <w:tc>
          <w:tcPr>
            <w:tcW w:w="3213" w:type="dxa"/>
            <w:tcBorders>
              <w:top w:val="nil"/>
              <w:left w:val="nil"/>
              <w:bottom w:val="nil"/>
              <w:right w:val="nil"/>
            </w:tcBorders>
            <w:vAlign w:val="center"/>
          </w:tcPr>
          <w:p w14:paraId="4339C171" w14:textId="77777777" w:rsidR="005302BF" w:rsidRDefault="003D6ED6">
            <w:pPr>
              <w:jc w:val="center"/>
            </w:pPr>
            <w:r>
              <w:t>0</w:t>
            </w:r>
          </w:p>
        </w:tc>
        <w:tc>
          <w:tcPr>
            <w:tcW w:w="3213" w:type="dxa"/>
            <w:tcBorders>
              <w:top w:val="nil"/>
              <w:left w:val="nil"/>
              <w:bottom w:val="nil"/>
              <w:right w:val="nil"/>
            </w:tcBorders>
            <w:vAlign w:val="center"/>
          </w:tcPr>
          <w:p w14:paraId="19BEE6F1" w14:textId="77777777" w:rsidR="005302BF" w:rsidRDefault="003D6ED6">
            <w:pPr>
              <w:jc w:val="center"/>
            </w:pPr>
            <w:r>
              <w:t>0.01206234</w:t>
            </w:r>
          </w:p>
        </w:tc>
        <w:tc>
          <w:tcPr>
            <w:tcW w:w="3213" w:type="dxa"/>
            <w:tcBorders>
              <w:top w:val="nil"/>
              <w:left w:val="nil"/>
              <w:bottom w:val="nil"/>
              <w:right w:val="nil"/>
            </w:tcBorders>
            <w:vAlign w:val="center"/>
          </w:tcPr>
          <w:p w14:paraId="4BAE6BB0" w14:textId="77777777" w:rsidR="005302BF" w:rsidRDefault="003D6ED6">
            <w:pPr>
              <w:jc w:val="center"/>
            </w:pPr>
            <w:r>
              <w:t>[0.00728626, 0.01683841]</w:t>
            </w:r>
          </w:p>
        </w:tc>
      </w:tr>
      <w:tr w:rsidR="005302BF" w14:paraId="01641176" w14:textId="77777777">
        <w:trPr>
          <w:jc w:val="center"/>
        </w:trPr>
        <w:tc>
          <w:tcPr>
            <w:tcW w:w="3213" w:type="dxa"/>
            <w:tcBorders>
              <w:top w:val="nil"/>
              <w:left w:val="nil"/>
              <w:bottom w:val="nil"/>
              <w:right w:val="nil"/>
            </w:tcBorders>
            <w:vAlign w:val="center"/>
          </w:tcPr>
          <w:p w14:paraId="539A3BE4" w14:textId="77777777" w:rsidR="005302BF" w:rsidRDefault="003D6ED6">
            <w:pPr>
              <w:jc w:val="center"/>
            </w:pPr>
            <w:r>
              <w:t>0.25</w:t>
            </w:r>
          </w:p>
        </w:tc>
        <w:tc>
          <w:tcPr>
            <w:tcW w:w="3213" w:type="dxa"/>
            <w:tcBorders>
              <w:top w:val="nil"/>
              <w:left w:val="nil"/>
              <w:bottom w:val="nil"/>
              <w:right w:val="nil"/>
            </w:tcBorders>
            <w:vAlign w:val="center"/>
          </w:tcPr>
          <w:p w14:paraId="5EF88127" w14:textId="77777777" w:rsidR="005302BF" w:rsidRDefault="003D6ED6">
            <w:pPr>
              <w:jc w:val="center"/>
            </w:pPr>
            <w:r>
              <w:t>-0.00171295</w:t>
            </w:r>
          </w:p>
        </w:tc>
        <w:tc>
          <w:tcPr>
            <w:tcW w:w="3213" w:type="dxa"/>
            <w:tcBorders>
              <w:top w:val="nil"/>
              <w:left w:val="nil"/>
              <w:bottom w:val="nil"/>
              <w:right w:val="nil"/>
            </w:tcBorders>
            <w:vAlign w:val="center"/>
          </w:tcPr>
          <w:p w14:paraId="7E7FA183" w14:textId="77777777" w:rsidR="005302BF" w:rsidRDefault="003D6ED6">
            <w:pPr>
              <w:jc w:val="center"/>
            </w:pPr>
            <w:r>
              <w:t>[-0.00612948, 0.00270358]</w:t>
            </w:r>
          </w:p>
        </w:tc>
      </w:tr>
      <w:tr w:rsidR="005302BF" w14:paraId="3B865C09" w14:textId="77777777">
        <w:trPr>
          <w:jc w:val="center"/>
        </w:trPr>
        <w:tc>
          <w:tcPr>
            <w:tcW w:w="3213" w:type="dxa"/>
            <w:tcBorders>
              <w:top w:val="nil"/>
              <w:left w:val="nil"/>
              <w:bottom w:val="nil"/>
              <w:right w:val="nil"/>
            </w:tcBorders>
            <w:vAlign w:val="center"/>
          </w:tcPr>
          <w:p w14:paraId="76FE7A83" w14:textId="77777777" w:rsidR="005302BF" w:rsidRDefault="003D6ED6">
            <w:pPr>
              <w:jc w:val="center"/>
            </w:pPr>
            <w:r>
              <w:t>0.5</w:t>
            </w:r>
          </w:p>
        </w:tc>
        <w:tc>
          <w:tcPr>
            <w:tcW w:w="3213" w:type="dxa"/>
            <w:tcBorders>
              <w:top w:val="nil"/>
              <w:left w:val="nil"/>
              <w:bottom w:val="nil"/>
              <w:right w:val="nil"/>
            </w:tcBorders>
            <w:vAlign w:val="center"/>
          </w:tcPr>
          <w:p w14:paraId="1BAED899" w14:textId="77777777" w:rsidR="005302BF" w:rsidRDefault="003D6ED6">
            <w:pPr>
              <w:jc w:val="center"/>
            </w:pPr>
            <w:r>
              <w:t>-0.02160042</w:t>
            </w:r>
          </w:p>
        </w:tc>
        <w:tc>
          <w:tcPr>
            <w:tcW w:w="3213" w:type="dxa"/>
            <w:tcBorders>
              <w:top w:val="nil"/>
              <w:left w:val="nil"/>
              <w:bottom w:val="nil"/>
              <w:right w:val="nil"/>
            </w:tcBorders>
            <w:vAlign w:val="center"/>
          </w:tcPr>
          <w:p w14:paraId="1DB81EE8" w14:textId="77777777" w:rsidR="005302BF" w:rsidRDefault="003D6ED6">
            <w:pPr>
              <w:jc w:val="center"/>
            </w:pPr>
            <w:r>
              <w:t>[-0.02533608, -0.01786475]</w:t>
            </w:r>
          </w:p>
        </w:tc>
      </w:tr>
      <w:tr w:rsidR="005302BF" w14:paraId="798C8E97" w14:textId="77777777">
        <w:trPr>
          <w:jc w:val="center"/>
        </w:trPr>
        <w:tc>
          <w:tcPr>
            <w:tcW w:w="3213" w:type="dxa"/>
            <w:tcBorders>
              <w:top w:val="nil"/>
              <w:left w:val="nil"/>
              <w:bottom w:val="nil"/>
              <w:right w:val="nil"/>
            </w:tcBorders>
            <w:vAlign w:val="center"/>
          </w:tcPr>
          <w:p w14:paraId="2C859020" w14:textId="77777777" w:rsidR="005302BF" w:rsidRDefault="003D6ED6">
            <w:pPr>
              <w:jc w:val="center"/>
            </w:pPr>
            <w:r>
              <w:t>0.75</w:t>
            </w:r>
          </w:p>
        </w:tc>
        <w:tc>
          <w:tcPr>
            <w:tcW w:w="3213" w:type="dxa"/>
            <w:tcBorders>
              <w:top w:val="nil"/>
              <w:left w:val="nil"/>
              <w:bottom w:val="nil"/>
              <w:right w:val="nil"/>
            </w:tcBorders>
            <w:vAlign w:val="center"/>
          </w:tcPr>
          <w:p w14:paraId="1AF6E0B6" w14:textId="77777777" w:rsidR="005302BF" w:rsidRDefault="003D6ED6">
            <w:pPr>
              <w:jc w:val="center"/>
            </w:pPr>
            <w:r>
              <w:t>-0.02591454</w:t>
            </w:r>
          </w:p>
        </w:tc>
        <w:tc>
          <w:tcPr>
            <w:tcW w:w="3213" w:type="dxa"/>
            <w:tcBorders>
              <w:top w:val="nil"/>
              <w:left w:val="nil"/>
              <w:bottom w:val="nil"/>
              <w:right w:val="nil"/>
            </w:tcBorders>
            <w:vAlign w:val="center"/>
          </w:tcPr>
          <w:p w14:paraId="0C176BBB" w14:textId="77777777" w:rsidR="005302BF" w:rsidRDefault="003D6ED6">
            <w:pPr>
              <w:jc w:val="center"/>
            </w:pPr>
            <w:r>
              <w:t>[-0.02874431, -0.02308477]</w:t>
            </w:r>
          </w:p>
        </w:tc>
      </w:tr>
      <w:tr w:rsidR="005302BF" w14:paraId="11072FFA" w14:textId="77777777">
        <w:trPr>
          <w:jc w:val="center"/>
        </w:trPr>
        <w:tc>
          <w:tcPr>
            <w:tcW w:w="3213" w:type="dxa"/>
            <w:tcBorders>
              <w:top w:val="nil"/>
              <w:left w:val="nil"/>
              <w:bottom w:val="single" w:sz="8" w:space="0" w:color="000000"/>
              <w:right w:val="nil"/>
            </w:tcBorders>
            <w:vAlign w:val="center"/>
          </w:tcPr>
          <w:p w14:paraId="204736C3" w14:textId="77777777" w:rsidR="005302BF" w:rsidRDefault="003D6ED6">
            <w:pPr>
              <w:jc w:val="center"/>
            </w:pPr>
            <w:r>
              <w:t>1</w:t>
            </w:r>
          </w:p>
        </w:tc>
        <w:tc>
          <w:tcPr>
            <w:tcW w:w="3213" w:type="dxa"/>
            <w:tcBorders>
              <w:top w:val="nil"/>
              <w:left w:val="nil"/>
              <w:bottom w:val="single" w:sz="8" w:space="0" w:color="000000"/>
              <w:right w:val="nil"/>
            </w:tcBorders>
            <w:vAlign w:val="center"/>
          </w:tcPr>
          <w:p w14:paraId="670C8CB6" w14:textId="77777777" w:rsidR="005302BF" w:rsidRDefault="003D6ED6">
            <w:pPr>
              <w:jc w:val="center"/>
            </w:pPr>
            <w:r>
              <w:t>-0.02440859</w:t>
            </w:r>
          </w:p>
        </w:tc>
        <w:tc>
          <w:tcPr>
            <w:tcW w:w="3213" w:type="dxa"/>
            <w:tcBorders>
              <w:top w:val="nil"/>
              <w:left w:val="nil"/>
              <w:bottom w:val="single" w:sz="8" w:space="0" w:color="000000"/>
              <w:right w:val="nil"/>
            </w:tcBorders>
            <w:vAlign w:val="center"/>
          </w:tcPr>
          <w:p w14:paraId="677F12F5" w14:textId="77777777" w:rsidR="005302BF" w:rsidRDefault="003D6ED6">
            <w:pPr>
              <w:jc w:val="center"/>
            </w:pPr>
            <w:r>
              <w:t>[-0.02717784, -0.02163934]</w:t>
            </w:r>
          </w:p>
        </w:tc>
      </w:tr>
    </w:tbl>
    <w:p w14:paraId="5BC83DAB" w14:textId="77777777" w:rsidR="005302BF" w:rsidRDefault="005302BF">
      <w:pPr>
        <w:sectPr w:rsidR="005302BF">
          <w:type w:val="continuous"/>
          <w:pgSz w:w="11907" w:h="16160"/>
          <w:pgMar w:top="1366" w:right="1134" w:bottom="1366" w:left="1134" w:header="992" w:footer="765" w:gutter="0"/>
          <w:cols w:space="720"/>
          <w:titlePg/>
          <w:docGrid w:type="lines" w:linePitch="312" w:charSpace="1857"/>
        </w:sectPr>
      </w:pPr>
    </w:p>
    <w:p w14:paraId="2BF2BDA3" w14:textId="77777777" w:rsidR="005302BF" w:rsidRDefault="003D6ED6">
      <w:r>
        <w:t>八锚点固定平均斜率为</w:t>
      </w:r>
      <w:r>
        <w:t xml:space="preserve"> </w:t>
      </w:r>
      <w:r>
        <w:rPr>
          <w:rFonts w:ascii="Cambria Math" w:eastAsia="Cambria Math" w:hAnsi="Cambria Math"/>
        </w:rPr>
        <w:t>-0.03885738</w:t>
      </w:r>
      <w:r>
        <w:t>，</w:t>
      </w:r>
      <w:r>
        <w:t>95%</w:t>
      </w:r>
      <w:r>
        <w:t>区间为</w:t>
      </w:r>
      <w:r>
        <w:t xml:space="preserve"> </w:t>
      </w:r>
      <w:r>
        <w:rPr>
          <w:rFonts w:ascii="Cambria Math" w:eastAsia="Cambria Math" w:hAnsi="Cambria Math"/>
        </w:rPr>
        <w:t>[-0.04226866,-0.03544609]</w:t>
      </w:r>
      <w:r>
        <w:t>；</w:t>
      </w:r>
      <w:r>
        <w:rPr>
          <w:rFonts w:ascii="Cambria Math" w:eastAsia="Cambria Math" w:hAnsi="Cambria Math"/>
        </w:rPr>
        <w:t>λ=1</w:t>
      </w:r>
      <w:r>
        <w:t xml:space="preserve"> </w:t>
      </w:r>
      <w:r>
        <w:t>减</w:t>
      </w:r>
      <w:r>
        <w:t xml:space="preserve"> </w:t>
      </w:r>
      <w:r>
        <w:rPr>
          <w:rFonts w:ascii="Cambria Math" w:eastAsia="Cambria Math" w:hAnsi="Cambria Math"/>
        </w:rPr>
        <w:t>λ=0</w:t>
      </w:r>
      <w:r>
        <w:t xml:space="preserve"> </w:t>
      </w:r>
      <w:r>
        <w:t>的端点</w:t>
      </w:r>
      <w:r>
        <w:lastRenderedPageBreak/>
        <w:t>差为</w:t>
      </w:r>
      <w:r>
        <w:t xml:space="preserve"> </w:t>
      </w:r>
      <w:r>
        <w:rPr>
          <w:rFonts w:ascii="Cambria Math" w:eastAsia="Cambria Math" w:hAnsi="Cambria Math"/>
        </w:rPr>
        <w:t>-0.03647093</w:t>
      </w:r>
      <w:r>
        <w:t>，区间为</w:t>
      </w:r>
      <w:r>
        <w:t xml:space="preserve"> </w:t>
      </w:r>
      <w:r>
        <w:rPr>
          <w:rFonts w:ascii="Cambria Math" w:eastAsia="Cambria Math" w:hAnsi="Cambria Math"/>
        </w:rPr>
        <w:t>[-0.04034092,-0.03260094]</w:t>
      </w:r>
      <w:r>
        <w:t>。</w:t>
      </w:r>
      <w:r>
        <w:t>8/8</w:t>
      </w:r>
      <w:r>
        <w:t>锚点和</w:t>
      </w:r>
      <w:r>
        <w:t>4/4</w:t>
      </w:r>
      <w:r>
        <w:t>日期的斜率点估计为负，但</w:t>
      </w:r>
      <w:r>
        <w:t>2020</w:t>
      </w:r>
      <w:r>
        <w:t>主锚点的八重同时区间</w:t>
      </w:r>
      <w:r>
        <w:t>跨</w:t>
      </w:r>
      <w:r>
        <w:t>0</w:t>
      </w:r>
      <w:r>
        <w:t>，四日期精确双侧符号检验仅为</w:t>
      </w:r>
      <w:r>
        <w:t xml:space="preserve"> </w:t>
      </w:r>
      <w:r>
        <w:rPr>
          <w:rFonts w:ascii="Cambria Math" w:eastAsia="Cambria Math" w:hAnsi="Cambria Math"/>
        </w:rPr>
        <w:t>p=0.125</w:t>
      </w:r>
      <w:r>
        <w:t>。因此，可以主张固定八锚点总体斜率为负，不能主张每个锚点分别显著或对一般日期总体显著。</w:t>
      </w:r>
    </w:p>
    <w:p w14:paraId="1A61DB00" w14:textId="77777777" w:rsidR="005302BF" w:rsidRDefault="005302BF">
      <w:pPr>
        <w:sectPr w:rsidR="005302BF">
          <w:type w:val="continuous"/>
          <w:pgSz w:w="11907" w:h="16160"/>
          <w:pgMar w:top="1366" w:right="1134" w:bottom="1366" w:left="1134" w:header="992" w:footer="765" w:gutter="0"/>
          <w:cols w:num="2" w:space="426"/>
          <w:titlePg/>
          <w:docGrid w:type="lines" w:linePitch="312" w:charSpace="1857"/>
        </w:sectPr>
      </w:pPr>
    </w:p>
    <w:p w14:paraId="371B5F19" w14:textId="77777777" w:rsidR="005302BF" w:rsidRDefault="003D6ED6">
      <w:pPr>
        <w:jc w:val="center"/>
      </w:pPr>
      <w:r>
        <w:rPr>
          <w:noProof/>
        </w:rPr>
        <w:drawing>
          <wp:inline distT="0" distB="0" distL="0" distR="0" wp14:anchorId="0C29AD40" wp14:editId="35E83124">
            <wp:extent cx="5940000" cy="2522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mechanism-closure.png"/>
                    <pic:cNvPicPr/>
                  </pic:nvPicPr>
                  <pic:blipFill>
                    <a:blip r:embed="rId10"/>
                    <a:stretch>
                      <a:fillRect/>
                    </a:stretch>
                  </pic:blipFill>
                  <pic:spPr>
                    <a:xfrm>
                      <a:off x="0" y="0"/>
                      <a:ext cx="5940000" cy="2522336"/>
                    </a:xfrm>
                    <a:prstGeom prst="rect">
                      <a:avLst/>
                    </a:prstGeom>
                  </pic:spPr>
                </pic:pic>
              </a:graphicData>
            </a:graphic>
          </wp:inline>
        </w:drawing>
      </w:r>
    </w:p>
    <w:p w14:paraId="301C2297" w14:textId="77777777" w:rsidR="005302BF" w:rsidRDefault="003D6ED6">
      <w:pPr>
        <w:pStyle w:val="affffb"/>
      </w:pPr>
      <w:r>
        <w:t>图</w:t>
      </w:r>
      <w:r>
        <w:t xml:space="preserve">2  </w:t>
      </w:r>
      <w:r>
        <w:t>热点需求权重与停止时间效应的符号变化</w:t>
      </w:r>
    </w:p>
    <w:p w14:paraId="4267D2E5" w14:textId="77777777" w:rsidR="005302BF" w:rsidRDefault="005302BF">
      <w:pPr>
        <w:sectPr w:rsidR="005302BF">
          <w:type w:val="continuous"/>
          <w:pgSz w:w="11907" w:h="16160"/>
          <w:pgMar w:top="1366" w:right="1134" w:bottom="1366" w:left="1134" w:header="992" w:footer="765" w:gutter="0"/>
          <w:cols w:space="720"/>
          <w:titlePg/>
          <w:docGrid w:type="lines" w:linePitch="312" w:charSpace="1857"/>
        </w:sectPr>
      </w:pPr>
    </w:p>
    <w:p w14:paraId="24128571" w14:textId="77777777" w:rsidR="005302BF" w:rsidRDefault="003D6ED6">
      <w:pPr>
        <w:pStyle w:val="3"/>
      </w:pPr>
      <w:r>
        <w:t>6.5</w:t>
      </w:r>
      <w:r>
        <w:t xml:space="preserve">　停止事件索引核查</w:t>
      </w:r>
    </w:p>
    <w:p w14:paraId="75960941" w14:textId="77777777" w:rsidR="005302BF" w:rsidRDefault="003D6ED6">
      <w:r>
        <w:t>在两个双向通道、</w:t>
      </w:r>
      <w:r>
        <w:t>6</w:t>
      </w:r>
      <w:r>
        <w:t>条单位路由的系统中，穷举</w:t>
      </w:r>
      <w:r>
        <w:t xml:space="preserve"> </w:t>
      </w:r>
      <w:r>
        <w:rPr>
          <w:rFonts w:ascii="Cambria Math" w:eastAsia="Cambria Math" w:hAnsi="Cambria Math"/>
        </w:rPr>
        <w:t>N=1,2,3</w:t>
      </w:r>
      <w:r>
        <w:t xml:space="preserve"> </w:t>
      </w:r>
      <w:r>
        <w:t>和长度</w:t>
      </w:r>
      <w:r>
        <w:t>6</w:t>
      </w:r>
      <w:r>
        <w:t>的</w:t>
      </w:r>
      <w:r>
        <w:t>139968</w:t>
      </w:r>
      <w:r>
        <w:t>个</w:t>
      </w:r>
      <w:r>
        <w:t>“</w:t>
      </w:r>
      <w:r>
        <w:t>尺度</w:t>
      </w:r>
      <w:r>
        <w:t>—</w:t>
      </w:r>
      <w:r>
        <w:t>请求序列</w:t>
      </w:r>
      <w:r>
        <w:t>”</w:t>
      </w:r>
      <w:r>
        <w:t>案例。</w:t>
      </w:r>
      <w:r>
        <w:t>110308</w:t>
      </w:r>
      <w:r>
        <w:t>条序列在窗口内触边，</w:t>
      </w:r>
      <w:r>
        <w:t>71688</w:t>
      </w:r>
      <w:r>
        <w:t>条在继续运行时出现余额拒绝；未发现</w:t>
      </w:r>
      <w:r>
        <w:t xml:space="preserve"> </w:t>
      </w:r>
      <w:r>
        <w:rPr>
          <w:rFonts w:ascii="Cambria Math" w:eastAsia="Cambria Math" w:hAnsi="Cambria Math"/>
        </w:rPr>
        <w:t>ρ_(\rm bal)≤τ_N</w:t>
      </w:r>
      <w:r>
        <w:t xml:space="preserve"> </w:t>
      </w:r>
      <w:r>
        <w:t>的违例。穷举还显式构造了触边后下一笔拒绝、策略拒绝早于触边、反向流恢复且窗口内无拒绝三类见证。该实验核查定义和时间索引，不是现实</w:t>
      </w:r>
      <w:r>
        <w:t>Lightning</w:t>
      </w:r>
      <w:r>
        <w:t>失败率验证。</w:t>
      </w:r>
    </w:p>
    <w:p w14:paraId="17EDEE37" w14:textId="77777777" w:rsidR="005302BF" w:rsidRDefault="003D6ED6">
      <w:pPr>
        <w:pStyle w:val="2"/>
      </w:pPr>
      <w:r>
        <w:t>7</w:t>
      </w:r>
      <w:r>
        <w:t xml:space="preserve">　讨论</w:t>
      </w:r>
    </w:p>
    <w:p w14:paraId="1DD8612A" w14:textId="77777777" w:rsidR="005302BF" w:rsidRDefault="003D6ED6">
      <w:pPr>
        <w:pStyle w:val="3"/>
      </w:pPr>
      <w:r>
        <w:t>7.1</w:t>
      </w:r>
      <w:r>
        <w:t xml:space="preserve">　极限非负序与有限尺度变号并不矛盾</w:t>
      </w:r>
    </w:p>
    <w:p w14:paraId="1114500B" w14:textId="77777777" w:rsidR="005302BF" w:rsidRDefault="003D6ED6">
      <w:r>
        <w:t>定理</w:t>
      </w:r>
      <w:r>
        <w:t>5</w:t>
      </w:r>
      <w:r>
        <w:t>依赖中心高斯过程和中心对称安全箱。热点需求引入非零漂移后，去漂移安全域随时间移动且不再中心对称，高斯相关不等式不再提供符号序。同时，固定非零漂移的典型退出尺度由</w:t>
      </w:r>
      <w:r>
        <w:t xml:space="preserve"> </w:t>
      </w:r>
      <w:r>
        <w:rPr>
          <w:rFonts w:ascii="Cambria Math" w:eastAsia="Cambria Math" w:hAnsi="Cambria Math"/>
        </w:rPr>
        <w:t>N^2</w:t>
      </w:r>
      <w:r>
        <w:t xml:space="preserve"> </w:t>
      </w:r>
      <w:r>
        <w:t>转为</w:t>
      </w:r>
      <w:r>
        <w:t xml:space="preserve"> </w:t>
      </w:r>
      <w:r>
        <w:rPr>
          <w:rFonts w:ascii="Cambria Math" w:eastAsia="Cambria Math" w:hAnsi="Cambria Math"/>
        </w:rPr>
        <w:t>N</w:t>
      </w:r>
      <w:r>
        <w:t>，有限</w:t>
      </w:r>
      <w:r>
        <w:t xml:space="preserve"> </w:t>
      </w:r>
      <w:r>
        <w:rPr>
          <w:rFonts w:ascii="Cambria Math" w:eastAsia="Cambria Math" w:hAnsi="Cambria Math"/>
        </w:rPr>
        <w:t>N</w:t>
      </w:r>
      <w:r>
        <w:t xml:space="preserve"> </w:t>
      </w:r>
      <w:r>
        <w:t>处于漂移与扩散竞争区。因而，图</w:t>
      </w:r>
      <w:r>
        <w:t>1</w:t>
      </w:r>
      <w:r>
        <w:t>中的零漂移极限正差和图</w:t>
      </w:r>
      <w:r>
        <w:t>2</w:t>
      </w:r>
      <w:r>
        <w:t>中的热点负差描述的是不同假设下的现象。</w:t>
      </w:r>
    </w:p>
    <w:p w14:paraId="534F69EC" w14:textId="77777777" w:rsidR="005302BF" w:rsidRDefault="003D6ED6">
      <w:pPr>
        <w:pStyle w:val="3"/>
      </w:pPr>
      <w:r>
        <w:t>7.2</w:t>
      </w:r>
      <w:r>
        <w:t xml:space="preserve">　超图表达的作用与边界</w:t>
      </w:r>
    </w:p>
    <w:p w14:paraId="289F57DB" w14:textId="77777777" w:rsidR="005302BF" w:rsidRDefault="003D6ED6">
      <w:r>
        <w:t>超图模型允许一条通道包含多个参与者，也允许一笔路由同时穿过多个超边，从而明确写出增量支持、漂移和跨块协方差。但</w:t>
      </w:r>
      <w:r>
        <w:t>“</w:t>
      </w:r>
      <w:r>
        <w:t>使用超图</w:t>
      </w:r>
      <w:r>
        <w:t>”</w:t>
      </w:r>
      <w:r>
        <w:t>本身不是定理。本文一般理论给出乘积单纯形退出与漂移分区，比较定理则额外利用二元通道安全区间的中心</w:t>
      </w:r>
      <w:r>
        <w:t>对称性。三元以上超边的单纯形通常不中心对称，需寻找非对称凸域上的新比较工具。</w:t>
      </w:r>
    </w:p>
    <w:p w14:paraId="03FA2D3A" w14:textId="77777777" w:rsidR="005302BF" w:rsidRDefault="003D6ED6">
      <w:pPr>
        <w:pStyle w:val="3"/>
      </w:pPr>
      <w:r>
        <w:t>7.3</w:t>
      </w:r>
      <w:r>
        <w:t xml:space="preserve">　外部有效性</w:t>
      </w:r>
    </w:p>
    <w:p w14:paraId="2FA5B42E" w14:textId="77777777" w:rsidR="005302BF" w:rsidRDefault="003D6ED6">
      <w:r>
        <w:t>公开</w:t>
      </w:r>
      <w:r>
        <w:t>Lightning</w:t>
      </w:r>
      <w:r>
        <w:t>快照增强了拓扑层面的外部有效性，但实验仍使用合成</w:t>
      </w:r>
      <w:r>
        <w:t>OD</w:t>
      </w:r>
      <w:r>
        <w:t>需求、固定最短路、单位支付、无费用、无重试和无再平衡。</w:t>
      </w:r>
      <w:r>
        <w:t>2026</w:t>
      </w:r>
      <w:r>
        <w:t>数据是高容量可定位通道的过滤投影，不代表完整网络；公开拓扑也不含真实方向余额、在途</w:t>
      </w:r>
      <w:r>
        <w:t>HTLC</w:t>
      </w:r>
      <w:r>
        <w:t>、请求金额、尝试路径、失败码或重试日志。因此，本文结果应解释为路由相关性对首次流动性边界到达的结构性影响，而不是现实支付失败预测。</w:t>
      </w:r>
    </w:p>
    <w:p w14:paraId="02FE25B3" w14:textId="77777777" w:rsidR="005302BF" w:rsidRDefault="003D6ED6">
      <w:pPr>
        <w:pStyle w:val="3"/>
      </w:pPr>
      <w:r>
        <w:t>7.4</w:t>
      </w:r>
      <w:r>
        <w:t xml:space="preserve">　计算与统计限制</w:t>
      </w:r>
    </w:p>
    <w:p w14:paraId="6AF90776" w14:textId="77777777" w:rsidR="005302BF" w:rsidRDefault="003D6ED6">
      <w:r>
        <w:t>精确状态空间按式</w:t>
      </w:r>
      <w:r>
        <w:t>(9)</w:t>
      </w:r>
      <w:r>
        <w:t>组合爆炸，只适用于低维锚点。仿真通过共同随机数、非重叠区块、同时区间和异种子复跑控制误差，但部分原始运行未达到预设最大半宽。合并后验敏感性不能替代冻结主分析。热点插值同时改变多个增量矩，当前证据只能支持有限设计内的总体负斜率，不能建立逐拓扑严格单调定理。</w:t>
      </w:r>
    </w:p>
    <w:p w14:paraId="6EA025FD" w14:textId="77777777" w:rsidR="005302BF" w:rsidRDefault="003D6ED6">
      <w:pPr>
        <w:pStyle w:val="2"/>
      </w:pPr>
      <w:r>
        <w:t>8</w:t>
      </w:r>
      <w:r>
        <w:t xml:space="preserve">　结束语</w:t>
      </w:r>
    </w:p>
    <w:p w14:paraId="10DE4FE0" w14:textId="77777777" w:rsidR="005302BF" w:rsidRDefault="003D6ED6">
      <w:r>
        <w:t>本文建立了固定相关超图支付通道网络的首次余额耗尽模型。在有限状态耗尽可达性下，网络均值由吸收</w:t>
      </w:r>
      <w:r>
        <w:t>Poisson</w:t>
      </w:r>
      <w:r>
        <w:t>方程唯一确定；在漂移缩放下，停止时间呈现漂移主导、临界扩散和公平扩散三分</w:t>
      </w:r>
      <w:r>
        <w:lastRenderedPageBreak/>
        <w:t>区。对平衡零漂移二元通道网络，相关原子路由模型的高斯极限生存时间不短于保持逐通道边际的独立代理。确定性求解与公开</w:t>
      </w:r>
      <w:r>
        <w:t>Lightning</w:t>
      </w:r>
      <w:r>
        <w:t>拓扑实验进一步表明，有限尺度和需求不平衡可以改变相关效应符号。</w:t>
      </w:r>
    </w:p>
    <w:p w14:paraId="3BAB0CAE" w14:textId="77777777" w:rsidR="005302BF" w:rsidRDefault="003D6ED6">
      <w:r>
        <w:t>后续工作包括：完成机构数据库的新颖性终检；研究非中心初态和三元以上超边的比较定理；在获得交易级余额、路径尝试和失败日志后建立触边时间与现实支付失败之间的经验校准层；把固定外生路由扩展为余额感知路由、重试和再平衡控制过程。</w:t>
      </w:r>
    </w:p>
    <w:p w14:paraId="2C1253EB" w14:textId="77777777" w:rsidR="005302BF" w:rsidRDefault="003D6ED6">
      <w:pPr>
        <w:pStyle w:val="2"/>
      </w:pPr>
      <w:r>
        <w:t>数据与代码可用性</w:t>
      </w:r>
    </w:p>
    <w:p w14:paraId="562A16A4" w14:textId="77777777" w:rsidR="005302BF" w:rsidRDefault="003D6ED6">
      <w:r>
        <w:t>审阅稿所用代码、冻结输入、原始结果、元数据、随机种子和</w:t>
      </w:r>
      <w:r>
        <w:t>SHA-256</w:t>
      </w:r>
      <w:r>
        <w:t>清单已整理为可独立运行的导师复现包。公开仓库、匿名审稿链接和许可方式待作者在投稿前确定。</w:t>
      </w:r>
    </w:p>
    <w:p w14:paraId="27B37B3B" w14:textId="77777777" w:rsidR="005302BF" w:rsidRDefault="003D6ED6">
      <w:pPr>
        <w:pStyle w:val="2"/>
      </w:pPr>
      <w:r>
        <w:t>参考文献</w:t>
      </w:r>
    </w:p>
    <w:p w14:paraId="2B8B3E42" w14:textId="77777777" w:rsidR="005302BF" w:rsidRDefault="003D6ED6">
      <w:pPr>
        <w:pStyle w:val="affffd"/>
        <w:ind w:left="315" w:hanging="315"/>
      </w:pPr>
      <w:r>
        <w:t>[1] PODIATCHEV Y, ORDA A, ROTTENSTREICH O. Survivable payment channel networks[J]. IEEE Transactions on Network and Service Management, 2024, 21(6): 6218-6232.</w:t>
      </w:r>
    </w:p>
    <w:p w14:paraId="17E029D1" w14:textId="77777777" w:rsidR="005302BF" w:rsidRDefault="003D6ED6">
      <w:pPr>
        <w:pStyle w:val="affffd"/>
        <w:ind w:left="315" w:hanging="315"/>
      </w:pPr>
      <w:r>
        <w:t>[2] ZIBAKHSH SHABGAHI S, HOSSEINI S M, SHARIATPANAHI S P, et al. Modeling effective lifespan of payment channels[EB/OL]. Cryptology ePrint Archive, 2022/1376, 2022.</w:t>
      </w:r>
    </w:p>
    <w:p w14:paraId="0DB1077A" w14:textId="77777777" w:rsidR="005302BF" w:rsidRDefault="003D6ED6">
      <w:pPr>
        <w:pStyle w:val="affffd"/>
        <w:ind w:left="315" w:hanging="315"/>
      </w:pPr>
      <w:r>
        <w:t>[3] HAMIDI DEHSHALI S, HOSSEINI S M, ZIBAKHSH SHABGAHI S, et al. Throughput limitation of the off-chain payment networks[EB/OL]. Cryptology ePrint Archive, 2022/1614, 2022.</w:t>
      </w:r>
    </w:p>
    <w:p w14:paraId="5B7890E9" w14:textId="77777777" w:rsidR="005302BF" w:rsidRDefault="003D6ED6">
      <w:pPr>
        <w:pStyle w:val="affffd"/>
        <w:ind w:left="315" w:hanging="315"/>
      </w:pPr>
      <w:r>
        <w:t>[4] VAN ENGELSHOVEN Y, ROOS S. The Merchant: avoiding payment channel depletion through incentives[EB/OL]. arXiv:2012.10280, 2020.</w:t>
      </w:r>
    </w:p>
    <w:p w14:paraId="3B5C2053" w14:textId="77777777" w:rsidR="005302BF" w:rsidRDefault="003D6ED6">
      <w:pPr>
        <w:pStyle w:val="affffd"/>
        <w:ind w:left="315" w:hanging="315"/>
      </w:pPr>
      <w:r>
        <w:t>[5] TIAN A, NI P, GAO Y, et al. Horcrux: synthesize, split, shift and stay alive; preventing channel depletion via universal and enhanced multi-hop payments[C]//Proceedings of the Network and Distributed System Security Symposium. San Diego: Internet Society, 2025.</w:t>
      </w:r>
    </w:p>
    <w:p w14:paraId="5850D649" w14:textId="77777777" w:rsidR="005302BF" w:rsidRDefault="003D6ED6">
      <w:pPr>
        <w:pStyle w:val="affffd"/>
        <w:ind w:left="315" w:hanging="315"/>
      </w:pPr>
      <w:r>
        <w:t>[6] SANKAGIRI S, HAJEK B. Pricing for routing and flow-control in payment channel networks[J]. IEEE/ACM Transactions on Networking, 2025. DOI:10.1109/TON.2025.3588049.</w:t>
      </w:r>
    </w:p>
    <w:p w14:paraId="303988F6" w14:textId="77777777" w:rsidR="005302BF" w:rsidRDefault="003D6ED6">
      <w:pPr>
        <w:pStyle w:val="affffd"/>
        <w:ind w:left="315" w:hanging="315"/>
      </w:pPr>
      <w:r>
        <w:t>[7] KOTZER A, LADÓCZKI B, TAPOLCAI J, et al. Addressing scalability issues of blockchains with hypergraph payment networks[J]. IEEE Transactions on Network and Service Management, 2025, 22(3): 2427-2440.</w:t>
      </w:r>
    </w:p>
    <w:p w14:paraId="2A480210" w14:textId="77777777" w:rsidR="005302BF" w:rsidRDefault="003D6ED6">
      <w:pPr>
        <w:pStyle w:val="affffd"/>
        <w:ind w:left="315" w:hanging="315"/>
      </w:pPr>
      <w:r>
        <w:t>[8] CORCORAN P, LEWIS R. Path planning in payment channel networks with multi-party channels[J]. Distributed Ledger Technologies: Research and Practice, 2025, 4(4): 1-14.</w:t>
      </w:r>
    </w:p>
    <w:p w14:paraId="2783D83C" w14:textId="77777777" w:rsidR="005302BF" w:rsidRDefault="003D6ED6">
      <w:pPr>
        <w:pStyle w:val="affffd"/>
        <w:ind w:left="315" w:hanging="315"/>
      </w:pPr>
      <w:r>
        <w:t>[9] NAINWAL A, KAMBLE A, AWATHARE N. Hypergraph based multi-party payment channel[EB/OL]. arXiv:2512.11775, 2026.</w:t>
      </w:r>
    </w:p>
    <w:p w14:paraId="080B4706" w14:textId="77777777" w:rsidR="005302BF" w:rsidRDefault="003D6ED6">
      <w:pPr>
        <w:pStyle w:val="affffd"/>
        <w:ind w:left="315" w:hanging="315"/>
      </w:pPr>
      <w:r>
        <w:t>[10] PICKHARDT R. A mathematical theory of payment channel networks[EB/OL]. arXiv:2601.04835, 2026.</w:t>
      </w:r>
    </w:p>
    <w:p w14:paraId="33B060C3" w14:textId="77777777" w:rsidR="005302BF" w:rsidRDefault="003D6ED6">
      <w:pPr>
        <w:pStyle w:val="affffd"/>
        <w:ind w:left="315" w:hanging="315"/>
      </w:pPr>
      <w:r>
        <w:t>[11] ENGEL A. The computer solves the three tower problem[J]. The American Mathematical Monthly, 1993, 100(1): 62-64.</w:t>
      </w:r>
    </w:p>
    <w:p w14:paraId="107CD96E" w14:textId="77777777" w:rsidR="005302BF" w:rsidRDefault="003D6ED6">
      <w:pPr>
        <w:pStyle w:val="affffd"/>
        <w:ind w:left="315" w:hanging="315"/>
      </w:pPr>
      <w:r>
        <w:t>[12] BRUSS F T, LOUCHARD G, TURNER J W. On the N-tower problem and related problems[J]. Advances in Applied Probability, 2003, 35(1): 278-294.</w:t>
      </w:r>
    </w:p>
    <w:p w14:paraId="20AE1A78" w14:textId="77777777" w:rsidR="005302BF" w:rsidRDefault="003D6ED6">
      <w:pPr>
        <w:pStyle w:val="affffd"/>
        <w:ind w:left="315" w:hanging="315"/>
      </w:pPr>
      <w:r>
        <w:t>[13] SWAN Y C, BRUSS F T. A matrix-analytic approach to the N-player ruin problem[J]. Journal of Applied Probability, 2006, 43(3): 755-766.</w:t>
      </w:r>
    </w:p>
    <w:p w14:paraId="523A2856" w14:textId="77777777" w:rsidR="005302BF" w:rsidRDefault="003D6ED6">
      <w:pPr>
        <w:pStyle w:val="affffd"/>
        <w:ind w:left="315" w:hanging="315"/>
      </w:pPr>
      <w:r>
        <w:t>[14] DIACONIS P, ETHIER S N. Gambler's ruin and the ICM[J]. Statistical Science, 2022, 37(3). DOI:10.1214/21-STS826.</w:t>
      </w:r>
    </w:p>
    <w:p w14:paraId="1C2A54AB" w14:textId="77777777" w:rsidR="005302BF" w:rsidRDefault="003D6ED6">
      <w:pPr>
        <w:pStyle w:val="affffd"/>
        <w:ind w:left="315" w:hanging="315"/>
      </w:pPr>
      <w:r>
        <w:t>[15] DIACONIS P, HOUSTON-EDWARDS K, SALOFF-COSTE L. Gambler's ruin estimates on finite inner uniform domains[J]. The Annals of Applied Probability, 2021, 31(2): 865-895.</w:t>
      </w:r>
    </w:p>
    <w:p w14:paraId="1EFEED67" w14:textId="77777777" w:rsidR="005302BF" w:rsidRDefault="003D6ED6">
      <w:pPr>
        <w:pStyle w:val="affffd"/>
        <w:ind w:left="315" w:hanging="315"/>
      </w:pPr>
      <w:r>
        <w:t>[16] DENISOV D, WACHTEL V. Harmonic measure in a multidimensional gambler's problem[J]. The Annals of Applied Probability, 2024, 34(5): 4387-4407.</w:t>
      </w:r>
    </w:p>
    <w:p w14:paraId="34E6549F" w14:textId="77777777" w:rsidR="005302BF" w:rsidRDefault="003D6ED6">
      <w:pPr>
        <w:pStyle w:val="affffd"/>
        <w:ind w:left="315" w:hanging="315"/>
      </w:pPr>
      <w:r>
        <w:t>[17] ROCHA A L, STERN F. The gambler's ruin problem with n players and asymmetric play[J]. Statistics &amp; Probability Letters, 1999, 44(1): 87-95.</w:t>
      </w:r>
    </w:p>
    <w:p w14:paraId="03492731" w14:textId="77777777" w:rsidR="005302BF" w:rsidRDefault="003D6ED6">
      <w:pPr>
        <w:pStyle w:val="affffd"/>
        <w:ind w:left="315" w:hanging="315"/>
      </w:pPr>
      <w:r>
        <w:t>[18] DENISOV D, SAKHANENKO A, WACHTEL V. First-passage times for random walks in the triangular array setting[M]//A Lifetime of Excursions Through Random Walks and Lévy Processes. Cham: Springer, 2021: 181-203.</w:t>
      </w:r>
    </w:p>
    <w:p w14:paraId="28712498" w14:textId="77777777" w:rsidR="005302BF" w:rsidRDefault="003D6ED6">
      <w:pPr>
        <w:pStyle w:val="affffd"/>
        <w:ind w:left="315" w:hanging="315"/>
      </w:pPr>
      <w:r>
        <w:t>[19] WHITT W. Some useful functions for functional limit theorems[J]. Mathematics of Operations Research, 1980, 5(1): 67-85.</w:t>
      </w:r>
    </w:p>
    <w:p w14:paraId="1795B1FE" w14:textId="77777777" w:rsidR="005302BF" w:rsidRDefault="003D6ED6">
      <w:pPr>
        <w:pStyle w:val="affffd"/>
        <w:ind w:left="315" w:hanging="315"/>
      </w:pPr>
      <w:r>
        <w:t>[20] ROYEN T. A simple proof of the Gaussian correlation conjecture extended to some multivariate gamma distributions[J]. Far East Journal of Theoretical Statistics, 2014, 48(2): 139-145.</w:t>
      </w:r>
    </w:p>
    <w:p w14:paraId="64DA0E6D" w14:textId="77777777" w:rsidR="005302BF" w:rsidRDefault="003D6ED6">
      <w:pPr>
        <w:pStyle w:val="affffd"/>
        <w:ind w:left="315" w:hanging="315"/>
      </w:pPr>
      <w:r>
        <w:t>[21] PATEL R, CARRON A, BULLO F. The hitting time of multiple random walks[J]. SIAM Journal on Matrix Analysis and Applications, 2016, 37(3): 933-954.</w:t>
      </w:r>
    </w:p>
    <w:p w14:paraId="1C684B6F" w14:textId="77777777" w:rsidR="005302BF" w:rsidRDefault="003D6ED6">
      <w:pPr>
        <w:pStyle w:val="affffd"/>
        <w:ind w:left="315" w:hanging="315"/>
      </w:pPr>
      <w:r>
        <w:t>[22] GENG X, MARKOWSKY G. Stochastic domination of exit times for random walks and Brownian motion with drift[J]. Stochastic Models, 2026, 42(1): 51-59.</w:t>
      </w:r>
    </w:p>
    <w:p w14:paraId="6822A103" w14:textId="77777777" w:rsidR="005302BF" w:rsidRDefault="003D6ED6">
      <w:pPr>
        <w:pStyle w:val="affffd"/>
        <w:ind w:left="315" w:hanging="315"/>
      </w:pPr>
      <w:r>
        <w:t>[23] BAI Q, XU Y, WANG X. Understanding the benefit of being patient in payment channel networks[EB/OL]. arXiv:2104.02936, 2021.</w:t>
      </w:r>
    </w:p>
    <w:p w14:paraId="1387D911" w14:textId="77777777" w:rsidR="005302BF" w:rsidRDefault="003D6ED6">
      <w:pPr>
        <w:pStyle w:val="affffd"/>
        <w:ind w:left="315" w:hanging="315"/>
      </w:pPr>
      <w:r>
        <w:t>[24] KIM W. Coalition formation game for cost-efficient multiparty payment channel in payment channel networks[J]. Sensors, 2023, 23(9): 4524.</w:t>
      </w:r>
    </w:p>
    <w:p w14:paraId="5D9F2702" w14:textId="77777777" w:rsidR="005302BF" w:rsidRDefault="003D6ED6">
      <w:pPr>
        <w:pStyle w:val="affffd"/>
        <w:ind w:left="315" w:hanging="315"/>
      </w:pPr>
      <w:r>
        <w:t>[25] LIGHTNING NETWORK DEVELOPERS. BOLT #2: Peer protocol for channel management[EB/OL]. https://github.com/lightning/bolts/blob/master/02-peer-protocol.md, 2026-07-24.</w:t>
      </w:r>
    </w:p>
    <w:p w14:paraId="3DA85CA8" w14:textId="77777777" w:rsidR="005302BF" w:rsidRDefault="003D6ED6">
      <w:pPr>
        <w:pStyle w:val="affffd"/>
        <w:ind w:left="315" w:hanging="315"/>
      </w:pPr>
      <w:r>
        <w:t>[26] LIGHTNING NETWORK DEVELOPERS. BOLT #4: Onion routing protocol[EB/OL]. https://github.com/lightning/bolts/blob/master/04-onion-routing.md, 2026-07-24.</w:t>
      </w:r>
    </w:p>
    <w:p w14:paraId="7EF76634" w14:textId="77777777" w:rsidR="005302BF" w:rsidRDefault="003D6ED6">
      <w:pPr>
        <w:pStyle w:val="affffd"/>
        <w:ind w:left="315" w:hanging="315"/>
      </w:pPr>
      <w:r>
        <w:t>[27] LIGHTNING NETWORK DEVELOPERS. BOLT #7: P2P node and channel discovery[EB/OL]. https://github.com/lightning/bolts/blob/master/07-routing-gossip.md, 2026-07-24.</w:t>
      </w:r>
    </w:p>
    <w:p w14:paraId="7418DC89" w14:textId="77777777" w:rsidR="005302BF" w:rsidRDefault="003D6ED6">
      <w:pPr>
        <w:pStyle w:val="2"/>
      </w:pPr>
      <w:r>
        <w:t>作者简介</w:t>
      </w:r>
    </w:p>
    <w:p w14:paraId="78D17983" w14:textId="77777777" w:rsidR="005302BF" w:rsidRDefault="003D6ED6">
      <w:r>
        <w:t>[</w:t>
      </w:r>
      <w:r>
        <w:t>作者</w:t>
      </w:r>
      <w:r>
        <w:t>1</w:t>
      </w:r>
      <w:r>
        <w:t>简介、电子邮箱、</w:t>
      </w:r>
      <w:r>
        <w:t>ORCID</w:t>
      </w:r>
      <w:r>
        <w:t>待填写；仅保留</w:t>
      </w:r>
      <w:r>
        <w:t>1</w:t>
      </w:r>
      <w:r>
        <w:t>名通信作者。</w:t>
      </w:r>
      <w:r>
        <w:t>]</w:t>
      </w:r>
    </w:p>
    <w:p w14:paraId="172F9FA3" w14:textId="77777777" w:rsidR="005302BF" w:rsidRDefault="003D6ED6">
      <w:pPr>
        <w:pStyle w:val="2"/>
      </w:pPr>
      <w:r>
        <w:lastRenderedPageBreak/>
        <w:t>基金项目</w:t>
      </w:r>
    </w:p>
    <w:p w14:paraId="190BEC3C" w14:textId="77777777" w:rsidR="005302BF" w:rsidRDefault="003D6ED6">
      <w:r>
        <w:t>[</w:t>
      </w:r>
      <w:r>
        <w:t>基金名称及编号待填写；如无基金请按期刊要求删除本项。</w:t>
      </w:r>
      <w:r>
        <w:t>]</w:t>
      </w:r>
    </w:p>
    <w:sectPr w:rsidR="005302BF">
      <w:type w:val="continuous"/>
      <w:pgSz w:w="11907" w:h="16160"/>
      <w:pgMar w:top="1366" w:right="1134" w:bottom="1366" w:left="1134" w:header="992" w:footer="765" w:gutter="0"/>
      <w:cols w:num="2" w:space="426"/>
      <w:titlePg/>
      <w:docGrid w:type="lines" w:linePitch="312"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4852" w14:textId="77777777" w:rsidR="00F32925" w:rsidRDefault="00F32925">
      <w:r>
        <w:separator/>
      </w:r>
    </w:p>
  </w:endnote>
  <w:endnote w:type="continuationSeparator" w:id="0">
    <w:p w14:paraId="313B4F2A" w14:textId="77777777" w:rsidR="00F32925" w:rsidRDefault="00F3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F452A" w14:textId="77777777" w:rsidR="00F32925" w:rsidRDefault="00F32925">
      <w:r>
        <w:separator/>
      </w:r>
    </w:p>
  </w:footnote>
  <w:footnote w:type="continuationSeparator" w:id="0">
    <w:p w14:paraId="04C10966" w14:textId="77777777" w:rsidR="00F32925" w:rsidRDefault="00F32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F9D6" w14:textId="77777777" w:rsidR="005302BF" w:rsidRDefault="003D6ED6">
    <w:pPr>
      <w:jc w:val="center"/>
    </w:pPr>
    <w:r>
      <w:tab/>
      <w:t>[</w:t>
    </w:r>
    <w:r>
      <w:t>作者</w:t>
    </w:r>
    <w:r>
      <w:t>]</w:t>
    </w:r>
    <w:r>
      <w:t>等：相关超图支付通道网络的停止时间</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E13" w14:textId="77777777" w:rsidR="005302BF" w:rsidRDefault="005302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pStyle w:val="1"/>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pStyle w:val="Figure"/>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pStyle w:val="TableHead"/>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pStyle w:val="bulletlis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pStyle w:val="StyleHeading2Left"/>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pStyle w:val="2-"/>
      <w:isLgl/>
      <w:lvlText w:val="%1"/>
      <w:lvlJc w:val="left"/>
      <w:pPr>
        <w:ind w:left="340" w:hanging="340"/>
      </w:pPr>
      <w:rPr>
        <w:rFonts w:hint="eastAsia"/>
      </w:rPr>
    </w:lvl>
    <w:lvl w:ilvl="1">
      <w:start w:val="1"/>
      <w:numFmt w:val="decimal"/>
      <w:pStyle w:val="2-0"/>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pStyle w:val="tablehead0"/>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lang w:val="fr-FR"/>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105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6ED6"/>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2BF"/>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8FA"/>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84D"/>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4FDF"/>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030"/>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2925"/>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575F5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pPr>
      <w:widowControl w:val="0"/>
      <w:jc w:val="both"/>
    </w:pPr>
    <w:rPr>
      <w:kern w:val="2"/>
      <w:sz w:val="21"/>
      <w:szCs w:val="24"/>
    </w:rPr>
  </w:style>
  <w:style w:type="paragraph" w:styleId="10">
    <w:name w:val="heading 1"/>
    <w:basedOn w:val="a6"/>
    <w:next w:val="a6"/>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6"/>
    <w:next w:val="a6"/>
    <w:link w:val="23"/>
    <w:uiPriority w:val="9"/>
    <w:qFormat/>
    <w:pPr>
      <w:keepNext/>
      <w:keepLines/>
      <w:spacing w:line="480" w:lineRule="auto"/>
      <w:outlineLvl w:val="1"/>
    </w:pPr>
    <w:rPr>
      <w:rFonts w:eastAsia="黑体"/>
      <w:sz w:val="24"/>
    </w:rPr>
  </w:style>
  <w:style w:type="paragraph" w:styleId="3">
    <w:name w:val="heading 3"/>
    <w:basedOn w:val="a6"/>
    <w:next w:val="a6"/>
    <w:link w:val="32"/>
    <w:uiPriority w:val="9"/>
    <w:qFormat/>
    <w:pPr>
      <w:keepNext/>
      <w:keepLines/>
      <w:outlineLvl w:val="2"/>
    </w:pPr>
    <w:rPr>
      <w:rFonts w:eastAsia="黑体"/>
    </w:rPr>
  </w:style>
  <w:style w:type="paragraph" w:styleId="4">
    <w:name w:val="heading 4"/>
    <w:basedOn w:val="a6"/>
    <w:next w:val="a6"/>
    <w:link w:val="42"/>
    <w:uiPriority w:val="9"/>
    <w:qFormat/>
    <w:pPr>
      <w:keepNext/>
      <w:keepLines/>
      <w:outlineLvl w:val="3"/>
    </w:pPr>
    <w:rPr>
      <w:rFonts w:eastAsia="楷体_GB2312"/>
    </w:rPr>
  </w:style>
  <w:style w:type="paragraph" w:styleId="5">
    <w:name w:val="heading 5"/>
    <w:basedOn w:val="a6"/>
    <w:next w:val="a6"/>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6"/>
    <w:next w:val="a6"/>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6"/>
    <w:next w:val="a6"/>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6"/>
    <w:next w:val="a6"/>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6"/>
    <w:next w:val="a6"/>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0"/>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6"/>
    <w:semiHidden/>
    <w:pPr>
      <w:ind w:leftChars="400" w:left="100" w:hangingChars="200" w:hanging="200"/>
    </w:pPr>
  </w:style>
  <w:style w:type="paragraph" w:styleId="TOC7">
    <w:name w:val="toc 7"/>
    <w:basedOn w:val="a6"/>
    <w:next w:val="a6"/>
    <w:semiHidden/>
    <w:pPr>
      <w:ind w:leftChars="1200" w:left="2520"/>
    </w:pPr>
    <w:rPr>
      <w:rFonts w:ascii="Calibri" w:hAnsi="Calibri"/>
      <w:szCs w:val="22"/>
    </w:rPr>
  </w:style>
  <w:style w:type="paragraph" w:styleId="20">
    <w:name w:val="List Number 2"/>
    <w:basedOn w:val="a6"/>
    <w:semiHidden/>
    <w:pPr>
      <w:tabs>
        <w:tab w:val="left" w:pos="780"/>
      </w:tabs>
      <w:ind w:leftChars="200" w:left="780" w:hangingChars="200" w:hanging="360"/>
    </w:pPr>
  </w:style>
  <w:style w:type="paragraph" w:styleId="ab">
    <w:name w:val="table of authorities"/>
    <w:basedOn w:val="a6"/>
    <w:next w:val="a6"/>
    <w:semiHidden/>
    <w:pPr>
      <w:pBdr>
        <w:top w:val="single" w:sz="8" w:space="1" w:color="auto"/>
      </w:pBdr>
      <w:adjustRightInd w:val="0"/>
      <w:spacing w:line="312" w:lineRule="atLeast"/>
      <w:ind w:leftChars="200" w:left="420"/>
      <w:textAlignment w:val="baseline"/>
    </w:pPr>
    <w:rPr>
      <w:rFonts w:cs="宋体"/>
      <w:kern w:val="0"/>
    </w:rPr>
  </w:style>
  <w:style w:type="paragraph" w:styleId="ac">
    <w:name w:val="Note Heading"/>
    <w:basedOn w:val="a6"/>
    <w:next w:val="a6"/>
    <w:semiHidden/>
    <w:pPr>
      <w:jc w:val="center"/>
    </w:pPr>
  </w:style>
  <w:style w:type="paragraph" w:styleId="40">
    <w:name w:val="List Bullet 4"/>
    <w:basedOn w:val="a6"/>
    <w:semiHidden/>
    <w:pPr>
      <w:tabs>
        <w:tab w:val="left" w:pos="1620"/>
      </w:tabs>
      <w:ind w:leftChars="600" w:left="1620" w:hangingChars="200" w:hanging="360"/>
    </w:pPr>
  </w:style>
  <w:style w:type="paragraph" w:styleId="80">
    <w:name w:val="index 8"/>
    <w:basedOn w:val="a6"/>
    <w:next w:val="a6"/>
    <w:semiHidden/>
    <w:pPr>
      <w:pBdr>
        <w:top w:val="single" w:sz="8" w:space="1" w:color="auto"/>
      </w:pBdr>
      <w:adjustRightInd w:val="0"/>
      <w:spacing w:line="312" w:lineRule="atLeast"/>
      <w:ind w:leftChars="1400" w:left="1400"/>
      <w:textAlignment w:val="baseline"/>
    </w:pPr>
    <w:rPr>
      <w:rFonts w:cs="宋体"/>
      <w:kern w:val="0"/>
    </w:rPr>
  </w:style>
  <w:style w:type="paragraph" w:styleId="ad">
    <w:name w:val="E-mail Signature"/>
    <w:basedOn w:val="a6"/>
    <w:link w:val="ae"/>
    <w:semiHidden/>
  </w:style>
  <w:style w:type="character" w:customStyle="1" w:styleId="ae">
    <w:name w:val="电子邮件签名 字符"/>
    <w:link w:val="ad"/>
    <w:semiHidden/>
    <w:rPr>
      <w:kern w:val="2"/>
      <w:sz w:val="21"/>
      <w:szCs w:val="24"/>
    </w:rPr>
  </w:style>
  <w:style w:type="paragraph" w:styleId="af">
    <w:name w:val="List Number"/>
    <w:basedOn w:val="a6"/>
    <w:semiHidden/>
    <w:pPr>
      <w:tabs>
        <w:tab w:val="left" w:pos="720"/>
      </w:tabs>
      <w:ind w:left="720" w:hanging="360"/>
    </w:pPr>
  </w:style>
  <w:style w:type="paragraph" w:styleId="af0">
    <w:name w:val="Normal Indent"/>
    <w:basedOn w:val="a6"/>
    <w:link w:val="11"/>
    <w:semiHidden/>
    <w:qFormat/>
    <w:pPr>
      <w:ind w:firstLine="420"/>
    </w:pPr>
    <w:rPr>
      <w:szCs w:val="20"/>
    </w:rPr>
  </w:style>
  <w:style w:type="character" w:customStyle="1" w:styleId="11">
    <w:name w:val="正文缩进 字符1"/>
    <w:link w:val="af0"/>
    <w:semiHidden/>
    <w:rPr>
      <w:rFonts w:eastAsia="宋体"/>
      <w:kern w:val="2"/>
      <w:sz w:val="21"/>
      <w:szCs w:val="21"/>
      <w:lang w:val="en-US" w:eastAsia="zh-CN" w:bidi="ar-SA"/>
    </w:rPr>
  </w:style>
  <w:style w:type="paragraph" w:styleId="af1">
    <w:name w:val="caption"/>
    <w:basedOn w:val="a6"/>
    <w:next w:val="a6"/>
    <w:link w:val="af2"/>
    <w:qFormat/>
    <w:pPr>
      <w:widowControl/>
      <w:spacing w:before="152" w:after="160"/>
    </w:pPr>
    <w:rPr>
      <w:rFonts w:ascii="Arial" w:eastAsia="黑体" w:hAnsi="Arial"/>
      <w:kern w:val="0"/>
      <w:sz w:val="20"/>
      <w:szCs w:val="20"/>
    </w:rPr>
  </w:style>
  <w:style w:type="character" w:customStyle="1" w:styleId="af2">
    <w:name w:val="题注 字符"/>
    <w:link w:val="af1"/>
    <w:semiHidden/>
    <w:rPr>
      <w:rFonts w:ascii="Arial" w:eastAsia="黑体" w:hAnsi="Arial" w:cs="Arial"/>
    </w:rPr>
  </w:style>
  <w:style w:type="paragraph" w:styleId="50">
    <w:name w:val="index 5"/>
    <w:basedOn w:val="a6"/>
    <w:next w:val="a6"/>
    <w:semiHidden/>
    <w:pPr>
      <w:pBdr>
        <w:top w:val="single" w:sz="8" w:space="1" w:color="auto"/>
      </w:pBdr>
      <w:adjustRightInd w:val="0"/>
      <w:spacing w:line="312" w:lineRule="atLeast"/>
      <w:ind w:leftChars="800" w:left="800"/>
      <w:textAlignment w:val="baseline"/>
    </w:pPr>
    <w:rPr>
      <w:rFonts w:cs="宋体"/>
      <w:kern w:val="0"/>
    </w:rPr>
  </w:style>
  <w:style w:type="paragraph" w:styleId="af3">
    <w:name w:val="List Bullet"/>
    <w:basedOn w:val="a6"/>
    <w:semiHidden/>
    <w:qFormat/>
    <w:pPr>
      <w:widowControl/>
      <w:tabs>
        <w:tab w:val="left" w:pos="432"/>
        <w:tab w:val="left" w:pos="473"/>
      </w:tabs>
      <w:ind w:left="420" w:hangingChars="200" w:hanging="420"/>
      <w:jc w:val="left"/>
    </w:pPr>
    <w:rPr>
      <w:kern w:val="0"/>
    </w:rPr>
  </w:style>
  <w:style w:type="paragraph" w:styleId="af4">
    <w:name w:val="envelope address"/>
    <w:basedOn w:val="a6"/>
    <w:semiHidden/>
    <w:pPr>
      <w:framePr w:w="7920" w:h="1980" w:hRule="exact" w:hSpace="180" w:wrap="auto" w:hAnchor="page" w:xAlign="center" w:yAlign="bottom"/>
      <w:snapToGrid w:val="0"/>
      <w:ind w:leftChars="1400" w:left="100"/>
    </w:pPr>
    <w:rPr>
      <w:rFonts w:ascii="Arial" w:hAnsi="Arial" w:cs="Arial"/>
      <w:sz w:val="24"/>
    </w:rPr>
  </w:style>
  <w:style w:type="paragraph" w:styleId="af5">
    <w:name w:val="Document Map"/>
    <w:basedOn w:val="a6"/>
    <w:link w:val="12"/>
    <w:semiHidden/>
    <w:qFormat/>
    <w:pPr>
      <w:shd w:val="clear" w:color="auto" w:fill="000080"/>
    </w:pPr>
  </w:style>
  <w:style w:type="character" w:customStyle="1" w:styleId="12">
    <w:name w:val="文档结构图 字符1"/>
    <w:link w:val="af5"/>
    <w:semiHidden/>
    <w:rPr>
      <w:rFonts w:eastAsia="宋体"/>
      <w:kern w:val="2"/>
      <w:sz w:val="21"/>
      <w:szCs w:val="24"/>
      <w:shd w:val="clear" w:color="auto" w:fill="000080"/>
      <w:lang w:val="en-US" w:eastAsia="zh-CN" w:bidi="ar-SA"/>
    </w:rPr>
  </w:style>
  <w:style w:type="paragraph" w:styleId="af6">
    <w:name w:val="toa heading"/>
    <w:basedOn w:val="a6"/>
    <w:next w:val="a6"/>
    <w:semiHidden/>
    <w:pPr>
      <w:pBdr>
        <w:top w:val="single" w:sz="8" w:space="1" w:color="auto"/>
      </w:pBdr>
      <w:adjustRightInd w:val="0"/>
      <w:spacing w:before="120" w:line="312" w:lineRule="atLeast"/>
      <w:textAlignment w:val="baseline"/>
    </w:pPr>
    <w:rPr>
      <w:rFonts w:ascii="Cambria" w:hAnsi="Cambria"/>
      <w:kern w:val="0"/>
      <w:sz w:val="24"/>
    </w:rPr>
  </w:style>
  <w:style w:type="paragraph" w:styleId="af7">
    <w:name w:val="annotation text"/>
    <w:basedOn w:val="a6"/>
    <w:link w:val="af8"/>
    <w:uiPriority w:val="99"/>
    <w:semiHidden/>
    <w:qFormat/>
    <w:pPr>
      <w:jc w:val="left"/>
    </w:pPr>
  </w:style>
  <w:style w:type="character" w:customStyle="1" w:styleId="af8">
    <w:name w:val="批注文字 字符"/>
    <w:link w:val="af7"/>
    <w:uiPriority w:val="99"/>
    <w:semiHidden/>
    <w:qFormat/>
    <w:rPr>
      <w:kern w:val="2"/>
      <w:sz w:val="21"/>
      <w:szCs w:val="24"/>
    </w:rPr>
  </w:style>
  <w:style w:type="paragraph" w:styleId="60">
    <w:name w:val="index 6"/>
    <w:basedOn w:val="a6"/>
    <w:next w:val="a6"/>
    <w:semiHidden/>
    <w:pPr>
      <w:pBdr>
        <w:top w:val="single" w:sz="8" w:space="1" w:color="auto"/>
      </w:pBdr>
      <w:adjustRightInd w:val="0"/>
      <w:spacing w:line="312" w:lineRule="atLeast"/>
      <w:ind w:leftChars="1000" w:left="1000"/>
      <w:textAlignment w:val="baseline"/>
    </w:pPr>
    <w:rPr>
      <w:rFonts w:cs="宋体"/>
      <w:kern w:val="0"/>
    </w:rPr>
  </w:style>
  <w:style w:type="paragraph" w:styleId="af9">
    <w:name w:val="Salutation"/>
    <w:basedOn w:val="a6"/>
    <w:next w:val="a6"/>
    <w:semiHidden/>
  </w:style>
  <w:style w:type="paragraph" w:styleId="31">
    <w:name w:val="Body Text 3"/>
    <w:basedOn w:val="a6"/>
    <w:semiHidden/>
    <w:pPr>
      <w:spacing w:after="120"/>
    </w:pPr>
    <w:rPr>
      <w:sz w:val="16"/>
      <w:szCs w:val="16"/>
    </w:rPr>
  </w:style>
  <w:style w:type="paragraph" w:styleId="afa">
    <w:name w:val="Closing"/>
    <w:basedOn w:val="a6"/>
    <w:semiHidden/>
    <w:pPr>
      <w:ind w:leftChars="2100" w:left="100"/>
    </w:pPr>
  </w:style>
  <w:style w:type="paragraph" w:styleId="33">
    <w:name w:val="List Bullet 3"/>
    <w:basedOn w:val="a6"/>
    <w:semiHidden/>
    <w:pPr>
      <w:tabs>
        <w:tab w:val="left" w:pos="1200"/>
      </w:tabs>
      <w:ind w:leftChars="400" w:left="1200" w:hangingChars="200" w:hanging="360"/>
    </w:pPr>
  </w:style>
  <w:style w:type="paragraph" w:styleId="afb">
    <w:name w:val="Body Text"/>
    <w:basedOn w:val="a6"/>
    <w:link w:val="14"/>
    <w:semiHidden/>
    <w:qFormat/>
    <w:pPr>
      <w:tabs>
        <w:tab w:val="left" w:pos="357"/>
      </w:tabs>
      <w:overflowPunct w:val="0"/>
    </w:pPr>
    <w:rPr>
      <w:sz w:val="18"/>
      <w:szCs w:val="20"/>
    </w:rPr>
  </w:style>
  <w:style w:type="character" w:customStyle="1" w:styleId="14">
    <w:name w:val="正文文本 字符1"/>
    <w:link w:val="afb"/>
    <w:semiHidden/>
    <w:locked/>
    <w:rPr>
      <w:rFonts w:eastAsia="宋体"/>
      <w:kern w:val="2"/>
      <w:sz w:val="18"/>
      <w:szCs w:val="21"/>
      <w:lang w:val="en-US" w:eastAsia="zh-CN" w:bidi="ar-SA"/>
    </w:rPr>
  </w:style>
  <w:style w:type="paragraph" w:styleId="afc">
    <w:name w:val="Body Text Indent"/>
    <w:basedOn w:val="a6"/>
    <w:link w:val="15"/>
    <w:semiHidden/>
    <w:qFormat/>
    <w:pPr>
      <w:ind w:firstLine="436"/>
    </w:pPr>
    <w:rPr>
      <w:spacing w:val="4"/>
    </w:rPr>
  </w:style>
  <w:style w:type="character" w:customStyle="1" w:styleId="15">
    <w:name w:val="正文文本缩进 字符1"/>
    <w:link w:val="afc"/>
    <w:semiHidden/>
    <w:rPr>
      <w:rFonts w:eastAsia="宋体"/>
      <w:spacing w:val="4"/>
      <w:kern w:val="2"/>
      <w:sz w:val="21"/>
      <w:szCs w:val="24"/>
      <w:lang w:val="en-US" w:eastAsia="zh-CN" w:bidi="ar-SA"/>
    </w:rPr>
  </w:style>
  <w:style w:type="paragraph" w:styleId="34">
    <w:name w:val="List Number 3"/>
    <w:basedOn w:val="a6"/>
    <w:semiHidden/>
    <w:pPr>
      <w:tabs>
        <w:tab w:val="left" w:pos="1200"/>
      </w:tabs>
      <w:ind w:leftChars="400" w:left="1200" w:hangingChars="200" w:hanging="360"/>
    </w:pPr>
  </w:style>
  <w:style w:type="paragraph" w:styleId="21">
    <w:name w:val="List 2"/>
    <w:basedOn w:val="a6"/>
    <w:semiHidden/>
    <w:pPr>
      <w:ind w:leftChars="200" w:left="100" w:hangingChars="200" w:hanging="200"/>
    </w:pPr>
  </w:style>
  <w:style w:type="paragraph" w:styleId="afd">
    <w:name w:val="List Continue"/>
    <w:basedOn w:val="a6"/>
    <w:semiHidden/>
    <w:pPr>
      <w:spacing w:after="120"/>
      <w:ind w:leftChars="200" w:left="420"/>
    </w:pPr>
  </w:style>
  <w:style w:type="paragraph" w:styleId="afe">
    <w:name w:val="Block Text"/>
    <w:basedOn w:val="a6"/>
    <w:semiHidden/>
    <w:pPr>
      <w:spacing w:after="120"/>
      <w:ind w:leftChars="700" w:left="1440" w:rightChars="700" w:right="1440"/>
    </w:pPr>
  </w:style>
  <w:style w:type="paragraph" w:styleId="22">
    <w:name w:val="List Bullet 2"/>
    <w:basedOn w:val="a6"/>
    <w:semiHidden/>
    <w:pPr>
      <w:tabs>
        <w:tab w:val="left" w:pos="780"/>
      </w:tabs>
      <w:ind w:leftChars="200" w:left="780" w:hangingChars="200" w:hanging="360"/>
    </w:pPr>
  </w:style>
  <w:style w:type="paragraph" w:styleId="HTML">
    <w:name w:val="HTML Address"/>
    <w:basedOn w:val="a6"/>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6"/>
    <w:next w:val="a6"/>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6"/>
    <w:next w:val="a6"/>
    <w:semiHidden/>
    <w:pPr>
      <w:adjustRightInd w:val="0"/>
      <w:spacing w:line="312" w:lineRule="atLeast"/>
      <w:ind w:leftChars="800" w:left="1680"/>
      <w:textAlignment w:val="baseline"/>
    </w:pPr>
    <w:rPr>
      <w:rFonts w:cs="宋体"/>
      <w:kern w:val="0"/>
    </w:rPr>
  </w:style>
  <w:style w:type="paragraph" w:styleId="TOC3">
    <w:name w:val="toc 3"/>
    <w:basedOn w:val="a6"/>
    <w:next w:val="a6"/>
    <w:semiHidden/>
    <w:qFormat/>
    <w:pPr>
      <w:widowControl/>
      <w:spacing w:after="100" w:line="276" w:lineRule="auto"/>
      <w:ind w:left="440"/>
      <w:jc w:val="left"/>
    </w:pPr>
    <w:rPr>
      <w:rFonts w:ascii="Calibri" w:hAnsi="Calibri"/>
      <w:kern w:val="0"/>
      <w:sz w:val="22"/>
      <w:szCs w:val="22"/>
    </w:rPr>
  </w:style>
  <w:style w:type="paragraph" w:styleId="aff">
    <w:name w:val="Plain Text"/>
    <w:basedOn w:val="a6"/>
    <w:link w:val="aff0"/>
    <w:semiHidden/>
    <w:rPr>
      <w:rFonts w:ascii="宋体" w:hAnsi="Courier New"/>
    </w:rPr>
  </w:style>
  <w:style w:type="character" w:customStyle="1" w:styleId="aff0">
    <w:name w:val="纯文本 字符"/>
    <w:link w:val="aff"/>
    <w:semiHidden/>
    <w:rPr>
      <w:rFonts w:ascii="宋体" w:hAnsi="Courier New"/>
      <w:kern w:val="2"/>
      <w:sz w:val="21"/>
      <w:szCs w:val="24"/>
    </w:rPr>
  </w:style>
  <w:style w:type="paragraph" w:styleId="51">
    <w:name w:val="List Bullet 5"/>
    <w:basedOn w:val="a6"/>
    <w:semiHidden/>
    <w:pPr>
      <w:tabs>
        <w:tab w:val="left" w:pos="2040"/>
      </w:tabs>
      <w:ind w:leftChars="800" w:left="2040" w:hangingChars="200" w:hanging="360"/>
    </w:pPr>
  </w:style>
  <w:style w:type="paragraph" w:styleId="43">
    <w:name w:val="List Number 4"/>
    <w:basedOn w:val="a6"/>
    <w:semiHidden/>
    <w:pPr>
      <w:tabs>
        <w:tab w:val="left" w:pos="1620"/>
      </w:tabs>
      <w:ind w:leftChars="600" w:left="1620" w:hangingChars="200" w:hanging="360"/>
    </w:pPr>
  </w:style>
  <w:style w:type="paragraph" w:styleId="TOC8">
    <w:name w:val="toc 8"/>
    <w:basedOn w:val="a6"/>
    <w:next w:val="a6"/>
    <w:semiHidden/>
    <w:pPr>
      <w:ind w:leftChars="1400" w:left="2940"/>
    </w:pPr>
    <w:rPr>
      <w:rFonts w:ascii="Calibri" w:hAnsi="Calibri"/>
      <w:szCs w:val="22"/>
    </w:rPr>
  </w:style>
  <w:style w:type="paragraph" w:styleId="35">
    <w:name w:val="index 3"/>
    <w:basedOn w:val="a6"/>
    <w:next w:val="a6"/>
    <w:semiHidden/>
    <w:pPr>
      <w:pBdr>
        <w:top w:val="single" w:sz="8" w:space="1" w:color="auto"/>
      </w:pBdr>
      <w:adjustRightInd w:val="0"/>
      <w:spacing w:line="312" w:lineRule="atLeast"/>
      <w:ind w:leftChars="400" w:left="400"/>
      <w:textAlignment w:val="baseline"/>
    </w:pPr>
    <w:rPr>
      <w:rFonts w:cs="宋体"/>
      <w:kern w:val="0"/>
    </w:rPr>
  </w:style>
  <w:style w:type="paragraph" w:styleId="aff1">
    <w:name w:val="Date"/>
    <w:basedOn w:val="a6"/>
    <w:next w:val="a6"/>
    <w:semiHidden/>
    <w:pPr>
      <w:ind w:leftChars="2500" w:left="100"/>
    </w:pPr>
  </w:style>
  <w:style w:type="paragraph" w:styleId="24">
    <w:name w:val="Body Text Indent 2"/>
    <w:basedOn w:val="a6"/>
    <w:semiHidden/>
    <w:pPr>
      <w:ind w:firstLine="452"/>
    </w:pPr>
    <w:rPr>
      <w:spacing w:val="8"/>
    </w:rPr>
  </w:style>
  <w:style w:type="paragraph" w:styleId="aff2">
    <w:name w:val="endnote text"/>
    <w:basedOn w:val="a6"/>
    <w:link w:val="16"/>
    <w:uiPriority w:val="99"/>
    <w:semiHidden/>
    <w:qFormat/>
    <w:pPr>
      <w:snapToGrid w:val="0"/>
      <w:jc w:val="left"/>
    </w:pPr>
  </w:style>
  <w:style w:type="character" w:customStyle="1" w:styleId="16">
    <w:name w:val="尾注文本 字符1"/>
    <w:link w:val="aff2"/>
    <w:uiPriority w:val="99"/>
    <w:semiHidden/>
    <w:rPr>
      <w:kern w:val="2"/>
      <w:sz w:val="21"/>
      <w:szCs w:val="24"/>
    </w:rPr>
  </w:style>
  <w:style w:type="paragraph" w:styleId="53">
    <w:name w:val="List Continue 5"/>
    <w:basedOn w:val="a6"/>
    <w:semiHidden/>
    <w:pPr>
      <w:spacing w:after="120"/>
      <w:ind w:leftChars="1000" w:left="2100"/>
    </w:pPr>
  </w:style>
  <w:style w:type="paragraph" w:styleId="aff3">
    <w:name w:val="Balloon Text"/>
    <w:basedOn w:val="a6"/>
    <w:link w:val="17"/>
    <w:uiPriority w:val="99"/>
    <w:qFormat/>
    <w:rPr>
      <w:sz w:val="18"/>
      <w:szCs w:val="18"/>
    </w:rPr>
  </w:style>
  <w:style w:type="character" w:customStyle="1" w:styleId="17">
    <w:name w:val="批注框文本 字符1"/>
    <w:link w:val="aff3"/>
    <w:uiPriority w:val="99"/>
    <w:qFormat/>
    <w:locked/>
    <w:rPr>
      <w:rFonts w:eastAsia="宋体"/>
      <w:kern w:val="2"/>
      <w:sz w:val="18"/>
      <w:szCs w:val="18"/>
      <w:lang w:val="en-US" w:eastAsia="zh-CN" w:bidi="ar-SA"/>
    </w:rPr>
  </w:style>
  <w:style w:type="paragraph" w:styleId="aff4">
    <w:name w:val="footer"/>
    <w:basedOn w:val="a6"/>
    <w:link w:val="18"/>
    <w:uiPriority w:val="99"/>
    <w:semiHidden/>
    <w:qFormat/>
    <w:pPr>
      <w:tabs>
        <w:tab w:val="center" w:pos="4153"/>
        <w:tab w:val="right" w:pos="8306"/>
      </w:tabs>
      <w:snapToGrid w:val="0"/>
      <w:jc w:val="left"/>
    </w:pPr>
    <w:rPr>
      <w:sz w:val="18"/>
      <w:szCs w:val="18"/>
    </w:rPr>
  </w:style>
  <w:style w:type="character" w:customStyle="1" w:styleId="18">
    <w:name w:val="页脚 字符1"/>
    <w:link w:val="aff4"/>
    <w:semiHidden/>
    <w:qFormat/>
    <w:locked/>
    <w:rPr>
      <w:rFonts w:eastAsia="宋体"/>
      <w:kern w:val="2"/>
      <w:sz w:val="18"/>
      <w:szCs w:val="18"/>
      <w:lang w:val="en-US" w:eastAsia="zh-CN" w:bidi="ar-SA"/>
    </w:rPr>
  </w:style>
  <w:style w:type="paragraph" w:styleId="aff5">
    <w:name w:val="envelope return"/>
    <w:basedOn w:val="a6"/>
    <w:semiHidden/>
    <w:pPr>
      <w:snapToGrid w:val="0"/>
    </w:pPr>
    <w:rPr>
      <w:rFonts w:ascii="Arial" w:hAnsi="Arial" w:cs="Arial"/>
    </w:rPr>
  </w:style>
  <w:style w:type="paragraph" w:styleId="aff6">
    <w:name w:val="header"/>
    <w:basedOn w:val="a6"/>
    <w:link w:val="19"/>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9">
    <w:name w:val="页眉 字符1"/>
    <w:link w:val="aff6"/>
    <w:semiHidden/>
    <w:qFormat/>
    <w:locked/>
    <w:rPr>
      <w:rFonts w:eastAsia="宋体"/>
      <w:kern w:val="2"/>
      <w:sz w:val="18"/>
      <w:szCs w:val="18"/>
      <w:lang w:val="en-US" w:eastAsia="zh-CN" w:bidi="ar-SA"/>
    </w:rPr>
  </w:style>
  <w:style w:type="paragraph" w:styleId="aff7">
    <w:name w:val="Signature"/>
    <w:basedOn w:val="a6"/>
    <w:link w:val="aff8"/>
    <w:semiHidden/>
    <w:pPr>
      <w:ind w:leftChars="2100" w:left="100"/>
    </w:pPr>
  </w:style>
  <w:style w:type="character" w:customStyle="1" w:styleId="aff8">
    <w:name w:val="签名 字符"/>
    <w:link w:val="aff7"/>
    <w:semiHidden/>
    <w:rPr>
      <w:kern w:val="2"/>
      <w:sz w:val="21"/>
      <w:szCs w:val="24"/>
    </w:rPr>
  </w:style>
  <w:style w:type="paragraph" w:styleId="TOC1">
    <w:name w:val="toc 1"/>
    <w:basedOn w:val="a6"/>
    <w:next w:val="a6"/>
    <w:semiHidden/>
  </w:style>
  <w:style w:type="paragraph" w:styleId="44">
    <w:name w:val="List Continue 4"/>
    <w:basedOn w:val="a6"/>
    <w:semiHidden/>
    <w:pPr>
      <w:spacing w:after="120"/>
      <w:ind w:leftChars="800" w:left="1680"/>
    </w:pPr>
  </w:style>
  <w:style w:type="paragraph" w:styleId="TOC4">
    <w:name w:val="toc 4"/>
    <w:basedOn w:val="a6"/>
    <w:next w:val="a6"/>
    <w:semiHidden/>
    <w:pPr>
      <w:adjustRightInd w:val="0"/>
      <w:spacing w:line="312" w:lineRule="atLeast"/>
      <w:ind w:leftChars="600" w:left="1260"/>
      <w:textAlignment w:val="baseline"/>
    </w:pPr>
    <w:rPr>
      <w:rFonts w:cs="宋体"/>
      <w:kern w:val="0"/>
    </w:rPr>
  </w:style>
  <w:style w:type="paragraph" w:styleId="aff9">
    <w:name w:val="index heading"/>
    <w:basedOn w:val="a6"/>
    <w:next w:val="1a"/>
    <w:semiHidden/>
    <w:pPr>
      <w:pBdr>
        <w:top w:val="single" w:sz="8" w:space="1" w:color="auto"/>
      </w:pBdr>
      <w:adjustRightInd w:val="0"/>
      <w:spacing w:line="312" w:lineRule="atLeast"/>
      <w:textAlignment w:val="baseline"/>
    </w:pPr>
    <w:rPr>
      <w:rFonts w:ascii="Cambria" w:hAnsi="Cambria"/>
      <w:b/>
      <w:bCs/>
      <w:kern w:val="0"/>
    </w:rPr>
  </w:style>
  <w:style w:type="paragraph" w:styleId="1a">
    <w:name w:val="index 1"/>
    <w:basedOn w:val="a6"/>
    <w:next w:val="a6"/>
    <w:semiHidden/>
  </w:style>
  <w:style w:type="paragraph" w:styleId="affa">
    <w:name w:val="Subtitle"/>
    <w:basedOn w:val="a6"/>
    <w:link w:val="affb"/>
    <w:qFormat/>
    <w:pPr>
      <w:spacing w:before="240" w:after="60" w:line="312" w:lineRule="auto"/>
      <w:jc w:val="center"/>
      <w:outlineLvl w:val="1"/>
    </w:pPr>
    <w:rPr>
      <w:rFonts w:ascii="Arial" w:hAnsi="Arial"/>
      <w:b/>
      <w:bCs/>
      <w:kern w:val="28"/>
      <w:sz w:val="32"/>
      <w:szCs w:val="32"/>
    </w:rPr>
  </w:style>
  <w:style w:type="character" w:customStyle="1" w:styleId="affb">
    <w:name w:val="副标题 字符"/>
    <w:link w:val="affa"/>
    <w:semiHidden/>
    <w:qFormat/>
    <w:rPr>
      <w:rFonts w:ascii="Arial" w:hAnsi="Arial"/>
      <w:b/>
      <w:bCs/>
      <w:kern w:val="28"/>
      <w:sz w:val="32"/>
      <w:szCs w:val="32"/>
    </w:rPr>
  </w:style>
  <w:style w:type="paragraph" w:styleId="54">
    <w:name w:val="List Number 5"/>
    <w:basedOn w:val="a6"/>
    <w:semiHidden/>
    <w:pPr>
      <w:tabs>
        <w:tab w:val="left" w:pos="2040"/>
      </w:tabs>
      <w:ind w:leftChars="800" w:left="2040" w:hangingChars="200" w:hanging="360"/>
    </w:pPr>
  </w:style>
  <w:style w:type="paragraph" w:styleId="affc">
    <w:name w:val="List"/>
    <w:basedOn w:val="a6"/>
    <w:semiHidden/>
    <w:pPr>
      <w:ind w:left="200" w:hangingChars="200" w:hanging="200"/>
    </w:pPr>
  </w:style>
  <w:style w:type="paragraph" w:styleId="affd">
    <w:name w:val="footnote text"/>
    <w:basedOn w:val="a6"/>
    <w:link w:val="25"/>
    <w:qFormat/>
    <w:pPr>
      <w:snapToGrid w:val="0"/>
      <w:spacing w:line="240" w:lineRule="atLeast"/>
    </w:pPr>
    <w:rPr>
      <w:sz w:val="18"/>
      <w:szCs w:val="18"/>
    </w:rPr>
  </w:style>
  <w:style w:type="character" w:customStyle="1" w:styleId="25">
    <w:name w:val="脚注文本 字符2"/>
    <w:link w:val="affd"/>
    <w:locked/>
    <w:rPr>
      <w:rFonts w:eastAsia="宋体"/>
      <w:kern w:val="2"/>
      <w:sz w:val="18"/>
      <w:szCs w:val="18"/>
      <w:lang w:val="en-US" w:eastAsia="zh-CN" w:bidi="ar-SA"/>
    </w:rPr>
  </w:style>
  <w:style w:type="paragraph" w:styleId="TOC6">
    <w:name w:val="toc 6"/>
    <w:basedOn w:val="a6"/>
    <w:next w:val="a6"/>
    <w:semiHidden/>
    <w:pPr>
      <w:ind w:leftChars="1000" w:left="2100"/>
    </w:pPr>
    <w:rPr>
      <w:rFonts w:ascii="Calibri" w:hAnsi="Calibri"/>
      <w:szCs w:val="22"/>
    </w:rPr>
  </w:style>
  <w:style w:type="paragraph" w:styleId="55">
    <w:name w:val="List 5"/>
    <w:basedOn w:val="a6"/>
    <w:semiHidden/>
    <w:pPr>
      <w:ind w:leftChars="800" w:left="100" w:hangingChars="200" w:hanging="200"/>
    </w:pPr>
  </w:style>
  <w:style w:type="paragraph" w:styleId="36">
    <w:name w:val="Body Text Indent 3"/>
    <w:basedOn w:val="a6"/>
    <w:semiHidden/>
    <w:pPr>
      <w:ind w:firstLine="412"/>
    </w:pPr>
    <w:rPr>
      <w:spacing w:val="-2"/>
    </w:rPr>
  </w:style>
  <w:style w:type="paragraph" w:styleId="70">
    <w:name w:val="index 7"/>
    <w:basedOn w:val="a6"/>
    <w:next w:val="a6"/>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6"/>
    <w:next w:val="a6"/>
    <w:semiHidden/>
    <w:pPr>
      <w:pBdr>
        <w:top w:val="single" w:sz="8" w:space="1" w:color="auto"/>
      </w:pBdr>
      <w:adjustRightInd w:val="0"/>
      <w:spacing w:line="312" w:lineRule="atLeast"/>
      <w:ind w:leftChars="1600" w:left="1600"/>
      <w:textAlignment w:val="baseline"/>
    </w:pPr>
    <w:rPr>
      <w:rFonts w:cs="宋体"/>
      <w:kern w:val="0"/>
    </w:rPr>
  </w:style>
  <w:style w:type="paragraph" w:styleId="affe">
    <w:name w:val="table of figures"/>
    <w:basedOn w:val="a6"/>
    <w:next w:val="a6"/>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6"/>
    <w:next w:val="a6"/>
    <w:semiHidden/>
    <w:pPr>
      <w:ind w:leftChars="200" w:left="420"/>
    </w:pPr>
  </w:style>
  <w:style w:type="paragraph" w:styleId="TOC9">
    <w:name w:val="toc 9"/>
    <w:basedOn w:val="a6"/>
    <w:next w:val="a6"/>
    <w:semiHidden/>
    <w:pPr>
      <w:ind w:leftChars="1600" w:left="3360"/>
    </w:pPr>
    <w:rPr>
      <w:rFonts w:ascii="Calibri" w:hAnsi="Calibri"/>
      <w:szCs w:val="22"/>
    </w:rPr>
  </w:style>
  <w:style w:type="paragraph" w:styleId="26">
    <w:name w:val="Body Text 2"/>
    <w:basedOn w:val="a6"/>
    <w:semiHidden/>
    <w:pPr>
      <w:spacing w:after="120" w:line="480" w:lineRule="auto"/>
    </w:pPr>
  </w:style>
  <w:style w:type="paragraph" w:styleId="45">
    <w:name w:val="List 4"/>
    <w:basedOn w:val="a6"/>
    <w:semiHidden/>
    <w:pPr>
      <w:ind w:leftChars="600" w:left="100" w:hangingChars="200" w:hanging="200"/>
    </w:pPr>
  </w:style>
  <w:style w:type="paragraph" w:styleId="27">
    <w:name w:val="List Continue 2"/>
    <w:basedOn w:val="a6"/>
    <w:semiHidden/>
    <w:pPr>
      <w:spacing w:after="120"/>
      <w:ind w:leftChars="400" w:left="840"/>
    </w:pPr>
  </w:style>
  <w:style w:type="paragraph" w:styleId="afff">
    <w:name w:val="Message Header"/>
    <w:basedOn w:val="a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6"/>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f0">
    <w:name w:val="Normal (Web)"/>
    <w:basedOn w:val="a6"/>
    <w:uiPriority w:val="99"/>
    <w:semiHidden/>
    <w:qFormat/>
    <w:rPr>
      <w:sz w:val="24"/>
    </w:rPr>
  </w:style>
  <w:style w:type="paragraph" w:styleId="37">
    <w:name w:val="List Continue 3"/>
    <w:basedOn w:val="a6"/>
    <w:semiHidden/>
    <w:pPr>
      <w:spacing w:after="120"/>
      <w:ind w:leftChars="600" w:left="1260"/>
    </w:pPr>
  </w:style>
  <w:style w:type="paragraph" w:styleId="28">
    <w:name w:val="index 2"/>
    <w:basedOn w:val="a6"/>
    <w:next w:val="a6"/>
    <w:semiHidden/>
    <w:pPr>
      <w:ind w:leftChars="200" w:left="200"/>
    </w:pPr>
  </w:style>
  <w:style w:type="paragraph" w:styleId="afff1">
    <w:name w:val="Title"/>
    <w:basedOn w:val="a6"/>
    <w:link w:val="afff2"/>
    <w:qFormat/>
    <w:pPr>
      <w:spacing w:before="240" w:after="60"/>
      <w:jc w:val="center"/>
      <w:outlineLvl w:val="0"/>
    </w:pPr>
    <w:rPr>
      <w:rFonts w:ascii="Arial" w:hAnsi="Arial"/>
      <w:b/>
      <w:bCs/>
      <w:sz w:val="32"/>
      <w:szCs w:val="32"/>
    </w:rPr>
  </w:style>
  <w:style w:type="character" w:customStyle="1" w:styleId="afff2">
    <w:name w:val="标题 字符"/>
    <w:link w:val="afff1"/>
    <w:semiHidden/>
    <w:qFormat/>
    <w:rPr>
      <w:rFonts w:ascii="Arial" w:hAnsi="Arial"/>
      <w:b/>
      <w:bCs/>
      <w:kern w:val="2"/>
      <w:sz w:val="32"/>
      <w:szCs w:val="32"/>
    </w:rPr>
  </w:style>
  <w:style w:type="paragraph" w:styleId="afff3">
    <w:name w:val="annotation subject"/>
    <w:basedOn w:val="af7"/>
    <w:next w:val="af7"/>
    <w:link w:val="afff4"/>
    <w:uiPriority w:val="99"/>
    <w:semiHidden/>
    <w:qFormat/>
    <w:rPr>
      <w:b/>
      <w:bCs/>
    </w:rPr>
  </w:style>
  <w:style w:type="character" w:customStyle="1" w:styleId="afff4">
    <w:name w:val="批注主题 字符"/>
    <w:link w:val="afff3"/>
    <w:uiPriority w:val="99"/>
    <w:semiHidden/>
    <w:qFormat/>
    <w:rPr>
      <w:b/>
      <w:bCs/>
      <w:kern w:val="2"/>
      <w:sz w:val="21"/>
      <w:szCs w:val="24"/>
    </w:rPr>
  </w:style>
  <w:style w:type="paragraph" w:styleId="afff5">
    <w:name w:val="Body Text First Indent"/>
    <w:basedOn w:val="afb"/>
    <w:semiHidden/>
    <w:pPr>
      <w:tabs>
        <w:tab w:val="clear" w:pos="357"/>
      </w:tabs>
      <w:overflowPunct/>
      <w:spacing w:after="120"/>
      <w:ind w:firstLineChars="100" w:firstLine="420"/>
    </w:pPr>
    <w:rPr>
      <w:sz w:val="21"/>
      <w:szCs w:val="24"/>
    </w:rPr>
  </w:style>
  <w:style w:type="paragraph" w:styleId="29">
    <w:name w:val="Body Text First Indent 2"/>
    <w:basedOn w:val="afc"/>
    <w:semiHidden/>
    <w:pPr>
      <w:spacing w:after="120"/>
      <w:ind w:leftChars="200" w:left="420" w:firstLine="420"/>
    </w:pPr>
    <w:rPr>
      <w:spacing w:val="0"/>
    </w:rPr>
  </w:style>
  <w:style w:type="table" w:styleId="afff6">
    <w:name w:val="Table Grid"/>
    <w:basedOn w:val="a8"/>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Colorful 1"/>
    <w:basedOn w:val="a8"/>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8"/>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8"/>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7">
    <w:name w:val="Table Elegant"/>
    <w:basedOn w:val="a8"/>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c">
    <w:name w:val="Table Classic 1"/>
    <w:basedOn w:val="a8"/>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8"/>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8"/>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8"/>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d">
    <w:name w:val="Table Simple 1"/>
    <w:basedOn w:val="a8"/>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8"/>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e">
    <w:name w:val="Table Subtle 1"/>
    <w:basedOn w:val="a8"/>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8"/>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3D effects 1"/>
    <w:basedOn w:val="a8"/>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8"/>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8"/>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0">
    <w:name w:val="Table List 1"/>
    <w:basedOn w:val="a8"/>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8"/>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8"/>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8"/>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8"/>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8"/>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8">
    <w:name w:val="Table Contemporary"/>
    <w:basedOn w:val="a8"/>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1">
    <w:name w:val="Table Columns 1"/>
    <w:basedOn w:val="a8"/>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8"/>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8"/>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8"/>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8"/>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2">
    <w:name w:val="Table Grid 1"/>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8"/>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8"/>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8"/>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8"/>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8"/>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8"/>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3">
    <w:name w:val="Table Web 1"/>
    <w:basedOn w:val="a8"/>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8"/>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8"/>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9">
    <w:name w:val="Table Professional"/>
    <w:basedOn w:val="a8"/>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8"/>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8"/>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a">
    <w:name w:val="Strong"/>
    <w:qFormat/>
    <w:rPr>
      <w:rFonts w:eastAsia="宋体"/>
      <w:b/>
      <w:bCs/>
      <w:sz w:val="21"/>
      <w:szCs w:val="21"/>
      <w:lang w:val="en-US" w:eastAsia="zh-CN" w:bidi="ar-SA"/>
    </w:rPr>
  </w:style>
  <w:style w:type="character" w:styleId="afffb">
    <w:name w:val="endnote reference"/>
    <w:semiHidden/>
    <w:qFormat/>
    <w:rPr>
      <w:rFonts w:ascii="Times New Roman" w:eastAsia="宋体" w:hAnsi="Times New Roman"/>
      <w:sz w:val="24"/>
      <w:szCs w:val="18"/>
      <w:vertAlign w:val="baseline"/>
      <w:lang w:val="en-US" w:eastAsia="zh-CN" w:bidi="ar-SA"/>
    </w:rPr>
  </w:style>
  <w:style w:type="character" w:styleId="afffc">
    <w:name w:val="page number"/>
    <w:basedOn w:val="a7"/>
    <w:semiHidden/>
    <w:qFormat/>
    <w:rPr>
      <w:rFonts w:eastAsia="宋体"/>
      <w:sz w:val="21"/>
      <w:szCs w:val="21"/>
      <w:lang w:val="en-US" w:eastAsia="zh-CN" w:bidi="ar-SA"/>
    </w:rPr>
  </w:style>
  <w:style w:type="character" w:styleId="afffd">
    <w:name w:val="FollowedHyperlink"/>
    <w:uiPriority w:val="99"/>
    <w:semiHidden/>
    <w:qFormat/>
    <w:rPr>
      <w:rFonts w:eastAsia="宋体"/>
      <w:color w:val="800080"/>
      <w:sz w:val="21"/>
      <w:szCs w:val="21"/>
      <w:u w:val="single"/>
      <w:lang w:val="en-US" w:eastAsia="zh-CN" w:bidi="ar-SA"/>
    </w:rPr>
  </w:style>
  <w:style w:type="character" w:styleId="afffe">
    <w:name w:val="Emphasis"/>
    <w:uiPriority w:val="20"/>
    <w:qFormat/>
    <w:rPr>
      <w:rFonts w:eastAsia="宋体"/>
      <w:i/>
      <w:iCs/>
      <w:sz w:val="21"/>
      <w:szCs w:val="21"/>
      <w:lang w:val="en-US" w:eastAsia="zh-CN" w:bidi="ar-SA"/>
    </w:rPr>
  </w:style>
  <w:style w:type="character" w:styleId="affff">
    <w:name w:val="line number"/>
    <w:basedOn w:val="a7"/>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7"/>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f0">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f1">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f2">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6"/>
    <w:semiHidden/>
  </w:style>
  <w:style w:type="character" w:customStyle="1" w:styleId="tm">
    <w:name w:val="tm"/>
    <w:basedOn w:val="a7"/>
    <w:semiHidden/>
    <w:rPr>
      <w:rFonts w:eastAsia="宋体"/>
      <w:sz w:val="21"/>
      <w:szCs w:val="21"/>
      <w:lang w:val="en-US" w:eastAsia="zh-CN" w:bidi="ar-SA"/>
    </w:rPr>
  </w:style>
  <w:style w:type="character" w:customStyle="1" w:styleId="p">
    <w:name w:val="p"/>
    <w:basedOn w:val="a7"/>
    <w:semiHidden/>
    <w:rPr>
      <w:rFonts w:eastAsia="宋体"/>
      <w:sz w:val="21"/>
      <w:szCs w:val="21"/>
      <w:lang w:val="en-US" w:eastAsia="zh-CN" w:bidi="ar-SA"/>
    </w:rPr>
  </w:style>
  <w:style w:type="paragraph" w:customStyle="1" w:styleId="Char">
    <w:name w:val="Char"/>
    <w:basedOn w:val="a6"/>
    <w:semiHidden/>
    <w:pPr>
      <w:ind w:firstLineChars="170" w:firstLine="357"/>
    </w:pPr>
    <w:rPr>
      <w:rFonts w:ascii="Tahoma" w:hAnsi="Tahoma"/>
      <w:szCs w:val="20"/>
    </w:rPr>
  </w:style>
  <w:style w:type="paragraph" w:customStyle="1" w:styleId="affff3">
    <w:name w:val="表后空"/>
    <w:basedOn w:val="a6"/>
    <w:qFormat/>
    <w:pPr>
      <w:adjustRightInd w:val="0"/>
      <w:snapToGrid w:val="0"/>
      <w:spacing w:line="160" w:lineRule="exact"/>
    </w:pPr>
  </w:style>
  <w:style w:type="paragraph" w:customStyle="1" w:styleId="affff4">
    <w:name w:val="表题"/>
    <w:basedOn w:val="a6"/>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f4"/>
    <w:qFormat/>
    <w:rPr>
      <w:rFonts w:eastAsia="黑体"/>
      <w:kern w:val="2"/>
      <w:sz w:val="18"/>
      <w:szCs w:val="18"/>
      <w:lang w:val="en-US" w:eastAsia="zh-CN" w:bidi="ar-SA"/>
    </w:rPr>
  </w:style>
  <w:style w:type="paragraph" w:customStyle="1" w:styleId="affff5">
    <w:name w:val="表文"/>
    <w:basedOn w:val="a6"/>
    <w:link w:val="Char1"/>
    <w:qFormat/>
    <w:rPr>
      <w:sz w:val="15"/>
      <w:szCs w:val="15"/>
    </w:rPr>
  </w:style>
  <w:style w:type="character" w:customStyle="1" w:styleId="Char1">
    <w:name w:val="表文 Char"/>
    <w:link w:val="affff5"/>
    <w:rPr>
      <w:kern w:val="2"/>
      <w:sz w:val="15"/>
      <w:szCs w:val="15"/>
    </w:rPr>
  </w:style>
  <w:style w:type="paragraph" w:customStyle="1" w:styleId="affff6">
    <w:name w:val="地名"/>
    <w:basedOn w:val="a6"/>
    <w:link w:val="Char2"/>
    <w:qFormat/>
    <w:pPr>
      <w:snapToGrid w:val="0"/>
      <w:spacing w:afterLines="70" w:after="70" w:line="240" w:lineRule="atLeast"/>
      <w:jc w:val="center"/>
    </w:pPr>
    <w:rPr>
      <w:sz w:val="15"/>
      <w:szCs w:val="15"/>
    </w:rPr>
  </w:style>
  <w:style w:type="character" w:customStyle="1" w:styleId="Char2">
    <w:name w:val="地名 Char"/>
    <w:link w:val="affff6"/>
    <w:rPr>
      <w:kern w:val="2"/>
      <w:sz w:val="15"/>
      <w:szCs w:val="15"/>
    </w:rPr>
  </w:style>
  <w:style w:type="paragraph" w:customStyle="1" w:styleId="affff7">
    <w:name w:val="公式"/>
    <w:basedOn w:val="a6"/>
    <w:next w:val="a6"/>
    <w:link w:val="Char10"/>
    <w:qFormat/>
    <w:pPr>
      <w:tabs>
        <w:tab w:val="center" w:pos="2300"/>
        <w:tab w:val="right" w:pos="4599"/>
      </w:tabs>
      <w:snapToGrid w:val="0"/>
      <w:spacing w:beforeLines="20" w:before="20" w:afterLines="20" w:after="20"/>
    </w:pPr>
  </w:style>
  <w:style w:type="character" w:customStyle="1" w:styleId="Char10">
    <w:name w:val="公式 Char1"/>
    <w:link w:val="affff7"/>
    <w:rPr>
      <w:rFonts w:eastAsia="宋体"/>
      <w:kern w:val="2"/>
      <w:sz w:val="21"/>
      <w:szCs w:val="24"/>
      <w:lang w:val="en-US" w:eastAsia="zh-CN" w:bidi="ar-SA"/>
    </w:rPr>
  </w:style>
  <w:style w:type="paragraph" w:customStyle="1" w:styleId="2f3">
    <w:name w:val="公式2"/>
    <w:basedOn w:val="affff7"/>
    <w:qFormat/>
    <w:pPr>
      <w:tabs>
        <w:tab w:val="clear" w:pos="2300"/>
        <w:tab w:val="clear" w:pos="4599"/>
        <w:tab w:val="center" w:pos="4818"/>
        <w:tab w:val="right" w:pos="9636"/>
      </w:tabs>
    </w:pPr>
  </w:style>
  <w:style w:type="paragraph" w:customStyle="1" w:styleId="affff8">
    <w:name w:val="固定值"/>
    <w:basedOn w:val="a6"/>
    <w:semiHidden/>
    <w:qFormat/>
    <w:pPr>
      <w:spacing w:line="312" w:lineRule="exact"/>
    </w:pPr>
  </w:style>
  <w:style w:type="character" w:customStyle="1" w:styleId="CharChar3">
    <w:name w:val="Char Char3"/>
    <w:semiHidden/>
    <w:locked/>
    <w:rPr>
      <w:rFonts w:eastAsia="宋体"/>
      <w:kern w:val="2"/>
      <w:sz w:val="18"/>
      <w:szCs w:val="18"/>
      <w:lang w:val="en-US" w:eastAsia="zh-CN" w:bidi="ar-SA"/>
    </w:rPr>
  </w:style>
  <w:style w:type="paragraph" w:customStyle="1" w:styleId="affff9">
    <w:name w:val="人名"/>
    <w:basedOn w:val="a6"/>
    <w:link w:val="Char3"/>
    <w:qFormat/>
    <w:pPr>
      <w:jc w:val="center"/>
    </w:pPr>
    <w:rPr>
      <w:rFonts w:eastAsia="楷体_GB2312"/>
    </w:rPr>
  </w:style>
  <w:style w:type="character" w:customStyle="1" w:styleId="Char3">
    <w:name w:val="人名 Char"/>
    <w:link w:val="affff9"/>
    <w:rPr>
      <w:rFonts w:eastAsia="楷体_GB2312"/>
      <w:kern w:val="2"/>
      <w:sz w:val="21"/>
      <w:szCs w:val="24"/>
      <w:lang w:val="en-US" w:eastAsia="zh-CN" w:bidi="ar-SA"/>
    </w:rPr>
  </w:style>
  <w:style w:type="paragraph" w:customStyle="1" w:styleId="affffa">
    <w:name w:val="图"/>
    <w:basedOn w:val="a6"/>
    <w:next w:val="a6"/>
    <w:link w:val="Char4"/>
    <w:qFormat/>
    <w:pPr>
      <w:adjustRightInd w:val="0"/>
      <w:snapToGrid w:val="0"/>
      <w:spacing w:before="240" w:after="100"/>
      <w:jc w:val="center"/>
    </w:pPr>
  </w:style>
  <w:style w:type="character" w:customStyle="1" w:styleId="Char4">
    <w:name w:val="图 Char"/>
    <w:link w:val="affffa"/>
    <w:rPr>
      <w:rFonts w:eastAsia="宋体"/>
      <w:kern w:val="2"/>
      <w:sz w:val="21"/>
      <w:szCs w:val="24"/>
      <w:lang w:val="en-US" w:eastAsia="zh-CN" w:bidi="ar-SA"/>
    </w:rPr>
  </w:style>
  <w:style w:type="paragraph" w:customStyle="1" w:styleId="affffb">
    <w:name w:val="图注"/>
    <w:basedOn w:val="a6"/>
    <w:link w:val="Char20"/>
    <w:qFormat/>
    <w:pPr>
      <w:adjustRightInd w:val="0"/>
      <w:snapToGrid w:val="0"/>
      <w:spacing w:before="40" w:after="200"/>
      <w:jc w:val="center"/>
    </w:pPr>
    <w:rPr>
      <w:sz w:val="15"/>
      <w:szCs w:val="15"/>
    </w:rPr>
  </w:style>
  <w:style w:type="character" w:customStyle="1" w:styleId="Char20">
    <w:name w:val="图注 Char2"/>
    <w:link w:val="affffb"/>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c">
    <w:name w:val="文献"/>
    <w:basedOn w:val="a6"/>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c"/>
    <w:qFormat/>
    <w:rPr>
      <w:rFonts w:ascii="Times New Roman MT Extra Bold" w:eastAsia="黑体" w:hAnsi="Times New Roman MT Extra Bold"/>
      <w:kern w:val="2"/>
      <w:sz w:val="21"/>
      <w:szCs w:val="24"/>
    </w:rPr>
  </w:style>
  <w:style w:type="paragraph" w:customStyle="1" w:styleId="affffd">
    <w:name w:val="文献文"/>
    <w:basedOn w:val="a6"/>
    <w:qFormat/>
    <w:pPr>
      <w:spacing w:line="240" w:lineRule="exact"/>
      <w:ind w:hangingChars="210" w:hanging="335"/>
    </w:pPr>
    <w:rPr>
      <w:sz w:val="15"/>
      <w:szCs w:val="15"/>
    </w:rPr>
  </w:style>
  <w:style w:type="paragraph" w:customStyle="1" w:styleId="affffe">
    <w:name w:val="五黑"/>
    <w:basedOn w:val="a6"/>
    <w:next w:val="a6"/>
    <w:semiHidden/>
    <w:qFormat/>
    <w:rPr>
      <w:rFonts w:ascii="Times New Roman MT Extra Bold" w:eastAsia="黑体" w:hAnsi="Times New Roman MT Extra Bold"/>
    </w:rPr>
  </w:style>
  <w:style w:type="paragraph" w:customStyle="1" w:styleId="afffff">
    <w:name w:val="小回车"/>
    <w:basedOn w:val="a6"/>
    <w:semiHidden/>
    <w:qFormat/>
    <w:pPr>
      <w:keepNext/>
      <w:adjustRightInd w:val="0"/>
      <w:snapToGrid w:val="0"/>
      <w:spacing w:line="20" w:lineRule="exact"/>
    </w:pPr>
    <w:rPr>
      <w:sz w:val="10"/>
      <w:szCs w:val="10"/>
    </w:rPr>
  </w:style>
  <w:style w:type="paragraph" w:customStyle="1" w:styleId="afffff0">
    <w:name w:val="小五黑"/>
    <w:basedOn w:val="a6"/>
    <w:semiHidden/>
    <w:qFormat/>
    <w:rPr>
      <w:rFonts w:ascii="Times New Roman MT Extra Bold" w:eastAsia="黑体" w:hAnsi="Times New Roman MT Extra Bold"/>
      <w:sz w:val="18"/>
      <w:szCs w:val="18"/>
    </w:rPr>
  </w:style>
  <w:style w:type="character" w:customStyle="1" w:styleId="CharChar7">
    <w:name w:val="Char Char7"/>
    <w:semiHidden/>
    <w:locked/>
    <w:rPr>
      <w:rFonts w:eastAsia="宋体"/>
      <w:kern w:val="2"/>
      <w:sz w:val="18"/>
      <w:szCs w:val="18"/>
      <w:lang w:val="en-US" w:eastAsia="zh-CN" w:bidi="ar-SA"/>
    </w:rPr>
  </w:style>
  <w:style w:type="character" w:customStyle="1" w:styleId="CharChar4">
    <w:name w:val="Char Char4"/>
    <w:semiHidden/>
    <w:rPr>
      <w:rFonts w:eastAsia="宋体"/>
      <w:kern w:val="2"/>
      <w:sz w:val="18"/>
      <w:szCs w:val="18"/>
      <w:lang w:val="en-US" w:eastAsia="zh-CN" w:bidi="ar-SA"/>
    </w:rPr>
  </w:style>
  <w:style w:type="paragraph" w:customStyle="1" w:styleId="afffff1">
    <w:name w:val="摘要"/>
    <w:basedOn w:val="a6"/>
    <w:link w:val="Char30"/>
    <w:qFormat/>
    <w:pPr>
      <w:snapToGrid w:val="0"/>
      <w:spacing w:line="280" w:lineRule="atLeast"/>
      <w:ind w:leftChars="200" w:left="200" w:rightChars="200" w:right="200"/>
    </w:pPr>
    <w:rPr>
      <w:sz w:val="18"/>
      <w:szCs w:val="18"/>
    </w:rPr>
  </w:style>
  <w:style w:type="character" w:customStyle="1" w:styleId="Char30">
    <w:name w:val="摘要 Char3"/>
    <w:link w:val="afffff1"/>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f2">
    <w:name w:val="作者简介"/>
    <w:basedOn w:val="affd"/>
    <w:link w:val="Char7"/>
    <w:qFormat/>
    <w:rPr>
      <w:kern w:val="0"/>
    </w:rPr>
  </w:style>
  <w:style w:type="character" w:customStyle="1" w:styleId="Char7">
    <w:name w:val="作者简介 Char"/>
    <w:basedOn w:val="CharChar2"/>
    <w:link w:val="afffff2"/>
    <w:qFormat/>
    <w:rPr>
      <w:rFonts w:eastAsia="宋体"/>
      <w:kern w:val="2"/>
      <w:sz w:val="18"/>
      <w:szCs w:val="18"/>
      <w:lang w:val="en-US" w:eastAsia="zh-CN" w:bidi="ar-SA"/>
    </w:rPr>
  </w:style>
  <w:style w:type="character" w:customStyle="1" w:styleId="CharChar2">
    <w:name w:val="Char Char2"/>
    <w:semiHidden/>
    <w:rPr>
      <w:rFonts w:eastAsia="宋体"/>
      <w:kern w:val="2"/>
      <w:sz w:val="18"/>
      <w:szCs w:val="18"/>
      <w:lang w:val="en-US" w:eastAsia="zh-CN" w:bidi="ar-SA"/>
    </w:rPr>
  </w:style>
  <w:style w:type="paragraph" w:customStyle="1" w:styleId="afffff3">
    <w:name w:val="作者简介："/>
    <w:basedOn w:val="affd"/>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Char Char"/>
    <w:basedOn w:val="af5"/>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f4">
    <w:name w:val="点"/>
    <w:basedOn w:val="a6"/>
    <w:semiHidden/>
    <w:pPr>
      <w:ind w:leftChars="200" w:left="630" w:hangingChars="100" w:hanging="210"/>
    </w:pPr>
  </w:style>
  <w:style w:type="paragraph" w:customStyle="1" w:styleId="References">
    <w:name w:val="References"/>
    <w:basedOn w:val="a6"/>
    <w:semiHidden/>
    <w:pPr>
      <w:widowControl/>
      <w:tabs>
        <w:tab w:val="left" w:pos="360"/>
      </w:tabs>
      <w:ind w:left="360" w:hanging="360"/>
    </w:pPr>
    <w:rPr>
      <w:kern w:val="0"/>
      <w:sz w:val="16"/>
      <w:szCs w:val="20"/>
      <w:lang w:eastAsia="en-US"/>
    </w:rPr>
  </w:style>
  <w:style w:type="paragraph" w:customStyle="1" w:styleId="Style2">
    <w:name w:val="Style 2"/>
    <w:basedOn w:val="a6"/>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f5"/>
    <w:semiHidden/>
    <w:pPr>
      <w:ind w:left="66" w:hangingChars="66" w:hanging="66"/>
    </w:pPr>
    <w:rPr>
      <w:iCs/>
      <w:sz w:val="16"/>
    </w:rPr>
  </w:style>
  <w:style w:type="paragraph" w:customStyle="1" w:styleId="afffff5">
    <w:name w:val="单位"/>
    <w:semiHidden/>
    <w:pPr>
      <w:ind w:left="70" w:hangingChars="70" w:hanging="70"/>
      <w:jc w:val="both"/>
    </w:pPr>
    <w:rPr>
      <w:sz w:val="17"/>
    </w:rPr>
  </w:style>
  <w:style w:type="paragraph" w:customStyle="1" w:styleId="Abstract">
    <w:name w:val="Abstract"/>
    <w:next w:val="a6"/>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6">
    <w:name w:val="关键词"/>
    <w:basedOn w:val="afffff1"/>
    <w:next w:val="a6"/>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1f4">
    <w:name w:val="标题1"/>
    <w:basedOn w:val="a6"/>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7"/>
    <w:next w:val="DepartCorrespondhttp"/>
    <w:semiHidden/>
    <w:pPr>
      <w:keepNext/>
      <w:spacing w:before="220" w:after="180"/>
    </w:pPr>
    <w:rPr>
      <w:rFonts w:eastAsia="宋体"/>
      <w:w w:val="100"/>
      <w:sz w:val="18"/>
    </w:rPr>
  </w:style>
  <w:style w:type="paragraph" w:customStyle="1" w:styleId="afffff7">
    <w:name w:val="作者"/>
    <w:basedOn w:val="a6"/>
    <w:next w:val="afffff5"/>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8">
    <w:name w:val="致谢"/>
    <w:basedOn w:val="a6"/>
    <w:next w:val="a6"/>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6"/>
    <w:next w:val="a6"/>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6"/>
    <w:next w:val="a6"/>
    <w:semiHidden/>
    <w:pPr>
      <w:spacing w:beforeLines="50" w:before="156" w:afterLines="50" w:after="156"/>
      <w:ind w:left="284" w:rightChars="180" w:right="378"/>
    </w:pPr>
    <w:rPr>
      <w:sz w:val="18"/>
    </w:rPr>
  </w:style>
  <w:style w:type="paragraph" w:customStyle="1" w:styleId="Reference">
    <w:name w:val="Reference"/>
    <w:basedOn w:val="a6"/>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9">
    <w:name w:val="正文文字"/>
    <w:basedOn w:val="a6"/>
    <w:next w:val="a6"/>
    <w:semiHidden/>
    <w:pPr>
      <w:autoSpaceDE w:val="0"/>
      <w:autoSpaceDN w:val="0"/>
      <w:adjustRightInd w:val="0"/>
      <w:jc w:val="left"/>
    </w:pPr>
    <w:rPr>
      <w:rFonts w:ascii="LAOFPP+TimesNewRoman" w:eastAsia="LAOFPP+TimesNewRoman"/>
      <w:kern w:val="0"/>
      <w:sz w:val="24"/>
    </w:rPr>
  </w:style>
  <w:style w:type="paragraph" w:customStyle="1" w:styleId="1f5">
    <w:name w:val="脚注文本1"/>
    <w:basedOn w:val="affd"/>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5"/>
    <w:semiHidden/>
    <w:rPr>
      <w:rFonts w:eastAsia="宋体"/>
      <w:kern w:val="2"/>
      <w:sz w:val="15"/>
      <w:szCs w:val="21"/>
      <w:lang w:val="en-US" w:eastAsia="zh-CN" w:bidi="ar-SA"/>
    </w:rPr>
  </w:style>
  <w:style w:type="paragraph" w:customStyle="1" w:styleId="afffffa">
    <w:name w:val="首页页眉"/>
    <w:basedOn w:val="aff6"/>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6"/>
    <w:semiHidden/>
  </w:style>
  <w:style w:type="paragraph" w:customStyle="1" w:styleId="1f6">
    <w:name w:val="日期1"/>
    <w:basedOn w:val="DepartCorrespondhttp"/>
    <w:next w:val="Information"/>
    <w:semiHidden/>
    <w:pPr>
      <w:spacing w:after="240"/>
    </w:pPr>
    <w:rPr>
      <w:sz w:val="18"/>
    </w:rPr>
  </w:style>
  <w:style w:type="paragraph" w:customStyle="1" w:styleId="Information">
    <w:name w:val="Information"/>
    <w:basedOn w:val="1f6"/>
    <w:next w:val="Abstract"/>
    <w:semiHidden/>
    <w:pPr>
      <w:ind w:left="0" w:firstLineChars="0" w:firstLine="0"/>
    </w:pPr>
    <w:rPr>
      <w:b/>
      <w:bCs/>
    </w:rPr>
  </w:style>
  <w:style w:type="paragraph" w:customStyle="1" w:styleId="Keywords">
    <w:name w:val="Key words"/>
    <w:basedOn w:val="a6"/>
    <w:next w:val="afffff1"/>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b">
    <w:name w:val="分类号"/>
    <w:basedOn w:val="1f6"/>
    <w:next w:val="afb"/>
    <w:semiHidden/>
    <w:pPr>
      <w:tabs>
        <w:tab w:val="left" w:pos="1233"/>
      </w:tabs>
      <w:spacing w:after="320"/>
      <w:ind w:left="0" w:firstLineChars="0" w:firstLine="0"/>
    </w:pPr>
    <w:rPr>
      <w:rFonts w:eastAsia="黑体"/>
    </w:rPr>
  </w:style>
  <w:style w:type="paragraph" w:customStyle="1" w:styleId="afffffc">
    <w:name w:val="文前文本"/>
    <w:basedOn w:val="afffff6"/>
    <w:semiHidden/>
    <w:pPr>
      <w:ind w:left="0" w:firstLine="0"/>
    </w:pPr>
    <w:rPr>
      <w:b/>
    </w:rPr>
  </w:style>
  <w:style w:type="paragraph" w:customStyle="1" w:styleId="afffffd">
    <w:name w:val="定理"/>
    <w:basedOn w:val="afb"/>
    <w:next w:val="afb"/>
    <w:semiHidden/>
    <w:rPr>
      <w:rFonts w:eastAsia="黑体"/>
    </w:rPr>
  </w:style>
  <w:style w:type="paragraph" w:customStyle="1" w:styleId="afffffe">
    <w:name w:val="表名"/>
    <w:basedOn w:val="a6"/>
    <w:semiHidden/>
    <w:pPr>
      <w:overflowPunct w:val="0"/>
      <w:spacing w:after="120"/>
    </w:pPr>
    <w:rPr>
      <w:sz w:val="18"/>
      <w:szCs w:val="20"/>
    </w:rPr>
  </w:style>
  <w:style w:type="paragraph" w:customStyle="1" w:styleId="affffff">
    <w:name w:val="证明"/>
    <w:basedOn w:val="afffffd"/>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f0">
    <w:name w:val="中文参考文献"/>
    <w:basedOn w:val="Reference"/>
    <w:next w:val="afb"/>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79"/>
        <w:tab w:val="clear" w:pos="346"/>
        <w:tab w:val="left" w:pos="78"/>
        <w:tab w:val="left" w:pos="424"/>
      </w:tabs>
    </w:pPr>
  </w:style>
  <w:style w:type="paragraph" w:customStyle="1" w:styleId="http">
    <w:name w:val="http(中)"/>
    <w:basedOn w:val="a6"/>
    <w:next w:val="a6"/>
    <w:semiHidden/>
    <w:pPr>
      <w:widowControl/>
      <w:spacing w:after="200"/>
    </w:pPr>
    <w:rPr>
      <w:kern w:val="0"/>
      <w:sz w:val="15"/>
      <w:szCs w:val="20"/>
    </w:rPr>
  </w:style>
  <w:style w:type="character" w:customStyle="1" w:styleId="simjour">
    <w:name w:val="simjour"/>
    <w:basedOn w:val="a7"/>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Char Char Char Char Char Char Char"/>
    <w:basedOn w:val="a6"/>
    <w:semiHidden/>
    <w:rPr>
      <w:rFonts w:ascii="Tahoma" w:hAnsi="Tahoma"/>
      <w:sz w:val="24"/>
      <w:szCs w:val="20"/>
    </w:rPr>
  </w:style>
  <w:style w:type="paragraph" w:customStyle="1" w:styleId="1f7">
    <w:name w:val="正文1"/>
    <w:basedOn w:val="a6"/>
    <w:link w:val="Chara"/>
    <w:semiHidden/>
    <w:qFormat/>
    <w:rPr>
      <w:bCs/>
      <w:snapToGrid w:val="0"/>
      <w:kern w:val="0"/>
      <w:sz w:val="19"/>
      <w:szCs w:val="19"/>
    </w:rPr>
  </w:style>
  <w:style w:type="character" w:customStyle="1" w:styleId="Chara">
    <w:name w:val="正文 Char"/>
    <w:link w:val="1f7"/>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6"/>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6"/>
    <w:semiHidden/>
    <w:pPr>
      <w:snapToGrid w:val="0"/>
      <w:spacing w:before="120"/>
    </w:pPr>
    <w:rPr>
      <w:rFonts w:eastAsia="方正仿宋简体"/>
      <w:spacing w:val="4"/>
      <w:sz w:val="18"/>
    </w:rPr>
  </w:style>
  <w:style w:type="paragraph" w:customStyle="1" w:styleId="64">
    <w:name w:val="标题6"/>
    <w:basedOn w:val="a6"/>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6"/>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6"/>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7"/>
    <w:semiHidden/>
    <w:rPr>
      <w:rFonts w:eastAsia="宋体"/>
      <w:sz w:val="21"/>
      <w:szCs w:val="21"/>
      <w:lang w:val="en-US" w:eastAsia="zh-CN" w:bidi="ar-SA"/>
    </w:rPr>
  </w:style>
  <w:style w:type="paragraph" w:customStyle="1" w:styleId="MTDisplayEquation">
    <w:name w:val="MTDisplayEquation"/>
    <w:basedOn w:val="Text"/>
    <w:next w:val="a6"/>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7"/>
    <w:semiHidden/>
    <w:rPr>
      <w:rFonts w:eastAsia="宋体"/>
      <w:sz w:val="21"/>
      <w:szCs w:val="21"/>
      <w:lang w:val="en-US" w:eastAsia="zh-CN" w:bidi="ar-SA"/>
    </w:rPr>
  </w:style>
  <w:style w:type="character" w:customStyle="1" w:styleId="CharChar5">
    <w:name w:val="Char Char5"/>
    <w:semiHidden/>
    <w:locked/>
    <w:rPr>
      <w:rFonts w:eastAsia="宋体"/>
      <w:kern w:val="2"/>
      <w:sz w:val="21"/>
      <w:szCs w:val="24"/>
      <w:lang w:val="en-US" w:eastAsia="zh-CN" w:bidi="ar-SA"/>
    </w:rPr>
  </w:style>
  <w:style w:type="paragraph" w:customStyle="1" w:styleId="bt2">
    <w:name w:val="样式 bt2 + 居中"/>
    <w:basedOn w:val="a6"/>
    <w:semiHidden/>
    <w:pPr>
      <w:spacing w:line="720" w:lineRule="auto"/>
      <w:jc w:val="center"/>
    </w:pPr>
    <w:rPr>
      <w:rFonts w:ascii="Arial" w:eastAsia="黑体" w:hAnsi="Arial" w:cs="宋体"/>
      <w:sz w:val="28"/>
      <w:szCs w:val="20"/>
    </w:rPr>
  </w:style>
  <w:style w:type="paragraph" w:customStyle="1" w:styleId="bt20">
    <w:name w:val="bt2"/>
    <w:basedOn w:val="a6"/>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6"/>
    <w:semiHidden/>
    <w:pPr>
      <w:spacing w:line="960" w:lineRule="auto"/>
      <w:jc w:val="center"/>
    </w:pPr>
    <w:rPr>
      <w:rFonts w:ascii="Arial" w:eastAsia="黑体" w:cs="宋体"/>
      <w:sz w:val="28"/>
      <w:szCs w:val="20"/>
    </w:rPr>
  </w:style>
  <w:style w:type="paragraph" w:customStyle="1" w:styleId="bt3">
    <w:name w:val="bt3"/>
    <w:basedOn w:val="a6"/>
    <w:semiHidden/>
    <w:pPr>
      <w:spacing w:line="480" w:lineRule="auto"/>
      <w:ind w:firstLineChars="175" w:firstLine="175"/>
    </w:pPr>
    <w:rPr>
      <w:rFonts w:eastAsia="方正小标宋简体" w:cs="Arial"/>
      <w:sz w:val="24"/>
    </w:rPr>
  </w:style>
  <w:style w:type="paragraph" w:customStyle="1" w:styleId="bt1">
    <w:name w:val="bt1"/>
    <w:basedOn w:val="a6"/>
    <w:semiHidden/>
    <w:pPr>
      <w:spacing w:line="1200" w:lineRule="auto"/>
      <w:jc w:val="center"/>
    </w:pPr>
    <w:rPr>
      <w:rFonts w:eastAsia="方正小标宋简体"/>
      <w:sz w:val="32"/>
    </w:rPr>
  </w:style>
  <w:style w:type="paragraph" w:customStyle="1" w:styleId="bt4">
    <w:name w:val="bt4"/>
    <w:basedOn w:val="a6"/>
    <w:semiHidden/>
    <w:pPr>
      <w:topLinePunct/>
      <w:ind w:firstLine="425"/>
    </w:pPr>
    <w:rPr>
      <w:rFonts w:ascii="Arial" w:eastAsia="黑体" w:hAnsi="Arial" w:cs="Arial"/>
    </w:rPr>
  </w:style>
  <w:style w:type="paragraph" w:customStyle="1" w:styleId="0202">
    <w:name w:val="样式 公式 + 段前: 0.2 行 段后: 0.2 行"/>
    <w:basedOn w:val="affff7"/>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7"/>
    <w:semiHidden/>
    <w:qFormat/>
    <w:rPr>
      <w:rFonts w:eastAsia="宋体"/>
      <w:sz w:val="21"/>
      <w:szCs w:val="21"/>
      <w:lang w:val="en-US" w:eastAsia="zh-CN" w:bidi="ar-SA"/>
    </w:rPr>
  </w:style>
  <w:style w:type="character" w:customStyle="1" w:styleId="word">
    <w:name w:val="word"/>
    <w:basedOn w:val="a7"/>
    <w:semiHidden/>
    <w:rPr>
      <w:rFonts w:eastAsia="宋体"/>
      <w:sz w:val="21"/>
      <w:szCs w:val="21"/>
      <w:lang w:val="en-US" w:eastAsia="zh-CN" w:bidi="ar-SA"/>
    </w:rPr>
  </w:style>
  <w:style w:type="character" w:customStyle="1" w:styleId="wordother">
    <w:name w:val="word_other"/>
    <w:basedOn w:val="a7"/>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6"/>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6"/>
    <w:semiHidden/>
    <w:pPr>
      <w:spacing w:line="480" w:lineRule="exact"/>
      <w:ind w:firstLine="560"/>
    </w:pPr>
    <w:rPr>
      <w:rFonts w:ascii="华文仿宋" w:eastAsia="华文仿宋" w:hAnsi="华文仿宋"/>
      <w:sz w:val="28"/>
      <w:szCs w:val="28"/>
    </w:rPr>
  </w:style>
  <w:style w:type="paragraph" w:customStyle="1" w:styleId="hkxb">
    <w:name w:val="hkxb文献英译"/>
    <w:basedOn w:val="a6"/>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7"/>
    <w:semiHidden/>
    <w:rPr>
      <w:rFonts w:eastAsia="宋体"/>
      <w:sz w:val="21"/>
      <w:szCs w:val="21"/>
      <w:lang w:val="en-US" w:eastAsia="zh-CN" w:bidi="ar-SA"/>
    </w:rPr>
  </w:style>
  <w:style w:type="paragraph" w:customStyle="1" w:styleId="affffff1">
    <w:name w:val="通信地址"/>
    <w:basedOn w:val="a6"/>
    <w:next w:val="a6"/>
    <w:semiHidden/>
    <w:qFormat/>
    <w:pPr>
      <w:widowControl/>
      <w:spacing w:after="240" w:line="240" w:lineRule="exact"/>
      <w:jc w:val="center"/>
    </w:pPr>
    <w:rPr>
      <w:rFonts w:eastAsia="新宋体"/>
      <w:kern w:val="0"/>
      <w:sz w:val="18"/>
    </w:rPr>
  </w:style>
  <w:style w:type="paragraph" w:customStyle="1" w:styleId="affffff2">
    <w:name w:val="参考文献"/>
    <w:basedOn w:val="a6"/>
    <w:semiHidden/>
    <w:qFormat/>
    <w:pPr>
      <w:widowControl/>
      <w:tabs>
        <w:tab w:val="left" w:pos="454"/>
      </w:tabs>
      <w:ind w:left="454" w:hanging="454"/>
      <w:jc w:val="left"/>
    </w:pPr>
    <w:rPr>
      <w:kern w:val="0"/>
    </w:rPr>
  </w:style>
  <w:style w:type="paragraph" w:customStyle="1" w:styleId="affffff3">
    <w:name w:val="参考文献标题"/>
    <w:basedOn w:val="a6"/>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f4">
    <w:name w:val="作者单位上标"/>
    <w:basedOn w:val="afffff7"/>
    <w:semiHidden/>
    <w:qFormat/>
    <w:pPr>
      <w:widowControl/>
      <w:overflowPunct/>
      <w:spacing w:before="0" w:after="0" w:line="340" w:lineRule="exact"/>
      <w:jc w:val="center"/>
    </w:pPr>
    <w:rPr>
      <w:szCs w:val="28"/>
      <w:vertAlign w:val="superscript"/>
    </w:rPr>
  </w:style>
  <w:style w:type="paragraph" w:customStyle="1" w:styleId="affffff5">
    <w:name w:val="图的题注"/>
    <w:basedOn w:val="af1"/>
    <w:next w:val="af0"/>
    <w:semiHidden/>
    <w:qFormat/>
    <w:pPr>
      <w:spacing w:before="60" w:after="60"/>
      <w:jc w:val="center"/>
    </w:pPr>
    <w:rPr>
      <w:rFonts w:ascii="Times New Roman" w:eastAsia="宋体" w:hAnsi="Times New Roman" w:cs="宋体"/>
      <w:sz w:val="18"/>
      <w:szCs w:val="18"/>
    </w:rPr>
  </w:style>
  <w:style w:type="paragraph" w:customStyle="1" w:styleId="affffff6">
    <w:name w:val="注释文字"/>
    <w:basedOn w:val="af0"/>
    <w:semiHidden/>
    <w:pPr>
      <w:widowControl/>
      <w:snapToGrid w:val="0"/>
      <w:ind w:firstLineChars="200" w:firstLine="426"/>
    </w:pPr>
    <w:rPr>
      <w:i/>
      <w:color w:val="0000FF"/>
      <w:kern w:val="0"/>
      <w:szCs w:val="21"/>
    </w:rPr>
  </w:style>
  <w:style w:type="paragraph" w:customStyle="1" w:styleId="affffff7">
    <w:name w:val="下标"/>
    <w:basedOn w:val="af0"/>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8">
    <w:name w:val="数学符号"/>
    <w:basedOn w:val="af0"/>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9">
    <w:name w:val="文章编号"/>
    <w:basedOn w:val="afff1"/>
    <w:semiHidden/>
    <w:qFormat/>
    <w:pPr>
      <w:widowControl/>
      <w:snapToGrid w:val="0"/>
      <w:spacing w:beforeLines="100" w:before="314" w:after="240" w:line="240" w:lineRule="atLeast"/>
      <w:jc w:val="both"/>
    </w:pPr>
    <w:rPr>
      <w:sz w:val="18"/>
      <w:szCs w:val="18"/>
    </w:rPr>
  </w:style>
  <w:style w:type="character" w:customStyle="1" w:styleId="CharChar1">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Char Char Char Char Char Char Char Char Char Char Char Char"/>
    <w:basedOn w:val="a6"/>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a">
    <w:name w:val="标题强调"/>
    <w:basedOn w:val="a6"/>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b">
    <w:name w:val="正文强调"/>
    <w:basedOn w:val="af0"/>
    <w:semiHidden/>
    <w:qFormat/>
    <w:pPr>
      <w:widowControl/>
      <w:snapToGrid w:val="0"/>
      <w:ind w:firstLineChars="200" w:firstLine="428"/>
    </w:pPr>
    <w:rPr>
      <w:b/>
      <w:kern w:val="0"/>
      <w:szCs w:val="21"/>
    </w:rPr>
  </w:style>
  <w:style w:type="paragraph" w:customStyle="1" w:styleId="equation">
    <w:name w:val="equation"/>
    <w:basedOn w:val="a6"/>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c">
    <w:name w:val="编号"/>
    <w:basedOn w:val="affffff9"/>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6"/>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d">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6"/>
    <w:semiHidden/>
    <w:qFormat/>
    <w:pPr>
      <w:tabs>
        <w:tab w:val="left" w:pos="1134"/>
      </w:tabs>
      <w:ind w:left="1134" w:hanging="1134"/>
    </w:pPr>
  </w:style>
  <w:style w:type="paragraph" w:customStyle="1" w:styleId="affffffe">
    <w:name w:val=".."/>
    <w:basedOn w:val="Default"/>
    <w:next w:val="Default"/>
    <w:semiHidden/>
    <w:pPr>
      <w:spacing w:before="160" w:after="240"/>
    </w:pPr>
    <w:rPr>
      <w:rFonts w:ascii=".." w:eastAsia=".." w:cs="Times New Roman"/>
      <w:color w:val="auto"/>
    </w:rPr>
  </w:style>
  <w:style w:type="paragraph" w:customStyle="1" w:styleId="CharCharCharChar">
    <w:name w:val="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0">
    <w:name w:val="Figure Caption"/>
    <w:basedOn w:val="a6"/>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6"/>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f">
    <w:name w:val="标准"/>
    <w:basedOn w:val="a6"/>
    <w:semiHidden/>
    <w:pPr>
      <w:spacing w:line="360" w:lineRule="auto"/>
    </w:pPr>
    <w:rPr>
      <w:rFonts w:ascii="宋体" w:hAnsi="宋体"/>
    </w:rPr>
  </w:style>
  <w:style w:type="paragraph" w:customStyle="1" w:styleId="111">
    <w:name w:val="标题111"/>
    <w:basedOn w:val="a6"/>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f0">
    <w:name w:val="参考"/>
    <w:basedOn w:val="a6"/>
    <w:semiHidden/>
    <w:pPr>
      <w:spacing w:line="360" w:lineRule="auto"/>
      <w:ind w:leftChars="95" w:left="95"/>
    </w:pPr>
  </w:style>
  <w:style w:type="character" w:customStyle="1" w:styleId="afffffff1">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6"/>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6"/>
    <w:semiHidden/>
    <w:pPr>
      <w:adjustRightInd w:val="0"/>
      <w:spacing w:line="360" w:lineRule="atLeast"/>
      <w:jc w:val="center"/>
      <w:textAlignment w:val="baseline"/>
    </w:pPr>
    <w:rPr>
      <w:kern w:val="0"/>
      <w:sz w:val="24"/>
    </w:rPr>
  </w:style>
  <w:style w:type="paragraph" w:customStyle="1" w:styleId="77">
    <w:name w:val="77正文"/>
    <w:basedOn w:val="a6"/>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f2">
    <w:name w:val="No Spacing"/>
    <w:link w:val="afffffff3"/>
    <w:qFormat/>
    <w:rPr>
      <w:rFonts w:ascii="Calibri" w:hAnsi="Calibri"/>
      <w:sz w:val="22"/>
      <w:szCs w:val="22"/>
    </w:rPr>
  </w:style>
  <w:style w:type="character" w:customStyle="1" w:styleId="afffffff3">
    <w:name w:val="无间隔 字符"/>
    <w:link w:val="afffffff2"/>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6"/>
    <w:next w:val="a6"/>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6"/>
    <w:next w:val="a6"/>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6"/>
    <w:next w:val="a6"/>
    <w:semiHidden/>
    <w:pPr>
      <w:keepNext/>
      <w:autoSpaceDE w:val="0"/>
      <w:autoSpaceDN w:val="0"/>
      <w:adjustRightInd w:val="0"/>
      <w:spacing w:before="240" w:after="160"/>
      <w:jc w:val="left"/>
    </w:pPr>
    <w:rPr>
      <w:kern w:val="0"/>
      <w:sz w:val="24"/>
    </w:rPr>
  </w:style>
  <w:style w:type="paragraph" w:customStyle="1" w:styleId="Paragraph">
    <w:name w:val="Paragraph"/>
    <w:basedOn w:val="a6"/>
    <w:next w:val="a6"/>
    <w:semiHidden/>
    <w:pPr>
      <w:keepNext/>
      <w:autoSpaceDE w:val="0"/>
      <w:autoSpaceDN w:val="0"/>
      <w:adjustRightInd w:val="0"/>
      <w:spacing w:before="240" w:after="160"/>
      <w:jc w:val="left"/>
    </w:pPr>
    <w:rPr>
      <w:b/>
      <w:bCs/>
      <w:kern w:val="0"/>
      <w:sz w:val="24"/>
    </w:rPr>
  </w:style>
  <w:style w:type="paragraph" w:customStyle="1" w:styleId="Subparagraph">
    <w:name w:val="Subparagraph"/>
    <w:basedOn w:val="a6"/>
    <w:next w:val="a6"/>
    <w:semiHidden/>
    <w:pPr>
      <w:keepNext/>
      <w:autoSpaceDE w:val="0"/>
      <w:autoSpaceDN w:val="0"/>
      <w:adjustRightInd w:val="0"/>
      <w:spacing w:before="240" w:after="160"/>
      <w:jc w:val="left"/>
    </w:pPr>
    <w:rPr>
      <w:b/>
      <w:bCs/>
      <w:kern w:val="0"/>
      <w:sz w:val="24"/>
    </w:rPr>
  </w:style>
  <w:style w:type="paragraph" w:customStyle="1" w:styleId="1f8">
    <w:name w:val="题注1"/>
    <w:basedOn w:val="a6"/>
    <w:next w:val="a6"/>
    <w:semiHidden/>
    <w:pPr>
      <w:autoSpaceDE w:val="0"/>
      <w:autoSpaceDN w:val="0"/>
      <w:adjustRightInd w:val="0"/>
      <w:spacing w:before="120" w:after="120"/>
      <w:jc w:val="center"/>
    </w:pPr>
    <w:rPr>
      <w:b/>
      <w:bCs/>
      <w:kern w:val="0"/>
      <w:sz w:val="20"/>
      <w:szCs w:val="20"/>
    </w:rPr>
  </w:style>
  <w:style w:type="paragraph" w:customStyle="1" w:styleId="Footnote0">
    <w:name w:val="Footnote"/>
    <w:basedOn w:val="a6"/>
    <w:next w:val="a6"/>
    <w:semiHidden/>
    <w:pPr>
      <w:autoSpaceDE w:val="0"/>
      <w:autoSpaceDN w:val="0"/>
      <w:adjustRightInd w:val="0"/>
      <w:jc w:val="left"/>
    </w:pPr>
    <w:rPr>
      <w:kern w:val="0"/>
      <w:sz w:val="24"/>
    </w:rPr>
  </w:style>
  <w:style w:type="character" w:customStyle="1" w:styleId="apple-converted-space">
    <w:name w:val="apple-converted-space"/>
    <w:basedOn w:val="a7"/>
    <w:semiHidden/>
    <w:qFormat/>
    <w:rPr>
      <w:rFonts w:eastAsia="宋体"/>
      <w:sz w:val="21"/>
      <w:szCs w:val="21"/>
      <w:lang w:val="en-US" w:eastAsia="zh-CN" w:bidi="ar-SA"/>
    </w:rPr>
  </w:style>
  <w:style w:type="character" w:customStyle="1" w:styleId="tl">
    <w:name w:val="tl"/>
    <w:basedOn w:val="a7"/>
    <w:semiHidden/>
    <w:rPr>
      <w:rFonts w:eastAsia="宋体"/>
      <w:sz w:val="21"/>
      <w:szCs w:val="21"/>
      <w:lang w:val="en-US" w:eastAsia="zh-CN" w:bidi="ar-SA"/>
    </w:rPr>
  </w:style>
  <w:style w:type="character" w:customStyle="1" w:styleId="apple-style-span">
    <w:name w:val="apple-style-span"/>
    <w:basedOn w:val="a7"/>
    <w:semiHidden/>
    <w:qFormat/>
    <w:rPr>
      <w:rFonts w:eastAsia="宋体"/>
      <w:sz w:val="21"/>
      <w:szCs w:val="21"/>
      <w:lang w:val="en-US" w:eastAsia="zh-CN" w:bidi="ar-SA"/>
    </w:rPr>
  </w:style>
  <w:style w:type="paragraph" w:customStyle="1" w:styleId="CharCharCharChar0">
    <w:name w:val="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6"/>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f4">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6"/>
    <w:semiHidden/>
    <w:pPr>
      <w:widowControl/>
      <w:jc w:val="left"/>
    </w:pPr>
    <w:rPr>
      <w:rFonts w:ascii="宋体" w:hAnsi="宋体" w:cs="宋体"/>
      <w:kern w:val="0"/>
      <w:sz w:val="24"/>
    </w:rPr>
  </w:style>
  <w:style w:type="paragraph" w:styleId="z-">
    <w:name w:val="HTML Top of Form"/>
    <w:basedOn w:val="a6"/>
    <w:next w:val="a6"/>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6"/>
    <w:next w:val="a6"/>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Char1 Char Char Char Char Char Char"/>
    <w:basedOn w:val="a6"/>
    <w:semiHidden/>
    <w:pPr>
      <w:tabs>
        <w:tab w:val="left" w:pos="360"/>
      </w:tabs>
    </w:pPr>
    <w:rPr>
      <w:sz w:val="24"/>
    </w:rPr>
  </w:style>
  <w:style w:type="paragraph" w:customStyle="1" w:styleId="2f6">
    <w:name w:val="样式 大论文正文 + 首行缩进:  2 字符"/>
    <w:basedOn w:val="a6"/>
    <w:semiHidden/>
    <w:pPr>
      <w:spacing w:line="400" w:lineRule="exact"/>
      <w:ind w:firstLine="480"/>
    </w:pPr>
    <w:rPr>
      <w:rFonts w:cs="宋体"/>
      <w:sz w:val="24"/>
      <w:szCs w:val="20"/>
    </w:rPr>
  </w:style>
  <w:style w:type="paragraph" w:customStyle="1" w:styleId="1f9">
    <w:name w:val="标题1"/>
    <w:basedOn w:val="10"/>
    <w:semiHidden/>
    <w:pPr>
      <w:adjustRightInd/>
      <w:snapToGrid/>
      <w:spacing w:before="0" w:after="0" w:line="578" w:lineRule="auto"/>
    </w:pPr>
    <w:rPr>
      <w:rFonts w:eastAsia="宋体"/>
      <w:bCs/>
      <w:szCs w:val="44"/>
    </w:rPr>
  </w:style>
  <w:style w:type="paragraph" w:styleId="afffffff5">
    <w:name w:val="List Paragraph"/>
    <w:basedOn w:val="a6"/>
    <w:link w:val="afffffff6"/>
    <w:qFormat/>
    <w:pPr>
      <w:ind w:firstLine="420"/>
    </w:pPr>
    <w:rPr>
      <w:rFonts w:ascii="Calibri" w:hAnsi="Calibri"/>
      <w:szCs w:val="22"/>
    </w:rPr>
  </w:style>
  <w:style w:type="character" w:customStyle="1" w:styleId="afffffff6">
    <w:name w:val="列表段落 字符"/>
    <w:link w:val="afffffff5"/>
    <w:semiHidden/>
    <w:rPr>
      <w:rFonts w:ascii="Calibri" w:hAnsi="Calibri"/>
      <w:kern w:val="2"/>
      <w:sz w:val="21"/>
      <w:szCs w:val="22"/>
    </w:rPr>
  </w:style>
  <w:style w:type="paragraph" w:customStyle="1" w:styleId="afffffff7">
    <w:name w:val="文献引用"/>
    <w:basedOn w:val="af0"/>
    <w:semiHidden/>
    <w:qFormat/>
    <w:pPr>
      <w:widowControl/>
      <w:snapToGrid w:val="0"/>
      <w:ind w:firstLineChars="200" w:firstLine="448"/>
    </w:pPr>
    <w:rPr>
      <w:kern w:val="0"/>
      <w:szCs w:val="21"/>
      <w:vertAlign w:val="superscript"/>
    </w:rPr>
  </w:style>
  <w:style w:type="paragraph" w:customStyle="1" w:styleId="afffffff8">
    <w:name w:val="作者单位中文"/>
    <w:basedOn w:val="a6"/>
    <w:semiHidden/>
    <w:pPr>
      <w:adjustRightInd w:val="0"/>
      <w:spacing w:after="20"/>
      <w:ind w:left="425" w:right="425"/>
      <w:jc w:val="center"/>
      <w:textAlignment w:val="baseline"/>
    </w:pPr>
    <w:rPr>
      <w:rFonts w:ascii="宋体"/>
      <w:sz w:val="18"/>
      <w:szCs w:val="20"/>
    </w:rPr>
  </w:style>
  <w:style w:type="paragraph" w:customStyle="1" w:styleId="afffffff9">
    <w:name w:val="毕业论文正文"/>
    <w:basedOn w:val="a6"/>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6"/>
    <w:semiHidden/>
    <w:qFormat/>
    <w:pPr>
      <w:widowControl/>
      <w:ind w:left="66" w:hangingChars="66" w:hanging="66"/>
    </w:pPr>
    <w:rPr>
      <w:iCs/>
      <w:kern w:val="0"/>
      <w:sz w:val="16"/>
      <w:szCs w:val="20"/>
    </w:rPr>
  </w:style>
  <w:style w:type="paragraph" w:customStyle="1" w:styleId="afffffffa">
    <w:name w:val="普通正文"/>
    <w:basedOn w:val="a6"/>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b">
    <w:name w:val="三级节标题"/>
    <w:basedOn w:val="afff1"/>
    <w:next w:val="afff1"/>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a">
    <w:name w:val="列出段落1"/>
    <w:basedOn w:val="a6"/>
    <w:semiHidden/>
    <w:qFormat/>
    <w:pPr>
      <w:ind w:firstLine="420"/>
    </w:pPr>
    <w:rPr>
      <w:rFonts w:ascii="Calibri" w:hAnsi="Calibri"/>
      <w:szCs w:val="22"/>
    </w:rPr>
  </w:style>
  <w:style w:type="paragraph" w:customStyle="1" w:styleId="afffffffc">
    <w:name w:val="论文的参考文献"/>
    <w:basedOn w:val="a6"/>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6"/>
    <w:semiHidden/>
    <w:pPr>
      <w:keepNext/>
      <w:keepLines/>
      <w:widowControl/>
      <w:spacing w:before="120" w:after="120"/>
      <w:jc w:val="left"/>
      <w:outlineLvl w:val="0"/>
    </w:pPr>
    <w:rPr>
      <w:rFonts w:eastAsia="仿宋_GB2312" w:cs="Arial"/>
      <w:kern w:val="28"/>
      <w:sz w:val="32"/>
      <w:szCs w:val="44"/>
    </w:rPr>
  </w:style>
  <w:style w:type="character" w:customStyle="1" w:styleId="CharChar9">
    <w:name w:val="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Char Char27"/>
    <w:semiHidden/>
    <w:rPr>
      <w:rFonts w:ascii="Calibri" w:eastAsia="宋体" w:hAnsi="Calibri"/>
      <w:kern w:val="2"/>
      <w:sz w:val="18"/>
      <w:szCs w:val="18"/>
      <w:lang w:val="en-US" w:eastAsia="zh-CN" w:bidi="ar-SA"/>
    </w:rPr>
  </w:style>
  <w:style w:type="character" w:customStyle="1" w:styleId="CharChar26">
    <w:name w:val="Char Char26"/>
    <w:semiHidden/>
    <w:rPr>
      <w:rFonts w:ascii="Calibri" w:eastAsia="宋体" w:hAnsi="Calibri"/>
      <w:kern w:val="2"/>
      <w:sz w:val="21"/>
      <w:szCs w:val="22"/>
      <w:lang w:val="en-US" w:eastAsia="zh-CN" w:bidi="ar-SA"/>
    </w:rPr>
  </w:style>
  <w:style w:type="character" w:customStyle="1" w:styleId="CharChar25">
    <w:name w:val="Char Char25"/>
    <w:semiHidden/>
    <w:rPr>
      <w:rFonts w:ascii="Calibri" w:eastAsia="宋体" w:hAnsi="Calibri"/>
      <w:b/>
      <w:bCs/>
      <w:kern w:val="2"/>
      <w:sz w:val="21"/>
      <w:szCs w:val="24"/>
      <w:lang w:val="en-US" w:eastAsia="zh-CN" w:bidi="ar-SA"/>
    </w:rPr>
  </w:style>
  <w:style w:type="character" w:customStyle="1" w:styleId="CharChar36">
    <w:name w:val="Char Char36"/>
    <w:semiHidden/>
    <w:rPr>
      <w:rFonts w:eastAsia="黑体" w:cs="宋体"/>
      <w:bCs/>
      <w:kern w:val="44"/>
      <w:sz w:val="32"/>
      <w:szCs w:val="44"/>
      <w:lang w:val="en-US" w:eastAsia="zh-CN" w:bidi="ar-SA"/>
    </w:rPr>
  </w:style>
  <w:style w:type="character" w:customStyle="1" w:styleId="CharChar35">
    <w:name w:val="Char Char35"/>
    <w:semiHidden/>
    <w:rPr>
      <w:rFonts w:eastAsia="宋体"/>
      <w:b/>
      <w:bCs/>
      <w:sz w:val="28"/>
      <w:szCs w:val="32"/>
      <w:lang w:val="en-US" w:eastAsia="zh-CN" w:bidi="ar-SA"/>
    </w:rPr>
  </w:style>
  <w:style w:type="character" w:customStyle="1" w:styleId="CharChar34">
    <w:name w:val="Char Char34"/>
    <w:semiHidden/>
    <w:rPr>
      <w:rFonts w:eastAsia="黑体" w:cs="宋体"/>
      <w:bCs/>
      <w:sz w:val="24"/>
      <w:szCs w:val="32"/>
      <w:lang w:val="en-US" w:eastAsia="zh-CN" w:bidi="ar-SA"/>
    </w:rPr>
  </w:style>
  <w:style w:type="character" w:customStyle="1" w:styleId="CharChar33">
    <w:name w:val="Char Char33"/>
    <w:semiHidden/>
    <w:rPr>
      <w:rFonts w:eastAsia="楷体_GB2312"/>
      <w:kern w:val="2"/>
      <w:sz w:val="21"/>
      <w:szCs w:val="21"/>
      <w:lang w:val="en-US" w:eastAsia="zh-CN" w:bidi="ar-SA"/>
    </w:rPr>
  </w:style>
  <w:style w:type="character" w:customStyle="1" w:styleId="CharChar32">
    <w:name w:val="Char Char32"/>
    <w:semiHidden/>
    <w:rPr>
      <w:rFonts w:eastAsia="宋体"/>
      <w:b/>
      <w:bCs/>
      <w:kern w:val="2"/>
      <w:sz w:val="28"/>
      <w:szCs w:val="28"/>
      <w:lang w:val="en-US" w:eastAsia="zh-CN" w:bidi="ar-SA"/>
    </w:rPr>
  </w:style>
  <w:style w:type="character" w:customStyle="1" w:styleId="CharChar31">
    <w:name w:val="Char Char31"/>
    <w:semiHidden/>
    <w:rPr>
      <w:rFonts w:ascii="Arial" w:eastAsia="黑体" w:hAnsi="Arial"/>
      <w:b/>
      <w:bCs/>
      <w:kern w:val="2"/>
      <w:sz w:val="24"/>
      <w:szCs w:val="24"/>
      <w:lang w:val="en-US" w:eastAsia="zh-CN" w:bidi="ar-SA"/>
    </w:rPr>
  </w:style>
  <w:style w:type="character" w:customStyle="1" w:styleId="CharChar30">
    <w:name w:val="Char Char30"/>
    <w:semiHidden/>
    <w:rPr>
      <w:rFonts w:eastAsia="宋体"/>
      <w:b/>
      <w:bCs/>
      <w:kern w:val="2"/>
      <w:sz w:val="24"/>
      <w:szCs w:val="24"/>
      <w:lang w:val="en-US" w:eastAsia="zh-CN" w:bidi="ar-SA"/>
    </w:rPr>
  </w:style>
  <w:style w:type="character" w:customStyle="1" w:styleId="CharChar29">
    <w:name w:val="Char Char29"/>
    <w:semiHidden/>
    <w:rPr>
      <w:rFonts w:ascii="Arial" w:eastAsia="黑体" w:hAnsi="Arial"/>
      <w:kern w:val="2"/>
      <w:sz w:val="24"/>
      <w:szCs w:val="24"/>
      <w:lang w:val="en-US" w:eastAsia="zh-CN" w:bidi="ar-SA"/>
    </w:rPr>
  </w:style>
  <w:style w:type="character" w:customStyle="1" w:styleId="CharChar28">
    <w:name w:val="Char Char28"/>
    <w:semiHidden/>
    <w:rPr>
      <w:rFonts w:ascii="Arial" w:eastAsia="黑体" w:hAnsi="Arial"/>
      <w:kern w:val="2"/>
      <w:sz w:val="21"/>
      <w:szCs w:val="21"/>
      <w:lang w:val="en-US" w:eastAsia="zh-CN" w:bidi="ar-SA"/>
    </w:rPr>
  </w:style>
  <w:style w:type="character" w:customStyle="1" w:styleId="CharChar23">
    <w:name w:val="Char Char23"/>
    <w:semiHidden/>
    <w:rPr>
      <w:rFonts w:eastAsia="宋体"/>
      <w:kern w:val="2"/>
      <w:sz w:val="21"/>
      <w:szCs w:val="24"/>
      <w:lang w:val="en-US" w:eastAsia="zh-CN" w:bidi="ar-SA"/>
    </w:rPr>
  </w:style>
  <w:style w:type="character" w:customStyle="1" w:styleId="afffffffd">
    <w:name w:val="样式 黑体 三号"/>
    <w:semiHidden/>
    <w:rPr>
      <w:rFonts w:ascii="黑体" w:eastAsia="黑体" w:hAnsi="黑体"/>
      <w:sz w:val="32"/>
      <w:szCs w:val="21"/>
      <w:lang w:val="en-US" w:eastAsia="zh-CN" w:bidi="ar-SA"/>
    </w:rPr>
  </w:style>
  <w:style w:type="paragraph" w:customStyle="1" w:styleId="NUDT0">
    <w:name w:val="NUDT标题"/>
    <w:basedOn w:val="a6"/>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Char Char22"/>
    <w:semiHidden/>
    <w:rPr>
      <w:rFonts w:eastAsia="宋体"/>
      <w:kern w:val="2"/>
      <w:sz w:val="21"/>
      <w:szCs w:val="21"/>
      <w:lang w:val="en-US" w:eastAsia="zh-CN" w:bidi="ar-SA"/>
    </w:rPr>
  </w:style>
  <w:style w:type="character" w:customStyle="1" w:styleId="CharChar21">
    <w:name w:val="Char Char21"/>
    <w:semiHidden/>
    <w:rPr>
      <w:rFonts w:eastAsia="宋体"/>
      <w:kern w:val="2"/>
      <w:sz w:val="18"/>
      <w:szCs w:val="21"/>
      <w:lang w:val="en-US" w:eastAsia="zh-CN" w:bidi="ar-SA"/>
    </w:rPr>
  </w:style>
  <w:style w:type="paragraph" w:customStyle="1" w:styleId="07415">
    <w:name w:val="样式 首行缩进:  0.74 厘米 行距: 1.5 倍行距"/>
    <w:basedOn w:val="a6"/>
    <w:semiHidden/>
    <w:pPr>
      <w:spacing w:line="360" w:lineRule="auto"/>
      <w:ind w:firstLine="420"/>
    </w:pPr>
    <w:rPr>
      <w:rFonts w:eastAsia="Times New Roman" w:cs="宋体"/>
      <w:sz w:val="22"/>
      <w:szCs w:val="20"/>
    </w:rPr>
  </w:style>
  <w:style w:type="character" w:customStyle="1" w:styleId="CharChar24">
    <w:name w:val="Char Char24"/>
    <w:semiHidden/>
    <w:rPr>
      <w:rFonts w:ascii="Arial" w:eastAsia="黑体" w:hAnsi="Arial" w:cs="Arial"/>
      <w:sz w:val="21"/>
      <w:szCs w:val="21"/>
      <w:lang w:val="en-US" w:eastAsia="zh-CN" w:bidi="ar-SA"/>
    </w:rPr>
  </w:style>
  <w:style w:type="character" w:customStyle="1" w:styleId="CharChar20">
    <w:name w:val="Char Char20"/>
    <w:semiHidden/>
    <w:rPr>
      <w:rFonts w:eastAsia="宋体"/>
      <w:spacing w:val="4"/>
      <w:kern w:val="2"/>
      <w:sz w:val="21"/>
      <w:szCs w:val="21"/>
      <w:lang w:val="en-US" w:eastAsia="zh-CN" w:bidi="ar-SA"/>
    </w:rPr>
  </w:style>
  <w:style w:type="character" w:customStyle="1" w:styleId="text0">
    <w:name w:val="text"/>
    <w:basedOn w:val="a7"/>
    <w:semiHidden/>
    <w:rPr>
      <w:rFonts w:eastAsia="宋体"/>
      <w:sz w:val="21"/>
      <w:szCs w:val="21"/>
      <w:lang w:val="en-US" w:eastAsia="zh-CN" w:bidi="ar-SA"/>
    </w:rPr>
  </w:style>
  <w:style w:type="paragraph" w:customStyle="1" w:styleId="doctext">
    <w:name w:val="doctext"/>
    <w:basedOn w:val="a6"/>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c"/>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Char Char19"/>
    <w:semiHidden/>
    <w:rPr>
      <w:rFonts w:eastAsia="宋体"/>
      <w:i/>
      <w:iCs/>
      <w:kern w:val="2"/>
      <w:sz w:val="21"/>
      <w:szCs w:val="24"/>
      <w:lang w:val="en-US" w:eastAsia="zh-CN" w:bidi="ar-SA"/>
    </w:rPr>
  </w:style>
  <w:style w:type="character" w:customStyle="1" w:styleId="CharChar18">
    <w:name w:val="Char Char18"/>
    <w:semiHidden/>
    <w:rPr>
      <w:rFonts w:ascii="Courier New" w:eastAsia="宋体" w:hAnsi="Courier New" w:cs="Courier New"/>
      <w:kern w:val="2"/>
      <w:sz w:val="21"/>
      <w:szCs w:val="21"/>
      <w:lang w:val="en-US" w:eastAsia="zh-CN" w:bidi="ar-SA"/>
    </w:rPr>
  </w:style>
  <w:style w:type="character" w:customStyle="1" w:styleId="CharChar17">
    <w:name w:val="Char Char17"/>
    <w:semiHidden/>
    <w:rPr>
      <w:rFonts w:ascii="Arial" w:eastAsia="宋体" w:hAnsi="Arial" w:cs="Arial"/>
      <w:b/>
      <w:bCs/>
      <w:kern w:val="2"/>
      <w:sz w:val="32"/>
      <w:szCs w:val="32"/>
      <w:lang w:val="en-US" w:eastAsia="zh-CN" w:bidi="ar-SA"/>
    </w:rPr>
  </w:style>
  <w:style w:type="character" w:customStyle="1" w:styleId="CharChar16">
    <w:name w:val="Char Char16"/>
    <w:semiHidden/>
    <w:rPr>
      <w:rFonts w:eastAsia="宋体"/>
      <w:kern w:val="2"/>
      <w:sz w:val="21"/>
      <w:szCs w:val="24"/>
      <w:lang w:val="en-US" w:eastAsia="zh-CN" w:bidi="ar-SA"/>
    </w:rPr>
  </w:style>
  <w:style w:type="character" w:customStyle="1" w:styleId="CharChar15">
    <w:name w:val="Char Char15"/>
    <w:semiHidden/>
    <w:rPr>
      <w:rFonts w:ascii="宋体" w:eastAsia="宋体" w:hAnsi="Courier New" w:cs="Courier New"/>
      <w:kern w:val="2"/>
      <w:sz w:val="21"/>
      <w:szCs w:val="21"/>
      <w:lang w:val="en-US" w:eastAsia="zh-CN" w:bidi="ar-SA"/>
    </w:rPr>
  </w:style>
  <w:style w:type="character" w:customStyle="1" w:styleId="CharChar14">
    <w:name w:val="Char Char14"/>
    <w:semiHidden/>
    <w:rPr>
      <w:rFonts w:eastAsia="宋体"/>
      <w:kern w:val="2"/>
      <w:sz w:val="21"/>
      <w:szCs w:val="24"/>
      <w:lang w:val="en-US" w:eastAsia="zh-CN" w:bidi="ar-SA"/>
    </w:rPr>
  </w:style>
  <w:style w:type="character" w:customStyle="1" w:styleId="CharChar13">
    <w:name w:val="Char Char13"/>
    <w:semiHidden/>
    <w:rPr>
      <w:rFonts w:ascii="Arial" w:eastAsia="宋体" w:hAnsi="Arial" w:cs="Arial"/>
      <w:b/>
      <w:bCs/>
      <w:kern w:val="28"/>
      <w:sz w:val="32"/>
      <w:szCs w:val="32"/>
      <w:lang w:val="en-US" w:eastAsia="zh-CN" w:bidi="ar-SA"/>
    </w:rPr>
  </w:style>
  <w:style w:type="character" w:customStyle="1" w:styleId="CharChar12">
    <w:name w:val="Char Char12"/>
    <w:semiHidden/>
    <w:rPr>
      <w:rFonts w:ascii="Courier New" w:eastAsia="宋体" w:hAnsi="Courier New" w:cs="Courier New"/>
      <w:sz w:val="24"/>
      <w:szCs w:val="24"/>
      <w:lang w:val="en-US" w:eastAsia="zh-CN" w:bidi="ar-SA"/>
    </w:rPr>
  </w:style>
  <w:style w:type="character" w:customStyle="1" w:styleId="CharChar11">
    <w:name w:val="Char Char11"/>
    <w:semiHidden/>
    <w:rPr>
      <w:rFonts w:eastAsia="宋体" w:cs="宋体"/>
      <w:sz w:val="18"/>
      <w:szCs w:val="18"/>
      <w:lang w:val="en-US" w:eastAsia="zh-CN" w:bidi="ar-SA"/>
    </w:rPr>
  </w:style>
  <w:style w:type="character" w:customStyle="1" w:styleId="CharChar10">
    <w:name w:val="Char Char10"/>
    <w:semiHidden/>
    <w:rPr>
      <w:rFonts w:eastAsia="宋体"/>
      <w:kern w:val="2"/>
      <w:sz w:val="21"/>
      <w:szCs w:val="24"/>
      <w:lang w:val="en-US" w:eastAsia="zh-CN" w:bidi="ar-SA"/>
    </w:rPr>
  </w:style>
  <w:style w:type="paragraph" w:styleId="afffffffe">
    <w:name w:val="Intense Quote"/>
    <w:basedOn w:val="a6"/>
    <w:next w:val="a6"/>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f">
    <w:name w:val="Bibliography"/>
    <w:basedOn w:val="a6"/>
    <w:next w:val="a6"/>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Char Char8"/>
    <w:semiHidden/>
    <w:rPr>
      <w:rFonts w:eastAsia="宋体"/>
      <w:kern w:val="2"/>
      <w:sz w:val="21"/>
      <w:szCs w:val="24"/>
      <w:lang w:val="en-US" w:eastAsia="zh-CN" w:bidi="ar-SA"/>
    </w:rPr>
  </w:style>
  <w:style w:type="paragraph" w:styleId="affffffff0">
    <w:name w:val="Quote"/>
    <w:basedOn w:val="a6"/>
    <w:next w:val="a6"/>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7"/>
    <w:semiHidden/>
    <w:rPr>
      <w:rFonts w:eastAsia="宋体"/>
      <w:sz w:val="21"/>
      <w:szCs w:val="21"/>
      <w:lang w:val="en-US" w:eastAsia="zh-CN" w:bidi="ar-SA"/>
    </w:rPr>
  </w:style>
  <w:style w:type="paragraph" w:customStyle="1" w:styleId="1fb">
    <w:name w:val="大论文标题1"/>
    <w:basedOn w:val="10"/>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0"/>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2f7">
    <w:name w:val="标题2"/>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f5"/>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f1">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6"/>
    <w:next w:val="a6"/>
    <w:semiHidden/>
    <w:pPr>
      <w:tabs>
        <w:tab w:val="center" w:pos="4515"/>
        <w:tab w:val="right" w:pos="9030"/>
      </w:tabs>
      <w:adjustRightInd w:val="0"/>
      <w:snapToGrid w:val="0"/>
    </w:pPr>
  </w:style>
  <w:style w:type="paragraph" w:customStyle="1" w:styleId="ReferenceCited">
    <w:name w:val="ReferenceCited"/>
    <w:basedOn w:val="a6"/>
    <w:next w:val="a6"/>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6"/>
    <w:next w:val="a6"/>
    <w:semiHidden/>
    <w:pPr>
      <w:adjustRightInd w:val="0"/>
      <w:snapToGrid w:val="0"/>
      <w:spacing w:beforeLines="50" w:before="50" w:afterLines="50" w:after="50" w:line="300" w:lineRule="auto"/>
    </w:pPr>
    <w:rPr>
      <w:sz w:val="18"/>
    </w:rPr>
  </w:style>
  <w:style w:type="paragraph" w:customStyle="1" w:styleId="Figure">
    <w:name w:val="Figure"/>
    <w:basedOn w:val="a6"/>
    <w:next w:val="a6"/>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6"/>
    <w:semiHidden/>
    <w:pPr>
      <w:widowControl/>
      <w:adjustRightInd w:val="0"/>
      <w:snapToGrid w:val="0"/>
      <w:jc w:val="center"/>
    </w:pPr>
    <w:rPr>
      <w:sz w:val="15"/>
    </w:rPr>
  </w:style>
  <w:style w:type="paragraph" w:customStyle="1" w:styleId="TableHead">
    <w:name w:val="TableHead"/>
    <w:basedOn w:val="a6"/>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6"/>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7"/>
    <w:semiHidden/>
    <w:rPr>
      <w:rFonts w:eastAsia="宋体"/>
      <w:sz w:val="21"/>
      <w:szCs w:val="21"/>
      <w:lang w:val="en-US" w:eastAsia="zh-CN" w:bidi="ar-SA"/>
    </w:rPr>
  </w:style>
  <w:style w:type="character" w:customStyle="1" w:styleId="ptbrand">
    <w:name w:val="ptbrand"/>
    <w:basedOn w:val="a7"/>
    <w:semiHidden/>
    <w:rPr>
      <w:rFonts w:eastAsia="宋体"/>
      <w:sz w:val="21"/>
      <w:szCs w:val="21"/>
      <w:lang w:val="en-US" w:eastAsia="zh-CN" w:bidi="ar-SA"/>
    </w:rPr>
  </w:style>
  <w:style w:type="paragraph" w:customStyle="1" w:styleId="maintext">
    <w:name w:val="maintext"/>
    <w:basedOn w:val="a6"/>
    <w:semiHidden/>
    <w:pPr>
      <w:adjustRightInd w:val="0"/>
      <w:spacing w:line="314" w:lineRule="exact"/>
      <w:ind w:firstLine="425"/>
      <w:textAlignment w:val="baseline"/>
    </w:pPr>
    <w:rPr>
      <w:szCs w:val="20"/>
    </w:rPr>
  </w:style>
  <w:style w:type="paragraph" w:customStyle="1" w:styleId="vipsyntax">
    <w:name w:val="vipsyntax"/>
    <w:basedOn w:val="a6"/>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1fc">
    <w:name w:val="列表段落1"/>
    <w:basedOn w:val="a6"/>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1fd">
    <w:name w:val="无间隔1"/>
    <w:link w:val="NoSpacingChar"/>
    <w:semiHidden/>
    <w:rPr>
      <w:rFonts w:ascii="Calibri" w:hAnsi="Calibri"/>
      <w:sz w:val="22"/>
      <w:szCs w:val="22"/>
    </w:rPr>
  </w:style>
  <w:style w:type="character" w:customStyle="1" w:styleId="NoSpacingChar">
    <w:name w:val="No Spacing Char"/>
    <w:link w:val="1fd"/>
    <w:semiHidden/>
    <w:locked/>
    <w:rPr>
      <w:rFonts w:ascii="Calibri" w:eastAsia="宋体" w:hAnsi="Calibri"/>
      <w:sz w:val="22"/>
      <w:szCs w:val="22"/>
      <w:lang w:val="en-US" w:eastAsia="zh-CN" w:bidi="ar-SA"/>
    </w:rPr>
  </w:style>
  <w:style w:type="paragraph" w:customStyle="1" w:styleId="tablecolhead">
    <w:name w:val="table col head"/>
    <w:basedOn w:val="a6"/>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b"/>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1fe">
    <w:name w:val="占位符文本1"/>
    <w:semiHidden/>
    <w:rPr>
      <w:rFonts w:eastAsia="宋体" w:cs="Times New Roman"/>
      <w:color w:val="808080"/>
      <w:sz w:val="21"/>
      <w:szCs w:val="21"/>
      <w:lang w:val="en-US" w:eastAsia="zh-CN" w:bidi="ar-SA"/>
    </w:rPr>
  </w:style>
  <w:style w:type="paragraph" w:customStyle="1" w:styleId="My1">
    <w:name w:val="My样式1"/>
    <w:basedOn w:val="a6"/>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6"/>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7"/>
    <w:semiHidden/>
    <w:rPr>
      <w:rFonts w:eastAsia="宋体"/>
      <w:sz w:val="21"/>
      <w:szCs w:val="21"/>
      <w:lang w:val="en-US" w:eastAsia="zh-CN" w:bidi="ar-SA"/>
    </w:rPr>
  </w:style>
  <w:style w:type="paragraph" w:customStyle="1" w:styleId="TableTitle">
    <w:name w:val="Table Title"/>
    <w:basedOn w:val="a6"/>
    <w:semiHidden/>
    <w:pPr>
      <w:widowControl/>
      <w:autoSpaceDE w:val="0"/>
      <w:autoSpaceDN w:val="0"/>
      <w:jc w:val="center"/>
    </w:pPr>
    <w:rPr>
      <w:smallCaps/>
      <w:kern w:val="0"/>
      <w:sz w:val="16"/>
      <w:szCs w:val="16"/>
      <w:lang w:eastAsia="en-US"/>
    </w:rPr>
  </w:style>
  <w:style w:type="character" w:customStyle="1" w:styleId="highlight">
    <w:name w:val="highlight"/>
    <w:basedOn w:val="a7"/>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e"/>
    <w:next w:val="a6"/>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6"/>
    <w:next w:val="a6"/>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7"/>
    <w:semiHidden/>
    <w:rPr>
      <w:rFonts w:eastAsia="宋体"/>
      <w:sz w:val="21"/>
      <w:szCs w:val="21"/>
      <w:lang w:val="en-US" w:eastAsia="zh-CN" w:bidi="ar-SA"/>
    </w:rPr>
  </w:style>
  <w:style w:type="paragraph" w:customStyle="1" w:styleId="p0">
    <w:name w:val="p0"/>
    <w:basedOn w:val="a6"/>
    <w:semiHidden/>
    <w:pPr>
      <w:widowControl/>
      <w:ind w:firstLine="420"/>
    </w:pPr>
    <w:rPr>
      <w:kern w:val="0"/>
      <w:szCs w:val="21"/>
    </w:rPr>
  </w:style>
  <w:style w:type="character" w:customStyle="1" w:styleId="bc">
    <w:name w:val="bc"/>
    <w:basedOn w:val="a7"/>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f2">
    <w:name w:val="Revision"/>
    <w:uiPriority w:val="99"/>
    <w:rPr>
      <w:rFonts w:ascii="Calibri" w:hAnsi="Calibri"/>
      <w:kern w:val="2"/>
      <w:sz w:val="21"/>
      <w:szCs w:val="22"/>
    </w:rPr>
  </w:style>
  <w:style w:type="character" w:customStyle="1" w:styleId="st">
    <w:name w:val="st"/>
    <w:basedOn w:val="a7"/>
    <w:semiHidden/>
    <w:rPr>
      <w:rFonts w:eastAsia="宋体"/>
      <w:sz w:val="21"/>
      <w:szCs w:val="21"/>
      <w:lang w:val="en-US" w:eastAsia="zh-CN" w:bidi="ar-SA"/>
    </w:rPr>
  </w:style>
  <w:style w:type="paragraph" w:customStyle="1" w:styleId="c">
    <w:name w:val="c工程作者姓名"/>
    <w:basedOn w:val="a6"/>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7"/>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Char Char1 Char Char Char Char Char Char"/>
    <w:basedOn w:val="a6"/>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7"/>
    <w:semiHidden/>
    <w:rPr>
      <w:rFonts w:eastAsia="宋体"/>
      <w:sz w:val="21"/>
      <w:szCs w:val="21"/>
      <w:lang w:val="en-US" w:eastAsia="zh-CN" w:bidi="ar-SA"/>
    </w:rPr>
  </w:style>
  <w:style w:type="paragraph" w:customStyle="1" w:styleId="affffffff3">
    <w:name w:val="图片标注"/>
    <w:basedOn w:val="a6"/>
    <w:next w:val="a6"/>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f">
    <w:name w:val="日期1"/>
    <w:basedOn w:val="DepartCorrespondhttp"/>
    <w:next w:val="Information"/>
    <w:semiHidden/>
    <w:pPr>
      <w:spacing w:after="240"/>
    </w:pPr>
    <w:rPr>
      <w:sz w:val="18"/>
    </w:rPr>
  </w:style>
  <w:style w:type="paragraph" w:customStyle="1" w:styleId="CharCharCharCharCharCharChar0">
    <w:name w:val="Char Char Char Char Char Char Char"/>
    <w:basedOn w:val="a6"/>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6"/>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f0">
    <w:name w:val="题注1"/>
    <w:basedOn w:val="a6"/>
    <w:next w:val="a6"/>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6"/>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6"/>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f4">
    <w:name w:val="样式 列出段落 + (中文) 黑体 四号 两端对齐"/>
    <w:basedOn w:val="afffffff5"/>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8">
    <w:name w:val="列出段落2"/>
    <w:basedOn w:val="a6"/>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8"/>
    <w:semiHidden/>
    <w:locked/>
    <w:rPr>
      <w:rFonts w:ascii="Tahoma" w:eastAsia="微软雅黑" w:hAnsi="Tahoma"/>
      <w:sz w:val="22"/>
      <w:szCs w:val="22"/>
    </w:rPr>
  </w:style>
  <w:style w:type="paragraph" w:customStyle="1" w:styleId="1ff1">
    <w:name w:val="无间隔1"/>
    <w:semiHidden/>
    <w:rPr>
      <w:rFonts w:ascii="Calibri" w:hAnsi="Calibri"/>
      <w:sz w:val="22"/>
      <w:szCs w:val="22"/>
    </w:rPr>
  </w:style>
  <w:style w:type="paragraph" w:customStyle="1" w:styleId="4b">
    <w:name w:val="书目4"/>
    <w:basedOn w:val="a6"/>
    <w:next w:val="a6"/>
    <w:uiPriority w:val="37"/>
    <w:semiHidden/>
    <w:qFormat/>
    <w:pPr>
      <w:ind w:firstLineChars="200" w:firstLine="200"/>
    </w:pPr>
    <w:rPr>
      <w:szCs w:val="21"/>
    </w:rPr>
  </w:style>
  <w:style w:type="character" w:customStyle="1" w:styleId="1ff2">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f5">
    <w:name w:val="章节名"/>
    <w:basedOn w:val="10"/>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6"/>
    <w:semiHidden/>
    <w:pPr>
      <w:overflowPunct w:val="0"/>
    </w:pPr>
    <w:rPr>
      <w:rFonts w:ascii="Tahoma" w:hAnsi="Tahoma"/>
      <w:sz w:val="24"/>
      <w:szCs w:val="20"/>
    </w:rPr>
  </w:style>
  <w:style w:type="paragraph" w:customStyle="1" w:styleId="ListParagraph1">
    <w:name w:val="List Paragraph1"/>
    <w:basedOn w:val="a6"/>
    <w:uiPriority w:val="99"/>
    <w:semiHidden/>
    <w:qFormat/>
    <w:pPr>
      <w:ind w:left="720" w:firstLineChars="200" w:firstLine="200"/>
      <w:contextualSpacing/>
    </w:pPr>
    <w:rPr>
      <w:szCs w:val="21"/>
    </w:rPr>
  </w:style>
  <w:style w:type="character" w:customStyle="1" w:styleId="CharCharCharChCharChar">
    <w:name w:val="Char Char Char Ch Char Char"/>
    <w:semiHidden/>
    <w:rPr>
      <w:rFonts w:ascii="Arial" w:eastAsia="黑体" w:hAnsi="Arial" w:cs="Arial"/>
      <w:lang w:val="en-US" w:eastAsia="zh-CN" w:bidi="ar-SA"/>
    </w:rPr>
  </w:style>
  <w:style w:type="paragraph" w:customStyle="1" w:styleId="affffffff6">
    <w:name w:val="题助"/>
    <w:basedOn w:val="af1"/>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7">
    <w:name w:val="论文正文"/>
    <w:basedOn w:val="a6"/>
    <w:link w:val="Charfd"/>
    <w:semiHidden/>
    <w:qFormat/>
    <w:pPr>
      <w:overflowPunct w:val="0"/>
      <w:spacing w:line="300" w:lineRule="auto"/>
      <w:ind w:firstLineChars="200" w:firstLine="200"/>
    </w:pPr>
    <w:rPr>
      <w:sz w:val="24"/>
    </w:rPr>
  </w:style>
  <w:style w:type="character" w:customStyle="1" w:styleId="Charfd">
    <w:name w:val="论文正文 Char"/>
    <w:link w:val="affffffff7"/>
    <w:semiHidden/>
    <w:rPr>
      <w:kern w:val="2"/>
      <w:sz w:val="24"/>
      <w:szCs w:val="24"/>
    </w:rPr>
  </w:style>
  <w:style w:type="paragraph" w:customStyle="1" w:styleId="affffffff8">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8"/>
    <w:semiHidden/>
    <w:rPr>
      <w:rFonts w:ascii="Arial" w:hAnsi="Arial" w:cs="宋体"/>
      <w:b/>
      <w:bCs/>
      <w:kern w:val="2"/>
      <w:sz w:val="28"/>
    </w:rPr>
  </w:style>
  <w:style w:type="paragraph" w:customStyle="1" w:styleId="affffffff9">
    <w:name w:val="论文标题三"/>
    <w:basedOn w:val="a6"/>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f3">
    <w:name w:val="样式1"/>
    <w:basedOn w:val="afb"/>
    <w:link w:val="1Char2"/>
    <w:semiHidden/>
    <w:pPr>
      <w:tabs>
        <w:tab w:val="clear" w:pos="357"/>
      </w:tabs>
      <w:overflowPunct/>
      <w:spacing w:after="120"/>
      <w:ind w:firstLine="360"/>
    </w:pPr>
    <w:rPr>
      <w:sz w:val="21"/>
      <w:szCs w:val="18"/>
    </w:rPr>
  </w:style>
  <w:style w:type="character" w:customStyle="1" w:styleId="1Char2">
    <w:name w:val="样式1 Char"/>
    <w:link w:val="1ff3"/>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7"/>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6"/>
    <w:semiHidden/>
    <w:pPr>
      <w:widowControl/>
      <w:overflowPunct w:val="0"/>
      <w:spacing w:after="160" w:line="400" w:lineRule="exact"/>
      <w:jc w:val="left"/>
    </w:pPr>
    <w:rPr>
      <w:rFonts w:ascii="Verdana" w:hAnsi="Verdana"/>
      <w:kern w:val="0"/>
      <w:sz w:val="20"/>
      <w:szCs w:val="20"/>
      <w:lang w:eastAsia="en-US"/>
    </w:rPr>
  </w:style>
  <w:style w:type="table" w:customStyle="1" w:styleId="affffffffa">
    <w:name w:val="三线表"/>
    <w:basedOn w:val="a8"/>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f4">
    <w:name w:val=".. 1"/>
    <w:basedOn w:val="a6"/>
    <w:next w:val="a6"/>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9">
    <w:name w:val=".. 2"/>
    <w:basedOn w:val="a6"/>
    <w:next w:val="a6"/>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6"/>
    <w:next w:val="a6"/>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6"/>
    <w:next w:val="a6"/>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6"/>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6"/>
    <w:semiHidden/>
    <w:pPr>
      <w:overflowPunct w:val="0"/>
      <w:spacing w:beforeLines="50"/>
      <w:jc w:val="center"/>
    </w:pPr>
    <w:rPr>
      <w:rFonts w:cs="Courier New"/>
      <w:color w:val="000000"/>
      <w:kern w:val="0"/>
      <w:sz w:val="18"/>
      <w:szCs w:val="20"/>
    </w:rPr>
  </w:style>
  <w:style w:type="paragraph" w:customStyle="1" w:styleId="email">
    <w:name w:val="email"/>
    <w:basedOn w:val="a6"/>
    <w:next w:val="abstract0"/>
    <w:semiHidden/>
    <w:pPr>
      <w:overflowPunct w:val="0"/>
      <w:jc w:val="center"/>
    </w:pPr>
    <w:rPr>
      <w:rFonts w:cs="Courier New"/>
      <w:color w:val="000000"/>
      <w:kern w:val="0"/>
      <w:sz w:val="18"/>
      <w:szCs w:val="20"/>
    </w:rPr>
  </w:style>
  <w:style w:type="paragraph" w:customStyle="1" w:styleId="figlegend">
    <w:name w:val="figlegend"/>
    <w:basedOn w:val="a6"/>
    <w:next w:val="a6"/>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6"/>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6"/>
    <w:next w:val="a6"/>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6"/>
    <w:next w:val="a6"/>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6"/>
    <w:next w:val="a6"/>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6"/>
    <w:next w:val="a6"/>
    <w:semiHidden/>
    <w:pPr>
      <w:overflowPunct w:val="0"/>
      <w:spacing w:before="320"/>
    </w:pPr>
    <w:rPr>
      <w:rFonts w:cs="Courier New"/>
      <w:i/>
      <w:color w:val="000000"/>
      <w:kern w:val="0"/>
      <w:sz w:val="18"/>
      <w:szCs w:val="20"/>
    </w:rPr>
  </w:style>
  <w:style w:type="paragraph" w:customStyle="1" w:styleId="IEEEReferenceItem">
    <w:name w:val="IEEE Reference Item"/>
    <w:basedOn w:val="a6"/>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6"/>
    <w:next w:val="a6"/>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6"/>
    <w:next w:val="a6"/>
    <w:semiHidden/>
    <w:pPr>
      <w:overflowPunct w:val="0"/>
    </w:pPr>
    <w:rPr>
      <w:rFonts w:cs="Courier New"/>
      <w:color w:val="000000"/>
      <w:kern w:val="0"/>
      <w:sz w:val="18"/>
      <w:szCs w:val="20"/>
    </w:rPr>
  </w:style>
  <w:style w:type="paragraph" w:customStyle="1" w:styleId="programcode">
    <w:name w:val="programcode"/>
    <w:basedOn w:val="a6"/>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6"/>
    <w:semiHidden/>
    <w:pPr>
      <w:overflowPunct w:val="0"/>
      <w:ind w:left="227" w:hanging="227"/>
    </w:pPr>
    <w:rPr>
      <w:rFonts w:cs="Courier New"/>
      <w:color w:val="000000"/>
      <w:kern w:val="0"/>
      <w:sz w:val="18"/>
      <w:szCs w:val="20"/>
    </w:rPr>
  </w:style>
  <w:style w:type="paragraph" w:customStyle="1" w:styleId="Runninghead-left">
    <w:name w:val="Running head - left"/>
    <w:basedOn w:val="a6"/>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6"/>
    <w:next w:val="a6"/>
    <w:semiHidden/>
    <w:pPr>
      <w:keepNext/>
      <w:keepLines/>
      <w:overflowPunct w:val="0"/>
      <w:spacing w:before="240" w:after="120"/>
    </w:pPr>
    <w:rPr>
      <w:rFonts w:cs="Courier New"/>
      <w:color w:val="000000"/>
      <w:kern w:val="0"/>
      <w:sz w:val="18"/>
      <w:szCs w:val="20"/>
      <w:lang w:val="de-DE"/>
    </w:rPr>
  </w:style>
  <w:style w:type="paragraph" w:customStyle="1" w:styleId="affffffffb">
    <w:name w:val="博士论文正文"/>
    <w:basedOn w:val="a6"/>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c">
    <w:name w:val="发表论文目录正文"/>
    <w:basedOn w:val="a6"/>
    <w:semiHidden/>
    <w:pPr>
      <w:overflowPunct w:val="0"/>
      <w:topLinePunct/>
    </w:pPr>
    <w:rPr>
      <w:rFonts w:ascii="Times" w:hAnsi="Times" w:cs="Courier New"/>
      <w:color w:val="000000"/>
      <w:kern w:val="0"/>
      <w:sz w:val="24"/>
      <w:szCs w:val="20"/>
    </w:rPr>
  </w:style>
  <w:style w:type="paragraph" w:customStyle="1" w:styleId="affffffffd">
    <w:name w:val="英文"/>
    <w:basedOn w:val="a6"/>
    <w:next w:val="a6"/>
    <w:link w:val="Charff0"/>
    <w:semiHidden/>
    <w:pPr>
      <w:overflowPunct w:val="0"/>
      <w:snapToGrid w:val="0"/>
      <w:spacing w:line="280" w:lineRule="exact"/>
    </w:pPr>
    <w:rPr>
      <w:sz w:val="15"/>
      <w:szCs w:val="20"/>
    </w:rPr>
  </w:style>
  <w:style w:type="character" w:customStyle="1" w:styleId="Charff0">
    <w:name w:val="英文 Char"/>
    <w:link w:val="affffffffd"/>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e">
    <w:name w:val="文档正文"/>
    <w:basedOn w:val="a6"/>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e"/>
    <w:semiHidden/>
    <w:rPr>
      <w:spacing w:val="4"/>
      <w:sz w:val="24"/>
    </w:rPr>
  </w:style>
  <w:style w:type="paragraph" w:customStyle="1" w:styleId="a">
    <w:name w:val="前言、引言标题"/>
    <w:next w:val="a6"/>
    <w:semiHidden/>
    <w:pPr>
      <w:numPr>
        <w:numId w:val="7"/>
      </w:numPr>
      <w:shd w:val="clear" w:color="FFFFFF" w:fill="FFFFFF"/>
      <w:spacing w:before="640" w:after="560"/>
      <w:jc w:val="center"/>
      <w:outlineLvl w:val="0"/>
    </w:pPr>
    <w:rPr>
      <w:rFonts w:ascii="黑体" w:eastAsia="黑体"/>
      <w:sz w:val="32"/>
    </w:rPr>
  </w:style>
  <w:style w:type="paragraph" w:customStyle="1" w:styleId="afffffffff">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f"/>
    <w:semiHidden/>
    <w:rPr>
      <w:rFonts w:ascii="宋体"/>
      <w:sz w:val="21"/>
      <w:lang w:val="en-US" w:eastAsia="zh-CN" w:bidi="ar-SA"/>
    </w:rPr>
  </w:style>
  <w:style w:type="paragraph" w:customStyle="1" w:styleId="a0">
    <w:name w:val="章标题"/>
    <w:next w:val="afffffffff"/>
    <w:semiHidden/>
    <w:pPr>
      <w:numPr>
        <w:ilvl w:val="1"/>
        <w:numId w:val="7"/>
      </w:numPr>
      <w:spacing w:beforeLines="50" w:afterLines="50"/>
      <w:jc w:val="both"/>
      <w:outlineLvl w:val="1"/>
    </w:pPr>
    <w:rPr>
      <w:rFonts w:eastAsia="黑体"/>
      <w:sz w:val="21"/>
    </w:rPr>
  </w:style>
  <w:style w:type="paragraph" w:customStyle="1" w:styleId="a1">
    <w:name w:val="一级条标题"/>
    <w:basedOn w:val="a0"/>
    <w:next w:val="afffffffff"/>
    <w:semiHidden/>
    <w:pPr>
      <w:numPr>
        <w:ilvl w:val="2"/>
      </w:numPr>
      <w:spacing w:beforeLines="0" w:afterLines="0"/>
      <w:outlineLvl w:val="2"/>
    </w:pPr>
  </w:style>
  <w:style w:type="paragraph" w:customStyle="1" w:styleId="a2">
    <w:name w:val="二级条标题"/>
    <w:basedOn w:val="a1"/>
    <w:next w:val="afffffffff"/>
    <w:semiHidden/>
    <w:pPr>
      <w:numPr>
        <w:ilvl w:val="3"/>
      </w:numPr>
      <w:outlineLvl w:val="3"/>
    </w:pPr>
  </w:style>
  <w:style w:type="paragraph" w:customStyle="1" w:styleId="a3">
    <w:name w:val="三级条标题"/>
    <w:basedOn w:val="a2"/>
    <w:next w:val="afffffffff"/>
    <w:semiHidden/>
    <w:pPr>
      <w:numPr>
        <w:ilvl w:val="4"/>
      </w:numPr>
      <w:outlineLvl w:val="4"/>
    </w:pPr>
  </w:style>
  <w:style w:type="paragraph" w:customStyle="1" w:styleId="a4">
    <w:name w:val="四级条标题"/>
    <w:basedOn w:val="a3"/>
    <w:next w:val="afffffffff"/>
    <w:semiHidden/>
    <w:pPr>
      <w:numPr>
        <w:ilvl w:val="5"/>
      </w:numPr>
      <w:outlineLvl w:val="5"/>
    </w:pPr>
  </w:style>
  <w:style w:type="paragraph" w:customStyle="1" w:styleId="a5">
    <w:name w:val="五级条标题"/>
    <w:basedOn w:val="a4"/>
    <w:next w:val="afffffffff"/>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6"/>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6"/>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6"/>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6"/>
    <w:next w:val="a6"/>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7"/>
    <w:semiHidden/>
    <w:rPr>
      <w:rFonts w:eastAsia="宋体"/>
      <w:sz w:val="21"/>
      <w:szCs w:val="21"/>
      <w:lang w:val="en-US" w:eastAsia="zh-CN" w:bidi="ar-SA"/>
    </w:rPr>
  </w:style>
  <w:style w:type="paragraph" w:customStyle="1" w:styleId="IEEEAuthorAffiliation">
    <w:name w:val="IEEE Author Affiliation"/>
    <w:basedOn w:val="a6"/>
    <w:next w:val="a6"/>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6"/>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6"/>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6"/>
    <w:next w:val="a6"/>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6"/>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6"/>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6"/>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6"/>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6"/>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6"/>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6"/>
    <w:semiHidden/>
    <w:pPr>
      <w:tabs>
        <w:tab w:val="left" w:pos="360"/>
      </w:tabs>
      <w:overflowPunct w:val="0"/>
    </w:pPr>
    <w:rPr>
      <w:rFonts w:cs="Courier New"/>
      <w:color w:val="000000"/>
      <w:kern w:val="0"/>
      <w:sz w:val="24"/>
      <w:szCs w:val="20"/>
    </w:rPr>
  </w:style>
  <w:style w:type="paragraph" w:customStyle="1" w:styleId="ieeereferenceitem0">
    <w:name w:val="ieeereferenceitem"/>
    <w:basedOn w:val="a6"/>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6"/>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7"/>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6"/>
    <w:next w:val="a6"/>
    <w:uiPriority w:val="37"/>
    <w:semiHidden/>
    <w:qFormat/>
    <w:pPr>
      <w:ind w:firstLineChars="200" w:firstLine="200"/>
    </w:pPr>
    <w:rPr>
      <w:szCs w:val="21"/>
    </w:rPr>
  </w:style>
  <w:style w:type="table" w:customStyle="1" w:styleId="-11">
    <w:name w:val="浅色列表 - 强调文字颜色 11"/>
    <w:basedOn w:val="afff8"/>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8"/>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8"/>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f5">
    <w:name w:val="浅色底纹1"/>
    <w:basedOn w:val="a8"/>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8"/>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0"/>
    <w:next w:val="a6"/>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6"/>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7"/>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6"/>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6"/>
    <w:next w:val="a6"/>
    <w:semiHidden/>
    <w:pPr>
      <w:overflowPunct w:val="0"/>
      <w:autoSpaceDE w:val="0"/>
      <w:autoSpaceDN w:val="0"/>
      <w:adjustRightInd w:val="0"/>
      <w:jc w:val="left"/>
    </w:pPr>
    <w:rPr>
      <w:kern w:val="0"/>
      <w:sz w:val="24"/>
      <w:szCs w:val="20"/>
    </w:rPr>
  </w:style>
  <w:style w:type="paragraph" w:customStyle="1" w:styleId="1ff6">
    <w:name w:val="访问过的超链接1"/>
    <w:basedOn w:val="a6"/>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6"/>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6"/>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6"/>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6"/>
    <w:next w:val="a6"/>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7"/>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7">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6"/>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8"/>
    <w:qFormat/>
    <w:tblPr>
      <w:tblCellSpacing w:w="0" w:type="dxa"/>
    </w:tblPr>
    <w:trPr>
      <w:cantSplit/>
      <w:tblCellSpacing w:w="0" w:type="dxa"/>
    </w:trPr>
    <w:tcPr>
      <w:shd w:val="clear" w:color="auto" w:fill="auto"/>
    </w:tcPr>
  </w:style>
  <w:style w:type="paragraph" w:customStyle="1" w:styleId="ordinary-output">
    <w:name w:val="ordinary-output"/>
    <w:basedOn w:val="a6"/>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7"/>
    <w:semiHidden/>
    <w:qFormat/>
    <w:rPr>
      <w:rFonts w:eastAsia="宋体"/>
      <w:sz w:val="21"/>
      <w:szCs w:val="21"/>
      <w:lang w:val="en-US" w:eastAsia="zh-CN" w:bidi="ar-SA"/>
    </w:rPr>
  </w:style>
  <w:style w:type="character" w:customStyle="1" w:styleId="gt-baf-base-sep">
    <w:name w:val="gt-baf-base-sep"/>
    <w:basedOn w:val="a7"/>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a">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6"/>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6"/>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7"/>
    <w:semiHidden/>
    <w:rPr>
      <w:rFonts w:eastAsia="宋体"/>
      <w:sz w:val="21"/>
      <w:szCs w:val="21"/>
      <w:lang w:val="en-US" w:eastAsia="zh-CN" w:bidi="ar-SA"/>
    </w:rPr>
  </w:style>
  <w:style w:type="character" w:customStyle="1" w:styleId="focus">
    <w:name w:val="focus"/>
    <w:basedOn w:val="a7"/>
    <w:semiHidden/>
    <w:qFormat/>
    <w:rPr>
      <w:rFonts w:eastAsia="宋体"/>
      <w:sz w:val="21"/>
      <w:szCs w:val="21"/>
      <w:lang w:val="en-US" w:eastAsia="zh-CN" w:bidi="ar-SA"/>
    </w:rPr>
  </w:style>
  <w:style w:type="paragraph" w:customStyle="1" w:styleId="c0">
    <w:name w:val="&lt;c作者姓名&gt;"/>
    <w:basedOn w:val="a6"/>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6"/>
    <w:semiHidden/>
    <w:pPr>
      <w:overflowPunct w:val="0"/>
      <w:spacing w:afterLines="40" w:line="260" w:lineRule="exact"/>
      <w:jc w:val="center"/>
    </w:pPr>
    <w:rPr>
      <w:rFonts w:eastAsia="华文中宋"/>
      <w:sz w:val="16"/>
      <w:szCs w:val="20"/>
    </w:rPr>
  </w:style>
  <w:style w:type="paragraph" w:customStyle="1" w:styleId="Style14">
    <w:name w:val="_Style 14"/>
    <w:basedOn w:val="a6"/>
    <w:next w:val="a6"/>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6"/>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6"/>
    <w:semiHidden/>
    <w:pPr>
      <w:widowControl/>
      <w:overflowPunct w:val="0"/>
    </w:pPr>
    <w:rPr>
      <w:rFonts w:ascii="Arial" w:hAnsi="Arial" w:cs="Arial"/>
      <w:kern w:val="0"/>
      <w:sz w:val="20"/>
      <w:szCs w:val="20"/>
    </w:rPr>
  </w:style>
  <w:style w:type="paragraph" w:customStyle="1" w:styleId="articledetails">
    <w:name w:val="articledetails"/>
    <w:basedOn w:val="a6"/>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7"/>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6"/>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6"/>
    <w:next w:val="a6"/>
    <w:semiHidden/>
    <w:qFormat/>
    <w:pPr>
      <w:pBdr>
        <w:top w:val="single" w:sz="6" w:space="1" w:color="auto"/>
      </w:pBdr>
      <w:jc w:val="center"/>
    </w:pPr>
    <w:rPr>
      <w:rFonts w:ascii="Arial" w:hAnsi="Calibri"/>
      <w:vanish/>
      <w:sz w:val="16"/>
      <w:szCs w:val="22"/>
    </w:rPr>
  </w:style>
  <w:style w:type="paragraph" w:customStyle="1" w:styleId="VDTableTitle">
    <w:name w:val="VD_Table_Title"/>
    <w:basedOn w:val="a6"/>
    <w:next w:val="a6"/>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6"/>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6"/>
    <w:next w:val="a6"/>
    <w:semiHidden/>
    <w:qFormat/>
    <w:pPr>
      <w:pBdr>
        <w:bottom w:val="single" w:sz="6" w:space="1" w:color="auto"/>
      </w:pBdr>
      <w:jc w:val="center"/>
    </w:pPr>
    <w:rPr>
      <w:rFonts w:ascii="Arial" w:hAnsi="Calibri"/>
      <w:vanish/>
      <w:sz w:val="16"/>
      <w:szCs w:val="22"/>
    </w:rPr>
  </w:style>
  <w:style w:type="paragraph" w:customStyle="1" w:styleId="Style17">
    <w:name w:val="_Style 17"/>
    <w:basedOn w:val="a6"/>
    <w:next w:val="a6"/>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7"/>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7"/>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6"/>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8">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7"/>
    <w:semiHidden/>
    <w:rPr>
      <w:rFonts w:eastAsia="宋体"/>
      <w:sz w:val="21"/>
      <w:szCs w:val="21"/>
      <w:lang w:val="en-US" w:eastAsia="zh-CN" w:bidi="ar-SA"/>
    </w:rPr>
  </w:style>
  <w:style w:type="paragraph" w:customStyle="1" w:styleId="Char13">
    <w:name w:val="Char1"/>
    <w:basedOn w:val="a6"/>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6"/>
    <w:semiHidden/>
    <w:pPr>
      <w:widowControl/>
      <w:overflowPunct w:val="0"/>
      <w:ind w:left="227" w:hanging="227"/>
    </w:pPr>
    <w:rPr>
      <w:rFonts w:ascii="Times" w:hAnsi="Times"/>
      <w:kern w:val="0"/>
      <w:sz w:val="18"/>
      <w:szCs w:val="20"/>
    </w:rPr>
  </w:style>
  <w:style w:type="character" w:customStyle="1" w:styleId="CharChar39">
    <w:name w:val="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8"/>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9"/>
    <w:next w:val="1ff9"/>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9">
    <w:name w:val="正文文本1"/>
    <w:basedOn w:val="a6"/>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6"/>
    <w:link w:val="eChar"/>
    <w:semiHidden/>
    <w:pPr>
      <w:spacing w:line="300" w:lineRule="exact"/>
    </w:pPr>
    <w:rPr>
      <w:rFonts w:eastAsia="黑体"/>
      <w:sz w:val="18"/>
    </w:rPr>
  </w:style>
  <w:style w:type="paragraph" w:customStyle="1" w:styleId="tgt1">
    <w:name w:val="tgt1"/>
    <w:basedOn w:val="a6"/>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6"/>
    <w:semiHidden/>
    <w:pPr>
      <w:overflowPunct w:val="0"/>
    </w:pPr>
    <w:rPr>
      <w:rFonts w:eastAsia="华文中宋"/>
      <w:szCs w:val="21"/>
    </w:rPr>
  </w:style>
  <w:style w:type="character" w:customStyle="1" w:styleId="jiange1">
    <w:name w:val="jiange1"/>
    <w:basedOn w:val="a7"/>
    <w:semiHidden/>
    <w:rPr>
      <w:rFonts w:eastAsia="宋体"/>
      <w:sz w:val="21"/>
      <w:szCs w:val="21"/>
      <w:lang w:val="en-US" w:eastAsia="zh-CN" w:bidi="ar-SA"/>
    </w:rPr>
  </w:style>
  <w:style w:type="paragraph" w:customStyle="1" w:styleId="ChineseTitle">
    <w:name w:val="Chinese Title"/>
    <w:basedOn w:val="a6"/>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6"/>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6"/>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6"/>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6"/>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6"/>
    <w:next w:val="a6"/>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6"/>
    <w:semiHidden/>
    <w:pPr>
      <w:overflowPunct w:val="0"/>
      <w:snapToGrid w:val="0"/>
      <w:spacing w:line="307" w:lineRule="auto"/>
    </w:pPr>
    <w:rPr>
      <w:sz w:val="24"/>
      <w:szCs w:val="20"/>
    </w:rPr>
  </w:style>
  <w:style w:type="paragraph" w:customStyle="1" w:styleId="afffffffffc">
    <w:name w:val="论文章标题"/>
    <w:basedOn w:val="10"/>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9"/>
    <w:next w:val="1ff9"/>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a">
    <w:name w:val="论文标题 1"/>
    <w:basedOn w:val="10"/>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6"/>
    <w:next w:val="a6"/>
    <w:semiHidden/>
    <w:pPr>
      <w:overflowPunct w:val="0"/>
      <w:spacing w:afterLines="50"/>
      <w:jc w:val="center"/>
    </w:pPr>
    <w:rPr>
      <w:rFonts w:eastAsia="黑体"/>
      <w:b/>
      <w:bCs/>
      <w:sz w:val="18"/>
      <w:szCs w:val="20"/>
    </w:rPr>
  </w:style>
  <w:style w:type="paragraph" w:customStyle="1" w:styleId="TableCHeading">
    <w:name w:val="TableCHeading"/>
    <w:basedOn w:val="a6"/>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6"/>
    <w:uiPriority w:val="1"/>
    <w:semiHidden/>
    <w:qFormat/>
    <w:pPr>
      <w:snapToGrid w:val="0"/>
    </w:pPr>
    <w:rPr>
      <w:rFonts w:eastAsia="Times New Roman"/>
      <w:lang w:eastAsia="en-US" w:bidi="en-US"/>
    </w:rPr>
  </w:style>
  <w:style w:type="paragraph" w:customStyle="1" w:styleId="listpro">
    <w:name w:val="list pro"/>
    <w:basedOn w:val="afffffffffb"/>
    <w:next w:val="1ff9"/>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b">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b">
    <w:name w:val="标题 2 字符"/>
    <w:uiPriority w:val="9"/>
    <w:qFormat/>
    <w:rPr>
      <w:rFonts w:ascii="Times New Roman" w:eastAsia="宋体" w:hAnsi="Times New Roman" w:cs="Times New Roman"/>
      <w:bCs/>
      <w:sz w:val="28"/>
      <w:szCs w:val="28"/>
    </w:rPr>
  </w:style>
  <w:style w:type="paragraph" w:customStyle="1" w:styleId="1ffc">
    <w:name w:val="修订1"/>
    <w:uiPriority w:val="71"/>
    <w:qFormat/>
    <w:rPr>
      <w:rFonts w:ascii="Calibri" w:hAnsi="Calibri"/>
      <w:kern w:val="2"/>
      <w:sz w:val="21"/>
      <w:szCs w:val="22"/>
    </w:rPr>
  </w:style>
  <w:style w:type="paragraph" w:customStyle="1" w:styleId="2fc">
    <w:name w:val="修订2"/>
    <w:uiPriority w:val="99"/>
    <w:semiHidden/>
    <w:qFormat/>
    <w:rPr>
      <w:rFonts w:ascii="Calibri" w:hAnsi="Calibri"/>
      <w:kern w:val="2"/>
      <w:sz w:val="21"/>
      <w:szCs w:val="22"/>
    </w:rPr>
  </w:style>
  <w:style w:type="paragraph" w:customStyle="1" w:styleId="93">
    <w:name w:val="9"/>
    <w:basedOn w:val="a6"/>
    <w:next w:val="afffffff5"/>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0"/>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7"/>
    <w:semiHidden/>
    <w:rPr>
      <w:rFonts w:eastAsia="宋体"/>
      <w:sz w:val="21"/>
      <w:szCs w:val="21"/>
      <w:lang w:val="en-US" w:eastAsia="zh-CN" w:bidi="ar-SA"/>
    </w:rPr>
  </w:style>
  <w:style w:type="paragraph" w:customStyle="1" w:styleId="tabletitle0">
    <w:name w:val="table title"/>
    <w:basedOn w:val="a6"/>
    <w:next w:val="a6"/>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6"/>
    <w:semiHidden/>
    <w:qFormat/>
    <w:pPr>
      <w:jc w:val="left"/>
    </w:pPr>
    <w:rPr>
      <w:b/>
      <w:kern w:val="0"/>
    </w:rPr>
  </w:style>
  <w:style w:type="paragraph" w:customStyle="1" w:styleId="authortext">
    <w:name w:val="author_text"/>
    <w:basedOn w:val="a6"/>
    <w:semiHidden/>
    <w:qFormat/>
    <w:pPr>
      <w:jc w:val="left"/>
    </w:pPr>
    <w:rPr>
      <w:kern w:val="0"/>
    </w:rPr>
  </w:style>
  <w:style w:type="paragraph" w:customStyle="1" w:styleId="Style10">
    <w:name w:val="_Style 1"/>
    <w:basedOn w:val="a6"/>
    <w:uiPriority w:val="34"/>
    <w:semiHidden/>
    <w:qFormat/>
    <w:pPr>
      <w:ind w:firstLineChars="200" w:firstLine="420"/>
    </w:pPr>
  </w:style>
  <w:style w:type="paragraph" w:customStyle="1" w:styleId="ART">
    <w:name w:val="ART"/>
    <w:basedOn w:val="a6"/>
    <w:next w:val="a6"/>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6"/>
    <w:next w:val="a6"/>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6"/>
    <w:semiHidden/>
    <w:pPr>
      <w:widowControl/>
      <w:overflowPunct w:val="0"/>
      <w:spacing w:line="360" w:lineRule="atLeast"/>
      <w:ind w:firstLine="432"/>
    </w:pPr>
    <w:rPr>
      <w:rFonts w:ascii="宋体"/>
      <w:kern w:val="0"/>
      <w:szCs w:val="20"/>
    </w:rPr>
  </w:style>
  <w:style w:type="paragraph" w:customStyle="1" w:styleId="GF0">
    <w:name w:val="GF报告一级标题"/>
    <w:basedOn w:val="a6"/>
    <w:semiHidden/>
    <w:pPr>
      <w:widowControl/>
      <w:overflowPunct w:val="0"/>
      <w:spacing w:before="360" w:after="360"/>
      <w:jc w:val="left"/>
    </w:pPr>
    <w:rPr>
      <w:rFonts w:ascii="黑体" w:eastAsia="黑体"/>
      <w:kern w:val="0"/>
      <w:szCs w:val="20"/>
    </w:rPr>
  </w:style>
  <w:style w:type="paragraph" w:customStyle="1" w:styleId="GF1">
    <w:name w:val="GF报告参考文献正文"/>
    <w:basedOn w:val="a6"/>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6"/>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f5"/>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6"/>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0"/>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f5"/>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7"/>
    <w:semiHidden/>
    <w:pPr>
      <w:tabs>
        <w:tab w:val="clear" w:pos="2300"/>
        <w:tab w:val="clear" w:pos="4599"/>
        <w:tab w:val="right" w:leader="dot" w:pos="8971"/>
      </w:tabs>
      <w:overflowPunct w:val="0"/>
      <w:snapToGrid/>
      <w:spacing w:beforeLines="0" w:before="0" w:afterLines="0" w:after="0" w:line="288" w:lineRule="auto"/>
    </w:pPr>
    <w:rPr>
      <w:sz w:val="24"/>
      <w:szCs w:val="21"/>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6"/>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6"/>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6"/>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6"/>
    <w:next w:val="a6"/>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6"/>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6"/>
    <w:semiHidden/>
    <w:pPr>
      <w:tabs>
        <w:tab w:val="left" w:pos="360"/>
      </w:tabs>
      <w:overflowPunct w:val="0"/>
    </w:pPr>
    <w:rPr>
      <w:sz w:val="24"/>
    </w:rPr>
  </w:style>
  <w:style w:type="character" w:customStyle="1" w:styleId="biblio-title">
    <w:name w:val="biblio-title"/>
    <w:basedOn w:val="a7"/>
    <w:semiHidden/>
    <w:rPr>
      <w:rFonts w:eastAsia="宋体"/>
      <w:sz w:val="21"/>
      <w:szCs w:val="21"/>
      <w:lang w:val="en-US" w:eastAsia="zh-CN" w:bidi="ar-SA"/>
    </w:rPr>
  </w:style>
  <w:style w:type="paragraph" w:customStyle="1" w:styleId="Char1CharCharChar">
    <w:name w:val="Char1 Char Char Char"/>
    <w:basedOn w:val="a6"/>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6"/>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7"/>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7"/>
    <w:semiHidden/>
    <w:rPr>
      <w:rFonts w:eastAsia="宋体"/>
      <w:sz w:val="21"/>
      <w:szCs w:val="21"/>
      <w:lang w:val="en-US" w:eastAsia="zh-CN" w:bidi="ar-SA"/>
    </w:rPr>
  </w:style>
  <w:style w:type="paragraph" w:customStyle="1" w:styleId="1110">
    <w:name w:val="公式111"/>
    <w:basedOn w:val="a6"/>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6"/>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6"/>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7"/>
    <w:semiHidden/>
    <w:rPr>
      <w:rFonts w:eastAsia="宋体"/>
      <w:sz w:val="21"/>
      <w:szCs w:val="21"/>
      <w:lang w:val="en-US" w:eastAsia="zh-CN" w:bidi="ar-SA"/>
    </w:rPr>
  </w:style>
  <w:style w:type="character" w:customStyle="1" w:styleId="heighlight">
    <w:name w:val="heighlight"/>
    <w:basedOn w:val="a7"/>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6"/>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6"/>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6"/>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7"/>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6"/>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0"/>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6"/>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8"/>
    <w:next w:val="2-1"/>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1">
    <w:name w:val="样式2-正文"/>
    <w:basedOn w:val="a6"/>
    <w:link w:val="2-Char0"/>
    <w:semiHidden/>
    <w:qFormat/>
    <w:pPr>
      <w:ind w:firstLineChars="200" w:firstLine="200"/>
    </w:pPr>
    <w:rPr>
      <w:szCs w:val="22"/>
    </w:rPr>
  </w:style>
  <w:style w:type="character" w:customStyle="1" w:styleId="2-Char0">
    <w:name w:val="样式2-正文 Char"/>
    <w:link w:val="2-1"/>
    <w:semiHidden/>
    <w:rPr>
      <w:kern w:val="2"/>
      <w:sz w:val="21"/>
      <w:szCs w:val="22"/>
    </w:rPr>
  </w:style>
  <w:style w:type="paragraph" w:customStyle="1" w:styleId="2-0">
    <w:name w:val="样式2-二级标题"/>
    <w:basedOn w:val="0505"/>
    <w:next w:val="2-1"/>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0"/>
    <w:semiHidden/>
    <w:rPr>
      <w:rFonts w:eastAsia="黑体"/>
      <w:bCs/>
      <w:kern w:val="2"/>
      <w:sz w:val="21"/>
    </w:rPr>
  </w:style>
  <w:style w:type="paragraph" w:customStyle="1" w:styleId="2-2">
    <w:name w:val="样式2-小标题"/>
    <w:basedOn w:val="a6"/>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1"/>
    <w:link w:val="2-Char3"/>
    <w:semiHidden/>
    <w:qFormat/>
    <w:pPr>
      <w:spacing w:before="312" w:after="312"/>
    </w:pPr>
    <w:rPr>
      <w:rFonts w:ascii="Times New Roman" w:hAnsi="Times New Roman"/>
      <w:b w:val="0"/>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6"/>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6"/>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d">
    <w:name w:val="网格型1"/>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d">
    <w:name w:val="网格型2"/>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8"/>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e">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e">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f">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f0">
    <w:name w:val="脚注引用1"/>
    <w:semiHidden/>
    <w:rPr>
      <w:vertAlign w:val="superscript"/>
    </w:rPr>
  </w:style>
  <w:style w:type="character" w:customStyle="1" w:styleId="1fff1">
    <w:name w:val="尾注引用1"/>
    <w:semiHidden/>
    <w:rPr>
      <w:vertAlign w:val="superscript"/>
    </w:rPr>
  </w:style>
  <w:style w:type="paragraph" w:customStyle="1" w:styleId="Heading">
    <w:name w:val="Heading"/>
    <w:basedOn w:val="a6"/>
    <w:next w:val="afb"/>
    <w:semiHidden/>
    <w:pPr>
      <w:suppressAutoHyphens/>
      <w:spacing w:before="240" w:after="60"/>
      <w:jc w:val="center"/>
    </w:pPr>
    <w:rPr>
      <w:bCs/>
      <w:color w:val="000000"/>
      <w:kern w:val="1"/>
    </w:rPr>
  </w:style>
  <w:style w:type="paragraph" w:customStyle="1" w:styleId="Index">
    <w:name w:val="Index"/>
    <w:basedOn w:val="a6"/>
    <w:semiHidden/>
    <w:pPr>
      <w:suppressLineNumbers/>
      <w:suppressAutoHyphens/>
    </w:pPr>
    <w:rPr>
      <w:rFonts w:cs="Lohit Devanagari"/>
      <w:kern w:val="1"/>
    </w:rPr>
  </w:style>
  <w:style w:type="paragraph" w:customStyle="1" w:styleId="2ff">
    <w:name w:val="题注2"/>
    <w:basedOn w:val="a6"/>
    <w:next w:val="a6"/>
    <w:semiHidden/>
    <w:pPr>
      <w:suppressAutoHyphens/>
      <w:autoSpaceDE w:val="0"/>
      <w:spacing w:before="120" w:after="120"/>
      <w:jc w:val="center"/>
    </w:pPr>
    <w:rPr>
      <w:b/>
      <w:bCs/>
      <w:kern w:val="1"/>
      <w:sz w:val="20"/>
      <w:szCs w:val="20"/>
    </w:rPr>
  </w:style>
  <w:style w:type="paragraph" w:customStyle="1" w:styleId="1fff2">
    <w:name w:val="列表接续1"/>
    <w:basedOn w:val="a6"/>
    <w:semiHidden/>
    <w:pPr>
      <w:suppressAutoHyphens/>
      <w:spacing w:after="120"/>
      <w:ind w:left="420"/>
    </w:pPr>
    <w:rPr>
      <w:kern w:val="1"/>
    </w:rPr>
  </w:style>
  <w:style w:type="paragraph" w:customStyle="1" w:styleId="1fff3">
    <w:name w:val="称呼1"/>
    <w:basedOn w:val="a6"/>
    <w:next w:val="a6"/>
    <w:semiHidden/>
    <w:pPr>
      <w:suppressAutoHyphens/>
    </w:pPr>
    <w:rPr>
      <w:kern w:val="1"/>
    </w:rPr>
  </w:style>
  <w:style w:type="paragraph" w:customStyle="1" w:styleId="410">
    <w:name w:val="列表项目符号 41"/>
    <w:basedOn w:val="a6"/>
    <w:semiHidden/>
    <w:pPr>
      <w:tabs>
        <w:tab w:val="left" w:pos="1620"/>
      </w:tabs>
      <w:suppressAutoHyphens/>
      <w:ind w:left="1620" w:hanging="360"/>
    </w:pPr>
    <w:rPr>
      <w:kern w:val="1"/>
    </w:rPr>
  </w:style>
  <w:style w:type="paragraph" w:customStyle="1" w:styleId="1fff4">
    <w:name w:val="批注文字1"/>
    <w:basedOn w:val="a6"/>
    <w:semiHidden/>
    <w:pPr>
      <w:suppressAutoHyphens/>
      <w:jc w:val="left"/>
    </w:pPr>
    <w:rPr>
      <w:kern w:val="1"/>
    </w:rPr>
  </w:style>
  <w:style w:type="paragraph" w:customStyle="1" w:styleId="411">
    <w:name w:val="索引 41"/>
    <w:basedOn w:val="a6"/>
    <w:next w:val="a6"/>
    <w:semiHidden/>
    <w:pPr>
      <w:pBdr>
        <w:top w:val="single" w:sz="8" w:space="1" w:color="000000"/>
      </w:pBdr>
      <w:suppressAutoHyphens/>
      <w:spacing w:line="312" w:lineRule="atLeast"/>
      <w:ind w:left="600"/>
      <w:textAlignment w:val="baseline"/>
    </w:pPr>
    <w:rPr>
      <w:rFonts w:cs="宋体"/>
      <w:kern w:val="1"/>
    </w:rPr>
  </w:style>
  <w:style w:type="paragraph" w:customStyle="1" w:styleId="1fff5">
    <w:name w:val="引文目录1"/>
    <w:basedOn w:val="a6"/>
    <w:next w:val="a6"/>
    <w:semiHidden/>
    <w:pPr>
      <w:pBdr>
        <w:top w:val="single" w:sz="8" w:space="1" w:color="000000"/>
      </w:pBdr>
      <w:suppressAutoHyphens/>
      <w:spacing w:line="312" w:lineRule="atLeast"/>
      <w:ind w:left="420"/>
      <w:textAlignment w:val="baseline"/>
    </w:pPr>
    <w:rPr>
      <w:rFonts w:cs="宋体"/>
      <w:kern w:val="1"/>
    </w:rPr>
  </w:style>
  <w:style w:type="paragraph" w:customStyle="1" w:styleId="1fff6">
    <w:name w:val="列表项目符号1"/>
    <w:basedOn w:val="a6"/>
    <w:semiHidden/>
    <w:pPr>
      <w:widowControl/>
      <w:tabs>
        <w:tab w:val="left" w:pos="432"/>
        <w:tab w:val="left" w:pos="473"/>
      </w:tabs>
      <w:suppressAutoHyphens/>
      <w:ind w:left="420" w:hanging="420"/>
      <w:jc w:val="left"/>
    </w:pPr>
    <w:rPr>
      <w:kern w:val="1"/>
    </w:rPr>
  </w:style>
  <w:style w:type="paragraph" w:customStyle="1" w:styleId="510">
    <w:name w:val="索引 51"/>
    <w:basedOn w:val="a6"/>
    <w:next w:val="a6"/>
    <w:semiHidden/>
    <w:pPr>
      <w:pBdr>
        <w:top w:val="single" w:sz="8" w:space="1" w:color="000000"/>
      </w:pBdr>
      <w:suppressAutoHyphens/>
      <w:spacing w:line="312" w:lineRule="atLeast"/>
      <w:ind w:left="800"/>
      <w:textAlignment w:val="baseline"/>
    </w:pPr>
    <w:rPr>
      <w:rFonts w:cs="宋体"/>
      <w:kern w:val="1"/>
    </w:rPr>
  </w:style>
  <w:style w:type="paragraph" w:customStyle="1" w:styleId="1fff7">
    <w:name w:val="注释标题1"/>
    <w:basedOn w:val="a6"/>
    <w:next w:val="a6"/>
    <w:semiHidden/>
    <w:pPr>
      <w:suppressAutoHyphens/>
      <w:jc w:val="center"/>
    </w:pPr>
    <w:rPr>
      <w:kern w:val="1"/>
    </w:rPr>
  </w:style>
  <w:style w:type="paragraph" w:customStyle="1" w:styleId="1fff8">
    <w:name w:val="结束语1"/>
    <w:basedOn w:val="a6"/>
    <w:semiHidden/>
    <w:pPr>
      <w:suppressAutoHyphens/>
      <w:ind w:left="100"/>
    </w:pPr>
    <w:rPr>
      <w:kern w:val="1"/>
    </w:rPr>
  </w:style>
  <w:style w:type="paragraph" w:customStyle="1" w:styleId="310">
    <w:name w:val="正文文本 31"/>
    <w:basedOn w:val="a6"/>
    <w:semiHidden/>
    <w:pPr>
      <w:suppressAutoHyphens/>
      <w:spacing w:after="120"/>
    </w:pPr>
    <w:rPr>
      <w:kern w:val="1"/>
      <w:sz w:val="16"/>
      <w:szCs w:val="16"/>
    </w:rPr>
  </w:style>
  <w:style w:type="paragraph" w:customStyle="1" w:styleId="1fff9">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6"/>
    <w:semiHidden/>
    <w:pPr>
      <w:suppressAutoHyphens/>
      <w:ind w:left="100" w:hanging="200"/>
    </w:pPr>
    <w:rPr>
      <w:kern w:val="1"/>
    </w:rPr>
  </w:style>
  <w:style w:type="paragraph" w:customStyle="1" w:styleId="311">
    <w:name w:val="列表 31"/>
    <w:basedOn w:val="a6"/>
    <w:semiHidden/>
    <w:pPr>
      <w:suppressAutoHyphens/>
      <w:ind w:left="100" w:hanging="200"/>
    </w:pPr>
    <w:rPr>
      <w:kern w:val="1"/>
    </w:rPr>
  </w:style>
  <w:style w:type="paragraph" w:customStyle="1" w:styleId="1fffa">
    <w:name w:val="列表编号1"/>
    <w:basedOn w:val="a6"/>
    <w:semiHidden/>
    <w:pPr>
      <w:tabs>
        <w:tab w:val="left" w:pos="720"/>
      </w:tabs>
      <w:suppressAutoHyphens/>
      <w:ind w:left="720" w:hanging="360"/>
    </w:pPr>
    <w:rPr>
      <w:kern w:val="1"/>
    </w:rPr>
  </w:style>
  <w:style w:type="paragraph" w:customStyle="1" w:styleId="610">
    <w:name w:val="索引 61"/>
    <w:basedOn w:val="a6"/>
    <w:next w:val="a6"/>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6"/>
    <w:next w:val="a6"/>
    <w:semiHidden/>
    <w:pPr>
      <w:pBdr>
        <w:top w:val="single" w:sz="8" w:space="1" w:color="000000"/>
      </w:pBdr>
      <w:suppressAutoHyphens/>
      <w:spacing w:line="312" w:lineRule="atLeast"/>
      <w:ind w:left="1400"/>
      <w:textAlignment w:val="baseline"/>
    </w:pPr>
    <w:rPr>
      <w:rFonts w:cs="宋体"/>
      <w:kern w:val="1"/>
    </w:rPr>
  </w:style>
  <w:style w:type="paragraph" w:customStyle="1" w:styleId="1fffb">
    <w:name w:val="正文首行缩进1"/>
    <w:basedOn w:val="afb"/>
    <w:semiHidden/>
    <w:pPr>
      <w:tabs>
        <w:tab w:val="clear" w:pos="357"/>
      </w:tabs>
      <w:suppressAutoHyphens/>
      <w:overflowPunct/>
      <w:spacing w:after="120"/>
      <w:ind w:firstLine="420"/>
    </w:pPr>
    <w:rPr>
      <w:kern w:val="1"/>
      <w:sz w:val="21"/>
      <w:szCs w:val="24"/>
    </w:rPr>
  </w:style>
  <w:style w:type="paragraph" w:customStyle="1" w:styleId="312">
    <w:name w:val="列表编号 31"/>
    <w:basedOn w:val="a6"/>
    <w:semiHidden/>
    <w:pPr>
      <w:tabs>
        <w:tab w:val="left" w:pos="1200"/>
      </w:tabs>
      <w:suppressAutoHyphens/>
      <w:ind w:left="1200" w:hanging="360"/>
    </w:pPr>
    <w:rPr>
      <w:kern w:val="1"/>
    </w:rPr>
  </w:style>
  <w:style w:type="paragraph" w:customStyle="1" w:styleId="214">
    <w:name w:val="列表编号 21"/>
    <w:basedOn w:val="a6"/>
    <w:semiHidden/>
    <w:pPr>
      <w:tabs>
        <w:tab w:val="left" w:pos="780"/>
      </w:tabs>
      <w:suppressAutoHyphens/>
      <w:ind w:left="780" w:hanging="360"/>
    </w:pPr>
    <w:rPr>
      <w:kern w:val="1"/>
    </w:rPr>
  </w:style>
  <w:style w:type="paragraph" w:customStyle="1" w:styleId="215">
    <w:name w:val="列表项目符号 21"/>
    <w:basedOn w:val="a6"/>
    <w:semiHidden/>
    <w:pPr>
      <w:tabs>
        <w:tab w:val="left" w:pos="780"/>
      </w:tabs>
      <w:suppressAutoHyphens/>
      <w:ind w:left="780" w:hanging="360"/>
    </w:pPr>
    <w:rPr>
      <w:kern w:val="1"/>
    </w:rPr>
  </w:style>
  <w:style w:type="paragraph" w:customStyle="1" w:styleId="313">
    <w:name w:val="列表项目符号 31"/>
    <w:basedOn w:val="a6"/>
    <w:semiHidden/>
    <w:pPr>
      <w:tabs>
        <w:tab w:val="left" w:pos="1200"/>
      </w:tabs>
      <w:suppressAutoHyphens/>
      <w:ind w:left="1200" w:hanging="360"/>
    </w:pPr>
    <w:rPr>
      <w:kern w:val="1"/>
    </w:rPr>
  </w:style>
  <w:style w:type="paragraph" w:customStyle="1" w:styleId="1fffc">
    <w:name w:val="文档结构图1"/>
    <w:basedOn w:val="a6"/>
    <w:semiHidden/>
    <w:pPr>
      <w:shd w:val="clear" w:color="auto" w:fill="000080"/>
      <w:suppressAutoHyphens/>
    </w:pPr>
    <w:rPr>
      <w:kern w:val="1"/>
    </w:rPr>
  </w:style>
  <w:style w:type="paragraph" w:customStyle="1" w:styleId="1fffd">
    <w:name w:val="文本块1"/>
    <w:basedOn w:val="a6"/>
    <w:semiHidden/>
    <w:pPr>
      <w:suppressAutoHyphens/>
      <w:spacing w:after="120"/>
      <w:ind w:left="1440" w:right="1440"/>
    </w:pPr>
    <w:rPr>
      <w:kern w:val="1"/>
    </w:rPr>
  </w:style>
  <w:style w:type="paragraph" w:customStyle="1" w:styleId="1fffe">
    <w:name w:val="引文目录标题1"/>
    <w:basedOn w:val="a6"/>
    <w:next w:val="a6"/>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f">
    <w:name w:val="正文缩进1"/>
    <w:basedOn w:val="a6"/>
    <w:semiHidden/>
    <w:pPr>
      <w:suppressAutoHyphens/>
      <w:ind w:firstLine="420"/>
    </w:pPr>
    <w:rPr>
      <w:kern w:val="1"/>
    </w:rPr>
  </w:style>
  <w:style w:type="paragraph" w:customStyle="1" w:styleId="511">
    <w:name w:val="列表接续 51"/>
    <w:basedOn w:val="a6"/>
    <w:semiHidden/>
    <w:pPr>
      <w:suppressAutoHyphens/>
      <w:spacing w:after="120"/>
      <w:ind w:left="2100"/>
    </w:pPr>
    <w:rPr>
      <w:kern w:val="1"/>
    </w:rPr>
  </w:style>
  <w:style w:type="paragraph" w:customStyle="1" w:styleId="1ffff0">
    <w:name w:val="纯文本1"/>
    <w:basedOn w:val="a6"/>
    <w:semiHidden/>
    <w:pPr>
      <w:suppressAutoHyphens/>
    </w:pPr>
    <w:rPr>
      <w:rFonts w:ascii="宋体" w:hAnsi="宋体" w:cs="Courier New"/>
      <w:kern w:val="1"/>
    </w:rPr>
  </w:style>
  <w:style w:type="paragraph" w:customStyle="1" w:styleId="314">
    <w:name w:val="列表接续 31"/>
    <w:basedOn w:val="a6"/>
    <w:semiHidden/>
    <w:pPr>
      <w:suppressAutoHyphens/>
      <w:spacing w:after="120"/>
      <w:ind w:left="1260"/>
    </w:pPr>
    <w:rPr>
      <w:kern w:val="1"/>
    </w:rPr>
  </w:style>
  <w:style w:type="paragraph" w:customStyle="1" w:styleId="512">
    <w:name w:val="列表项目符号 51"/>
    <w:basedOn w:val="a6"/>
    <w:semiHidden/>
    <w:pPr>
      <w:tabs>
        <w:tab w:val="left" w:pos="2040"/>
      </w:tabs>
      <w:suppressAutoHyphens/>
      <w:ind w:left="2040" w:hanging="360"/>
    </w:pPr>
    <w:rPr>
      <w:kern w:val="1"/>
    </w:rPr>
  </w:style>
  <w:style w:type="paragraph" w:customStyle="1" w:styleId="412">
    <w:name w:val="列表编号 41"/>
    <w:basedOn w:val="a6"/>
    <w:semiHidden/>
    <w:pPr>
      <w:tabs>
        <w:tab w:val="left" w:pos="1620"/>
      </w:tabs>
      <w:suppressAutoHyphens/>
      <w:ind w:left="1620" w:hanging="360"/>
    </w:pPr>
    <w:rPr>
      <w:kern w:val="1"/>
    </w:rPr>
  </w:style>
  <w:style w:type="paragraph" w:customStyle="1" w:styleId="216">
    <w:name w:val="正文首行缩进 21"/>
    <w:basedOn w:val="afc"/>
    <w:semiHidden/>
    <w:pPr>
      <w:suppressAutoHyphens/>
      <w:spacing w:after="120"/>
      <w:ind w:left="420" w:firstLine="420"/>
    </w:pPr>
    <w:rPr>
      <w:spacing w:val="0"/>
      <w:kern w:val="1"/>
    </w:rPr>
  </w:style>
  <w:style w:type="paragraph" w:customStyle="1" w:styleId="910">
    <w:name w:val="索引 91"/>
    <w:basedOn w:val="a6"/>
    <w:next w:val="a6"/>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6"/>
    <w:semiHidden/>
    <w:pPr>
      <w:suppressAutoHyphens/>
      <w:spacing w:after="120"/>
      <w:ind w:left="1680"/>
    </w:pPr>
    <w:rPr>
      <w:kern w:val="1"/>
    </w:rPr>
  </w:style>
  <w:style w:type="paragraph" w:customStyle="1" w:styleId="217">
    <w:name w:val="列表接续 21"/>
    <w:basedOn w:val="a6"/>
    <w:semiHidden/>
    <w:pPr>
      <w:suppressAutoHyphens/>
      <w:spacing w:after="120"/>
      <w:ind w:left="840"/>
    </w:pPr>
    <w:rPr>
      <w:kern w:val="1"/>
    </w:rPr>
  </w:style>
  <w:style w:type="paragraph" w:customStyle="1" w:styleId="2ff0">
    <w:name w:val="日期2"/>
    <w:basedOn w:val="a6"/>
    <w:next w:val="a6"/>
    <w:semiHidden/>
    <w:pPr>
      <w:suppressAutoHyphens/>
      <w:ind w:left="100"/>
    </w:pPr>
    <w:rPr>
      <w:kern w:val="1"/>
    </w:rPr>
  </w:style>
  <w:style w:type="paragraph" w:customStyle="1" w:styleId="1ffff1">
    <w:name w:val="图表目录1"/>
    <w:basedOn w:val="a6"/>
    <w:next w:val="a6"/>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6"/>
    <w:semiHidden/>
    <w:pPr>
      <w:suppressAutoHyphens/>
      <w:ind w:firstLine="452"/>
    </w:pPr>
    <w:rPr>
      <w:spacing w:val="8"/>
      <w:kern w:val="1"/>
    </w:rPr>
  </w:style>
  <w:style w:type="paragraph" w:customStyle="1" w:styleId="219">
    <w:name w:val="正文文本 21"/>
    <w:basedOn w:val="a6"/>
    <w:semiHidden/>
    <w:pPr>
      <w:suppressAutoHyphens/>
      <w:spacing w:after="120" w:line="480" w:lineRule="auto"/>
    </w:pPr>
    <w:rPr>
      <w:kern w:val="1"/>
    </w:rPr>
  </w:style>
  <w:style w:type="paragraph" w:customStyle="1" w:styleId="1ffff2">
    <w:name w:val="信息标题1"/>
    <w:basedOn w:val="a6"/>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6"/>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6"/>
    <w:semiHidden/>
    <w:pPr>
      <w:tabs>
        <w:tab w:val="left" w:pos="2040"/>
      </w:tabs>
      <w:suppressAutoHyphens/>
      <w:ind w:left="2040" w:hanging="360"/>
    </w:pPr>
    <w:rPr>
      <w:kern w:val="1"/>
    </w:rPr>
  </w:style>
  <w:style w:type="paragraph" w:customStyle="1" w:styleId="514">
    <w:name w:val="列表 51"/>
    <w:basedOn w:val="a6"/>
    <w:semiHidden/>
    <w:pPr>
      <w:suppressAutoHyphens/>
      <w:ind w:left="100" w:hanging="200"/>
    </w:pPr>
    <w:rPr>
      <w:kern w:val="1"/>
    </w:rPr>
  </w:style>
  <w:style w:type="paragraph" w:customStyle="1" w:styleId="315">
    <w:name w:val="正文文本缩进 31"/>
    <w:basedOn w:val="a6"/>
    <w:semiHidden/>
    <w:pPr>
      <w:suppressAutoHyphens/>
      <w:ind w:firstLine="412"/>
    </w:pPr>
    <w:rPr>
      <w:spacing w:val="-2"/>
      <w:kern w:val="1"/>
    </w:rPr>
  </w:style>
  <w:style w:type="paragraph" w:customStyle="1" w:styleId="710">
    <w:name w:val="索引 71"/>
    <w:basedOn w:val="a6"/>
    <w:next w:val="a6"/>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6"/>
    <w:semiHidden/>
    <w:pPr>
      <w:suppressAutoHyphens/>
      <w:ind w:left="100" w:hanging="200"/>
    </w:pPr>
    <w:rPr>
      <w:kern w:val="1"/>
    </w:rPr>
  </w:style>
  <w:style w:type="paragraph" w:customStyle="1" w:styleId="affffffffff3">
    <w:name w:val="表注"/>
    <w:basedOn w:val="a6"/>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6"/>
    <w:semiHidden/>
    <w:pPr>
      <w:suppressAutoHyphens/>
      <w:snapToGrid w:val="0"/>
      <w:spacing w:line="312" w:lineRule="auto"/>
      <w:ind w:firstLine="420"/>
      <w:jc w:val="left"/>
    </w:pPr>
    <w:rPr>
      <w:kern w:val="1"/>
      <w:sz w:val="24"/>
      <w:szCs w:val="30"/>
    </w:rPr>
  </w:style>
  <w:style w:type="paragraph" w:customStyle="1" w:styleId="affffffffff5">
    <w:name w:val="点项目"/>
    <w:basedOn w:val="a6"/>
    <w:semiHidden/>
    <w:pPr>
      <w:suppressAutoHyphens/>
      <w:ind w:left="616" w:hanging="216"/>
    </w:pPr>
    <w:rPr>
      <w:kern w:val="1"/>
      <w:sz w:val="20"/>
    </w:rPr>
  </w:style>
  <w:style w:type="paragraph" w:customStyle="1" w:styleId="2ff1">
    <w:name w:val="样式 首行缩进:  2 字符"/>
    <w:basedOn w:val="a6"/>
    <w:semiHidden/>
    <w:pPr>
      <w:suppressAutoHyphens/>
      <w:spacing w:line="300" w:lineRule="auto"/>
      <w:ind w:firstLine="480"/>
    </w:pPr>
    <w:rPr>
      <w:rFonts w:cs="宋体"/>
      <w:kern w:val="1"/>
      <w:sz w:val="24"/>
    </w:rPr>
  </w:style>
  <w:style w:type="paragraph" w:customStyle="1" w:styleId="affffffffff6">
    <w:name w:val="样式 题注 + 居中"/>
    <w:basedOn w:val="1ff0"/>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2">
    <w:name w:val="样式 样式 首行缩进:  2 字符 + 黑体 加粗"/>
    <w:basedOn w:val="2ff1"/>
    <w:semiHidden/>
    <w:pPr>
      <w:spacing w:before="312"/>
      <w:ind w:firstLine="200"/>
    </w:pPr>
    <w:rPr>
      <w:rFonts w:ascii="黑体" w:eastAsia="黑体" w:hAnsi="黑体"/>
      <w:b/>
      <w:bCs/>
    </w:rPr>
  </w:style>
  <w:style w:type="paragraph" w:customStyle="1" w:styleId="1ffff3">
    <w:name w:val="1"/>
    <w:basedOn w:val="a6"/>
    <w:semiHidden/>
    <w:pPr>
      <w:suppressAutoHyphens/>
      <w:spacing w:before="240" w:after="240"/>
    </w:pPr>
    <w:rPr>
      <w:rFonts w:eastAsia="黑体" w:cs="宋体"/>
      <w:bCs/>
      <w:kern w:val="1"/>
      <w:sz w:val="28"/>
      <w:szCs w:val="28"/>
    </w:rPr>
  </w:style>
  <w:style w:type="paragraph" w:customStyle="1" w:styleId="affffffffff7">
    <w:name w:val="居中"/>
    <w:basedOn w:val="a6"/>
    <w:next w:val="a6"/>
    <w:semiHidden/>
    <w:pPr>
      <w:suppressAutoHyphens/>
      <w:jc w:val="center"/>
    </w:pPr>
    <w:rPr>
      <w:color w:val="000000"/>
      <w:kern w:val="1"/>
    </w:rPr>
  </w:style>
  <w:style w:type="paragraph" w:customStyle="1" w:styleId="1">
    <w:name w:val="章节标题1"/>
    <w:basedOn w:val="a6"/>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6"/>
    <w:next w:val="a6"/>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3">
    <w:name w:val="正文2"/>
    <w:basedOn w:val="a6"/>
    <w:semiHidden/>
    <w:pPr>
      <w:tabs>
        <w:tab w:val="left" w:pos="5669"/>
      </w:tabs>
      <w:suppressAutoHyphens/>
      <w:snapToGrid w:val="0"/>
      <w:spacing w:after="156" w:line="360" w:lineRule="auto"/>
      <w:ind w:firstLine="420"/>
    </w:pPr>
    <w:rPr>
      <w:rFonts w:cs="宋体"/>
      <w:kern w:val="1"/>
      <w:szCs w:val="20"/>
    </w:rPr>
  </w:style>
  <w:style w:type="paragraph" w:customStyle="1" w:styleId="1ffff4">
    <w:name w:val="样式 1 + 加粗"/>
    <w:basedOn w:val="1ffff3"/>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6"/>
    <w:semiHidden/>
    <w:pPr>
      <w:suppressAutoHyphens/>
      <w:ind w:firstLine="420"/>
    </w:pPr>
    <w:rPr>
      <w:rFonts w:ascii="Calibri" w:hAnsi="Calibri" w:cs="Calibri"/>
      <w:kern w:val="1"/>
      <w:szCs w:val="22"/>
    </w:rPr>
  </w:style>
  <w:style w:type="paragraph" w:customStyle="1" w:styleId="affffffffff8">
    <w:name w:val="收稿日期"/>
    <w:basedOn w:val="a6"/>
    <w:semiHidden/>
    <w:pPr>
      <w:suppressAutoHyphens/>
      <w:jc w:val="right"/>
    </w:pPr>
    <w:rPr>
      <w:rFonts w:eastAsia="楷体_GB2312"/>
      <w:kern w:val="1"/>
      <w:sz w:val="18"/>
      <w:szCs w:val="18"/>
    </w:rPr>
  </w:style>
  <w:style w:type="paragraph" w:customStyle="1" w:styleId="affffffffff9">
    <w:name w:val="图表"/>
    <w:basedOn w:val="1ffff"/>
    <w:semiHidden/>
    <w:pPr>
      <w:spacing w:before="156"/>
      <w:ind w:firstLine="0"/>
      <w:jc w:val="center"/>
    </w:pPr>
  </w:style>
  <w:style w:type="paragraph" w:customStyle="1" w:styleId="FrameContents">
    <w:name w:val="Frame Contents"/>
    <w:basedOn w:val="afb"/>
    <w:semiHidden/>
    <w:pPr>
      <w:suppressAutoHyphens/>
    </w:pPr>
    <w:rPr>
      <w:kern w:val="1"/>
      <w:szCs w:val="24"/>
    </w:rPr>
  </w:style>
  <w:style w:type="paragraph" w:customStyle="1" w:styleId="PreformattedText">
    <w:name w:val="Preformatted Text"/>
    <w:basedOn w:val="a6"/>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6"/>
    <w:next w:val="afffffff5"/>
    <w:uiPriority w:val="34"/>
    <w:semiHidden/>
    <w:qFormat/>
    <w:pPr>
      <w:ind w:firstLineChars="200" w:firstLine="420"/>
    </w:pPr>
    <w:rPr>
      <w:rFonts w:ascii="等线" w:eastAsia="等线" w:hAnsi="等线"/>
      <w:szCs w:val="22"/>
    </w:rPr>
  </w:style>
  <w:style w:type="paragraph" w:customStyle="1" w:styleId="CSMXB">
    <w:name w:val="单位_CSMXB"/>
    <w:basedOn w:val="a6"/>
    <w:semiHidden/>
    <w:qFormat/>
    <w:pPr>
      <w:spacing w:line="0" w:lineRule="atLeast"/>
      <w:jc w:val="center"/>
    </w:pPr>
    <w:rPr>
      <w:sz w:val="18"/>
      <w:szCs w:val="20"/>
    </w:rPr>
  </w:style>
  <w:style w:type="paragraph" w:customStyle="1" w:styleId="CSMXB0">
    <w:name w:val="作者_CSMXB"/>
    <w:basedOn w:val="a6"/>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0"/>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5">
    <w:name w:val="书目1"/>
    <w:basedOn w:val="a6"/>
    <w:next w:val="a6"/>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6"/>
    <w:next w:val="a6"/>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6"/>
    <w:next w:val="afffffff5"/>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6">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6"/>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6"/>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7">
    <w:name w:val="脚注文本 字符1"/>
    <w:semiHidden/>
    <w:locked/>
    <w:rPr>
      <w:kern w:val="2"/>
      <w:sz w:val="18"/>
      <w:szCs w:val="18"/>
    </w:rPr>
  </w:style>
  <w:style w:type="paragraph" w:customStyle="1" w:styleId="DefaultParagraphFont1">
    <w:name w:val="Default Paragraph Font1"/>
    <w:next w:val="a6"/>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4">
    <w:name w:val="图2"/>
    <w:basedOn w:val="affffa"/>
    <w:link w:val="2ff5"/>
    <w:semiHidden/>
    <w:qFormat/>
    <w:pPr>
      <w:framePr w:wrap="notBeside" w:vAnchor="text" w:hAnchor="text" w:y="1"/>
      <w:spacing w:before="60" w:after="60"/>
    </w:pPr>
  </w:style>
  <w:style w:type="character" w:customStyle="1" w:styleId="2ff5">
    <w:name w:val="图2 字符"/>
    <w:basedOn w:val="Char4"/>
    <w:link w:val="2ff4"/>
    <w:semiHidden/>
    <w:rPr>
      <w:rFonts w:eastAsia="宋体"/>
      <w:kern w:val="2"/>
      <w:sz w:val="21"/>
      <w:szCs w:val="24"/>
      <w:lang w:val="en-US" w:eastAsia="zh-CN" w:bidi="ar-SA"/>
    </w:rPr>
  </w:style>
  <w:style w:type="table" w:customStyle="1" w:styleId="4e">
    <w:name w:val="网格型4"/>
    <w:basedOn w:val="a8"/>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6"/>
    <w:semiHidden/>
    <w:qFormat/>
    <w:pPr>
      <w:spacing w:line="240" w:lineRule="exact"/>
    </w:pPr>
    <w:rPr>
      <w:rFonts w:eastAsia="KAITI SC BLACK"/>
      <w:sz w:val="15"/>
    </w:rPr>
  </w:style>
  <w:style w:type="table" w:customStyle="1" w:styleId="5c">
    <w:name w:val="网格型5"/>
    <w:basedOn w:val="a8"/>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6"/>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6"/>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6"/>
    <w:next w:val="afffffff5"/>
    <w:uiPriority w:val="34"/>
    <w:unhideWhenUsed/>
    <w:qFormat/>
    <w:pPr>
      <w:widowControl/>
      <w:spacing w:line="288" w:lineRule="auto"/>
      <w:ind w:firstLineChars="200" w:firstLine="200"/>
    </w:pPr>
    <w:rPr>
      <w:szCs w:val="22"/>
    </w:rPr>
  </w:style>
  <w:style w:type="paragraph" w:customStyle="1" w:styleId="2ff6">
    <w:name w:val="列表段落2"/>
    <w:basedOn w:val="a6"/>
    <w:uiPriority w:val="34"/>
    <w:unhideWhenUsed/>
    <w:qFormat/>
    <w:pPr>
      <w:ind w:firstLineChars="200" w:firstLine="200"/>
    </w:pPr>
    <w:rPr>
      <w:szCs w:val="21"/>
    </w:rPr>
  </w:style>
  <w:style w:type="table" w:customStyle="1" w:styleId="119">
    <w:name w:val="网格表 1 浅色1"/>
    <w:basedOn w:val="a8"/>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7"/>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5325</Words>
  <Characters>10331</Characters>
  <Application>Microsoft Office Word</Application>
  <DocSecurity>0</DocSecurity>
  <Lines>413</Lines>
  <Paragraphs>265</Paragraphs>
  <ScaleCrop>false</ScaleCrop>
  <Manager/>
  <Company/>
  <LinksUpToDate>false</LinksUpToDate>
  <CharactersWithSpaces>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相关超图支付通道网络的停止时间</dc:title>
  <dc:subject>《通信学报》格式内部审阅稿</dc:subject>
  <dc:creator/>
  <cp:keywords>支付通道网络; 超图; 停止时间; 首次余额耗尽; 高斯相关不等式; 扩散逼近</cp:keywords>
  <cp:lastModifiedBy/>
  <cp:revision>1</cp:revision>
  <cp:lastPrinted>2024-01-06T00:31:00Z</cp:lastPrinted>
  <dcterms:created xsi:type="dcterms:W3CDTF">2026-07-24T03:51:00Z</dcterms:created>
  <dcterms:modified xsi:type="dcterms:W3CDTF">2026-07-24T04:10:00Z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