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ind w:firstLine="0"/>
        <w:jc w:val="center"/>
      </w:pPr>
      <w:r>
        <w:t>资源匹配下超图支付网络的服务可靠性</w:t>
      </w:r>
    </w:p>
    <w:p>
      <w:pPr>
        <w:spacing w:line="240" w:lineRule="exact" w:after="80"/>
        <w:ind w:firstLine="0"/>
        <w:jc w:val="center"/>
      </w:pPr>
      <w:r>
        <w:rPr>
          <w:sz w:val="18"/>
        </w:rPr>
        <w:t>作者姓名【待填】</w:t>
      </w:r>
    </w:p>
    <w:p>
      <w:pPr>
        <w:spacing w:line="240" w:lineRule="exact" w:after="80"/>
        <w:ind w:firstLine="0"/>
        <w:jc w:val="center"/>
      </w:pPr>
      <w:r>
        <w:rPr>
          <w:sz w:val="18"/>
        </w:rPr>
        <w:t>（作者单位、城市及邮政编码【待填】）</w:t>
      </w:r>
    </w:p>
    <w:p>
      <w:pPr>
        <w:spacing w:line="240" w:lineRule="exact" w:after="80"/>
        <w:ind w:firstLine="0"/>
        <w:jc w:val="both"/>
      </w:pPr>
      <w:r>
        <w:rPr>
          <w:sz w:val="18"/>
        </w:rPr>
        <w:t>摘要：针对静态连通性难以反映超图支付网络持续服务能力、构造间资源投入不一致的问题，建立资源匹配的可靠性评估方法。以首次无可用路径为服务事件，结合原子支付、余额感知路由和父图分层重抽样，比较4类超图构造与二元基准。两独立相位各完成240个父图区块，40项比较均满足复现准则；确认相位总体失败风险差为−0.449～−0.787。在所设合成场景下，超图构造的服务收益伴随更高的协调暴露量。</w:t>
      </w:r>
    </w:p>
    <w:p>
      <w:pPr>
        <w:spacing w:line="240" w:lineRule="exact" w:after="80"/>
        <w:ind w:firstLine="0"/>
        <w:jc w:val="both"/>
      </w:pPr>
      <w:r>
        <w:rPr>
          <w:sz w:val="18"/>
        </w:rPr>
        <w:t>关键词：区块链；超图支付网络；服务可靠性；资源匹配；余额感知路由；独立确认</w:t>
      </w:r>
    </w:p>
    <w:p>
      <w:pPr>
        <w:spacing w:line="240" w:lineRule="exact" w:after="80"/>
        <w:ind w:firstLine="0"/>
        <w:jc w:val="both"/>
      </w:pPr>
      <w:r>
        <w:rPr>
          <w:sz w:val="18"/>
        </w:rPr>
        <w:t>中图分类号：【待核定】　文献标志码：A　DOI：【编辑部编定】</w:t>
      </w:r>
    </w:p>
    <w:p>
      <w:pPr>
        <w:spacing w:before="140" w:after="80"/>
        <w:ind w:firstLine="0"/>
        <w:jc w:val="center"/>
      </w:pPr>
      <w:r>
        <w:rPr>
          <w:b/>
          <w:sz w:val="26"/>
        </w:rPr>
        <w:t>Service reliability of hypergraph payment networks under resource matching</w:t>
      </w:r>
    </w:p>
    <w:p>
      <w:pPr>
        <w:spacing w:line="240" w:lineRule="exact" w:after="80"/>
        <w:ind w:firstLine="0"/>
        <w:jc w:val="center"/>
      </w:pPr>
      <w:r>
        <w:rPr>
          <w:sz w:val="18"/>
        </w:rPr>
        <w:t>AUTHOR Names【to be completed】</w:t>
      </w:r>
    </w:p>
    <w:p>
      <w:pPr>
        <w:spacing w:line="240" w:lineRule="exact" w:after="80"/>
        <w:ind w:firstLine="0"/>
        <w:jc w:val="center"/>
      </w:pPr>
      <w:r>
        <w:rPr>
          <w:sz w:val="18"/>
        </w:rPr>
        <w:t>Affiliations, city and postal code【to be completed】</w:t>
      </w:r>
    </w:p>
    <w:p>
      <w:pPr>
        <w:spacing w:line="240" w:lineRule="exact" w:after="80"/>
        <w:ind w:firstLine="0"/>
        <w:jc w:val="both"/>
      </w:pPr>
      <w:r>
        <w:rPr>
          <w:sz w:val="18"/>
        </w:rPr>
        <w:t>Abstract: Static connectivity does not fully characterize sustained payment service in hypergraph payment networks, and comparisons between topology constructions may involve unequal resource inputs. A resource-matched service-reliability evaluation method was developed. First path unavailability was used as the service event, and atomic payments, balance-aware routing and parent-stratified bootstrap resampling were combined to compare four hypergraph construction families with binary references. Two independent phases each completed 240 parent-graph blocks, and all 40 contrasts met the registered replication criterion. In the confirmation phase, global failure-risk differences ranged from −0.449 to −0.787. Under the specified synthetic conditions, the observed service benefits co-occurred with higher coordination exposure.</w:t>
      </w:r>
    </w:p>
    <w:p>
      <w:pPr>
        <w:spacing w:line="240" w:lineRule="exact" w:after="80"/>
        <w:ind w:firstLine="0"/>
        <w:jc w:val="both"/>
      </w:pPr>
      <w:r>
        <w:rPr>
          <w:sz w:val="18"/>
        </w:rPr>
        <w:t>Keywords: blockchain; hypergraph payment network; service reliability; resource matching; balance-aware routing; independent confirmation</w:t>
      </w:r>
    </w:p>
    <w:p>
      <w:pPr>
        <w:spacing w:line="240" w:lineRule="exact" w:after="80"/>
        <w:ind w:firstLine="0"/>
        <w:jc w:val="both"/>
      </w:pPr>
      <w:r>
        <w:rPr>
          <w:sz w:val="18"/>
        </w:rPr>
        <w:t>通信作者：【姓名、电子邮箱待填】</w:t>
      </w:r>
    </w:p>
    <w:p>
      <w:pPr>
        <w:spacing w:line="240" w:lineRule="exact" w:after="80"/>
        <w:ind w:firstLine="0"/>
        <w:jc w:val="both"/>
      </w:pPr>
      <w:r>
        <w:rPr>
          <w:sz w:val="18"/>
        </w:rPr>
        <w:t>基金项目：【名称、编号及英文名称待填；无资助时删除此项】</w:t>
      </w:r>
    </w:p>
    <w:p>
      <w:pPr>
        <w:pStyle w:val="Heading1"/>
      </w:pPr>
      <w:r>
        <w:t>0 引言</w:t>
      </w:r>
    </w:p>
    <w:p>
      <w:pPr>
        <w:jc w:val="both"/>
      </w:pPr>
      <w:r>
        <w:t>支付信道网络（payment channel network，PCN）通过链下状态更新承载重复支付，将区块链用于结算和争议处理</w:t>
      </w:r>
      <w:r>
        <w:rPr>
          <w:vertAlign w:val="superscript"/>
        </w:rPr>
        <w:t>[1-2]</w:t>
      </w:r>
      <w:r>
        <w:t>。其服务能力同时受拓扑和方向性余额约束：静态路径可能因余额不足而无法支付，已完成的支付又会改变后续余额。因此，评价持续服务能力需要考察请求序列作用下的状态演化。</w:t>
      </w:r>
    </w:p>
    <w:p>
      <w:pPr>
        <w:jc w:val="both"/>
      </w:pPr>
      <w:r>
        <w:t>现有研究通过拥塞反馈路由</w:t>
      </w:r>
      <w:r>
        <w:rPr>
          <w:vertAlign w:val="superscript"/>
        </w:rPr>
        <w:t>[3]</w:t>
      </w:r>
      <w:r>
        <w:t>、动态选路</w:t>
      </w:r>
      <w:r>
        <w:rPr>
          <w:vertAlign w:val="superscript"/>
        </w:rPr>
        <w:t>[4]</w:t>
      </w:r>
      <w:r>
        <w:t>和链下重平衡</w:t>
      </w:r>
      <w:r>
        <w:rPr>
          <w:vertAlign w:val="superscript"/>
        </w:rPr>
        <w:t>[5]</w:t>
      </w:r>
      <w:r>
        <w:t>改善资金利用，也从信道设计</w:t>
      </w:r>
      <w:r>
        <w:rPr>
          <w:vertAlign w:val="superscript"/>
        </w:rPr>
        <w:t>[6]</w:t>
      </w:r>
      <w:r>
        <w:t>、需求感知构造</w:t>
      </w:r>
      <w:r>
        <w:rPr>
          <w:vertAlign w:val="superscript"/>
        </w:rPr>
        <w:t>[7]</w:t>
      </w:r>
      <w:r>
        <w:t>及拓扑映射</w:t>
      </w:r>
      <w:r>
        <w:rPr>
          <w:vertAlign w:val="superscript"/>
        </w:rPr>
        <w:t>[8]</w:t>
      </w:r>
      <w:r>
        <w:t>优化网络结构。Survivable Payment Channel Networks将余额耗尽停止时间引入容量分配</w:t>
      </w:r>
      <w:r>
        <w:rPr>
          <w:vertAlign w:val="superscript"/>
        </w:rPr>
        <w:t>[9]</w:t>
      </w:r>
      <w:r>
        <w:t>。这些工作采用的资源约束与失效事件各有侧重。</w:t>
      </w:r>
    </w:p>
    <w:p>
      <w:pPr>
        <w:jc w:val="both"/>
      </w:pPr>
      <w:r>
        <w:t>多方信道可用超边描述。Kotzer等</w:t>
      </w:r>
      <w:r>
        <w:rPr>
          <w:vertAlign w:val="superscript"/>
        </w:rPr>
        <w:t>[10]</w:t>
      </w:r>
      <w:r>
        <w:t>提出超图支付网络（hypergraph payment network，HPN）及节点覆盖、固定超边规模等构造；Corcoran等</w:t>
      </w:r>
      <w:r>
        <w:rPr>
          <w:vertAlign w:val="superscript"/>
        </w:rPr>
        <w:t>[11]</w:t>
      </w:r>
      <w:r>
        <w:t>研究多方路径规划。由单超边扩展至多超边后，一个余额坐标触零时其他路径可能仍可服务；反之，所有路径余额均不足以支付当前金额时，即使尚无坐标触零，请求也会失败。因此，局部边界事件与全局服务事件需要分别处理。</w:t>
      </w:r>
    </w:p>
    <w:p>
      <w:pPr>
        <w:jc w:val="both"/>
      </w:pPr>
      <w:r>
        <w:t>需要进一步回答的问题是：在节点资金、参与关系预算、请求和路由规则受控时，超图相对于二元支付网络的服务差异能否在独立数据中复现？增加超边规模可能同时增加资源投入；同一父图上的多条轨迹又具有依赖性。此外，训练目标改善不必然带来留出支付收益。</w:t>
      </w:r>
    </w:p>
    <w:p>
      <w:pPr>
        <w:jc w:val="both"/>
      </w:pPr>
      <w:r>
        <w:t>为此，建立资源匹配评估方法：在统一请求时钟下区分3类事件，以固定资金和参与关系预算构造二元参照，用共享请求及路由票据执行配对比较；在3类父图、4种规模和两个独立相位中，以父图为重抽样单元评价服务，报告协调开销及删失覆盖。需求感知搜索作为受评构造之一，其增量收益另作限定。</w:t>
      </w:r>
    </w:p>
    <w:p>
      <w:pPr>
        <w:pStyle w:val="Heading1"/>
      </w:pPr>
      <w:r>
        <w:t>1 相关工作</w:t>
      </w:r>
    </w:p>
    <w:p>
      <w:pPr>
        <w:pStyle w:val="Heading2"/>
      </w:pPr>
      <w:r>
        <w:t>1.1 余额感知路由与持续服务</w:t>
      </w:r>
    </w:p>
    <w:p>
      <w:pPr>
        <w:jc w:val="both"/>
      </w:pPr>
      <w:r>
        <w:t>方向性资金约束使路由具有跨请求耦合。Spider、Flash分别通过拥塞控制和动态选路改善流动性利用</w:t>
      </w:r>
      <w:r>
        <w:rPr>
          <w:vertAlign w:val="superscript"/>
        </w:rPr>
        <w:t>[3-4]</w:t>
      </w:r>
      <w:r>
        <w:t>，AERO考虑支付后的失衡程度</w:t>
      </w:r>
      <w:r>
        <w:rPr>
          <w:vertAlign w:val="superscript"/>
        </w:rPr>
        <w:t>[12]</w:t>
      </w:r>
      <w:r>
        <w:t>。这些方法的拆分、队列和信息条件不同。本研究固定原子单路径与余额感知规则，聚焦拓扑及其资金配置，不据此对已有路由算法排序。</w:t>
      </w:r>
    </w:p>
    <w:p>
      <w:pPr>
        <w:jc w:val="both"/>
      </w:pPr>
      <w:r>
        <w:t>文献</w:t>
      </w:r>
      <w:r>
        <w:rPr>
          <w:vertAlign w:val="superscript"/>
        </w:rPr>
        <w:t>[9]</w:t>
      </w:r>
      <w:r>
        <w:t>的耗尽停止时间为资金分配提供时间维度的依据。本研究保留耗尽记录，将主要终点定义为首次全局无可用路径，对应完整信息及全局搜索条件下的请求服务边界。</w:t>
      </w:r>
    </w:p>
    <w:p>
      <w:pPr>
        <w:pStyle w:val="Heading2"/>
      </w:pPr>
      <w:r>
        <w:t>1.2 拓扑设计与多方支付网络</w:t>
      </w:r>
    </w:p>
    <w:p>
      <w:pPr>
        <w:jc w:val="both"/>
      </w:pPr>
      <w:r>
        <w:t>信道设计将交易需求、开设成本与资金约束纳入优化</w:t>
      </w:r>
      <w:r>
        <w:rPr>
          <w:vertAlign w:val="superscript"/>
        </w:rPr>
        <w:t>[6-8]</w:t>
      </w:r>
      <w:r>
        <w:t>，近期研究还联合考虑拓扑与交易选择</w:t>
      </w:r>
      <w:r>
        <w:rPr>
          <w:vertAlign w:val="superscript"/>
        </w:rPr>
        <w:t>[13]</w:t>
      </w:r>
      <w:r>
        <w:t>。多方信道扩大节点对覆盖范围，也改变参与负担与协调范围</w:t>
      </w:r>
      <w:r>
        <w:rPr>
          <w:vertAlign w:val="superscript"/>
        </w:rPr>
        <w:t>[10]</w:t>
      </w:r>
      <w:r>
        <w:t>，因而需要同时说明资金、参与关系及协调暴露量。</w:t>
      </w:r>
    </w:p>
    <w:p>
      <w:pPr>
        <w:jc w:val="both"/>
      </w:pPr>
      <w:r>
        <w:t>文献</w:t>
      </w:r>
      <w:r>
        <w:rPr>
          <w:vertAlign w:val="superscript"/>
        </w:rPr>
        <w:t>[10]</w:t>
      </w:r>
      <w:r>
        <w:t>和文献</w:t>
      </w:r>
      <w:r>
        <w:rPr>
          <w:vertAlign w:val="superscript"/>
        </w:rPr>
        <w:t>[11]</w:t>
      </w:r>
      <w:r>
        <w:t>分别提供了超图构造与多方路径规划的直接基础。本研究沿用相关构造类别，明确闭邻域节点覆盖规则，并增加需求感知局部搜索、二元参与关系匹配和跨相位确认。已有数学模型讨论了多方信道的可行状态与流动性几何结构</w:t>
      </w:r>
      <w:r>
        <w:rPr>
          <w:vertAlign w:val="superscript"/>
        </w:rPr>
        <w:t>[14]</w:t>
      </w:r>
      <w:r>
        <w:t>；Starfish探索基于局部星形结构的多方重平衡，其修订预印本已注明被High-Confidence Computing录用</w:t>
      </w:r>
      <w:r>
        <w:rPr>
          <w:vertAlign w:val="superscript"/>
        </w:rPr>
        <w:t>[15]</w:t>
      </w:r>
      <w:r>
        <w:t>。这些研究与本工作互补。本文的贡献定位于受控比较方法及其复现证据。</w:t>
      </w:r>
    </w:p>
    <w:p>
      <w:pPr>
        <w:pStyle w:val="Heading1"/>
      </w:pPr>
      <w:r>
        <w:t>2 网络模型与服务事件</w:t>
      </w:r>
    </w:p>
    <w:p>
      <w:pPr>
        <w:pStyle w:val="Heading2"/>
      </w:pPr>
      <w:r>
        <w:t>2.1 状态表示与原子支付</w:t>
      </w:r>
    </w:p>
    <w:p>
      <w:pPr>
        <w:keepNext/>
        <w:jc w:val="both"/>
      </w:pPr>
      <w:r>
        <w:t>设支付超图为</w:t>
      </w:r>
      <m:oMath>
        <m:r>
          <w:rPr>
            <w:sz w:val="21"/>
          </w:rPr>
          <m:rPr>
            <m:scr m:val="script"/>
          </m:rPr>
          <m:t>H</m:t>
        </m:r>
        <m:r>
          <w:rPr>
            <w:sz w:val="21"/>
          </w:rPr>
          <m:t>=(V,</m:t>
        </m:r>
        <m:r>
          <w:rPr>
            <w:sz w:val="21"/>
          </w:rPr>
          <m:rPr>
            <m:scr m:val="script"/>
          </m:rPr>
          <m:t>E</m:t>
        </m:r>
        <m:r>
          <w:rPr>
            <w:sz w:val="21"/>
          </w:rPr>
          <m:t>)</m:t>
        </m:r>
      </m:oMath>
      <w:r>
        <w:t>，V为节点集合，𝓔为超边集合，</w:t>
      </w:r>
      <m:oMath>
        <m:r>
          <w:rPr>
            <w:sz w:val="21"/>
          </w:rPr>
          <m:t>n=|V|</m:t>
        </m:r>
      </m:oMath>
      <w:r>
        <w:t>。对任意</w:t>
      </w:r>
      <m:oMath>
        <m:r>
          <w:rPr>
            <w:sz w:val="21"/>
          </w:rPr>
          <m:t>e∈</m:t>
        </m:r>
        <m:r>
          <w:rPr>
            <w:sz w:val="21"/>
          </w:rPr>
          <m:rPr>
            <m:scr m:val="script"/>
          </m:rPr>
          <m:t>E</m:t>
        </m:r>
      </m:oMath>
      <w:r>
        <w:t>和</w:t>
      </w:r>
      <m:oMath>
        <m:r>
          <w:rPr>
            <w:sz w:val="21"/>
          </w:rPr>
          <m:t>v∈e</m:t>
        </m:r>
      </m:oMath>
      <w:r>
        <w:t>，用</w:t>
      </w:r>
      <m:oMath>
        <m:sSub>
          <m:e>
            <m:r>
              <w:rPr>
                <w:sz w:val="21"/>
              </w:rPr>
              <m:t>x</m:t>
            </m:r>
          </m:e>
          <m:sub>
            <m:r>
              <w:rPr>
                <w:sz w:val="21"/>
              </w:rPr>
              <m:t>e,v</m:t>
            </m:r>
          </m:sub>
        </m:sSub>
        <m:r>
          <w:rPr>
            <w:sz w:val="21"/>
          </w:rPr>
          <m:t>(t)</m:t>
        </m:r>
      </m:oMath>
      <w:r>
        <w:t>表示第t次请求处理后的方向性余额。超边资金</w:t>
      </w:r>
      <m:oMath>
        <m:sSub>
          <m:e>
            <m:r>
              <w:rPr>
                <w:sz w:val="21"/>
              </w:rPr>
              <m:t>C</m:t>
            </m:r>
          </m:e>
          <m:sub>
            <m:r>
              <w:rPr>
                <w:sz w:val="21"/>
              </w:rPr>
              <m:t>e</m:t>
            </m:r>
          </m:sub>
        </m:sSub>
      </m:oMath>
      <w:r>
        <w:t>为其成员余额之和；节点初始投入预算为</w:t>
      </w:r>
      <m:oMath>
        <m:sSub>
          <m:e>
            <m:r>
              <w:rPr>
                <w:sz w:val="21"/>
              </w:rPr>
              <m:t>B</m:t>
            </m:r>
          </m:e>
          <m:sub>
            <m:r>
              <w:rPr>
                <w:sz w:val="21"/>
              </w:rPr>
              <m:t>v</m:t>
            </m:r>
          </m:sub>
        </m:sSub>
      </m:oMath>
      <w:r>
        <w:t>。初始状态满足</w:t>
      </w:r>
    </w:p>
    <w:p>
      <w:pPr>
        <w:tabs>
          <w:tab w:pos="4649" w:val="center"/>
          <w:tab w:pos="9581" w:val="right"/>
        </w:tabs>
        <w:spacing w:line="252" w:lineRule="auto" w:before="100" w:after="100"/>
        <w:ind w:firstLine="0"/>
      </w:pPr>
      <w:r>
        <w:tab/>
      </w:r>
      <m:oMath>
        <m:sSub>
          <m:e>
            <m:r>
              <w:rPr>
                <w:sz w:val="21"/>
              </w:rPr>
              <m:t>C</m:t>
            </m:r>
          </m:e>
          <m:sub>
            <m:r>
              <w:rPr>
                <w:sz w:val="21"/>
              </w:rPr>
              <m:t>e</m:t>
            </m:r>
          </m:sub>
        </m:sSub>
        <m:r>
          <w:rPr>
            <w:sz w:val="21"/>
          </w:rPr>
          <m:t>=</m:t>
        </m:r>
        <m:nary>
          <m:naryPr>
            <m:chr m:val="∑"/>
            <m:limLoc m:val="subSup"/>
            <m:grow m:val="1"/>
            <m:subHide m:val="off"/>
            <m:supHide m:val="on"/>
          </m:naryPr>
          <m:sub>
            <m:r>
              <w:rPr>
                <w:sz w:val="21"/>
              </w:rPr>
              <m:t>v∈e</m:t>
            </m:r>
          </m:sub>
          <m:sup/>
          <m:e>
            <m:sSub>
              <m:e>
                <m:r>
                  <w:rPr>
                    <w:sz w:val="21"/>
                  </w:rPr>
                  <m:t>x</m:t>
                </m:r>
              </m:e>
              <m:sub>
                <m:r>
                  <w:rPr>
                    <w:sz w:val="21"/>
                  </w:rPr>
                  <m:t>e,v</m:t>
                </m:r>
              </m:sub>
            </m:sSub>
          </m:e>
        </m:nary>
        <m:r>
          <w:rPr>
            <w:sz w:val="21"/>
          </w:rPr>
          <m:t>(t),</m:t>
        </m:r>
        <m:nary>
          <m:naryPr>
            <m:chr m:val="∑"/>
            <m:limLoc m:val="subSup"/>
            <m:grow m:val="1"/>
            <m:subHide m:val="off"/>
            <m:supHide m:val="on"/>
          </m:naryPr>
          <m:sub>
            <m:r>
              <w:rPr>
                <w:sz w:val="21"/>
              </w:rPr>
              <m:t>e∋v</m:t>
            </m:r>
          </m:sub>
          <m:sup/>
          <m:e>
            <m:sSub>
              <m:e>
                <m:r>
                  <w:rPr>
                    <w:sz w:val="21"/>
                  </w:rPr>
                  <m:t>x</m:t>
                </m:r>
              </m:e>
              <m:sub>
                <m:r>
                  <w:rPr>
                    <w:sz w:val="21"/>
                  </w:rPr>
                  <m:t>e,v</m:t>
                </m:r>
              </m:sub>
            </m:sSub>
          </m:e>
        </m:nary>
        <m:r>
          <w:rPr>
            <w:sz w:val="21"/>
          </w:rPr>
          <m:t>(0)=</m:t>
        </m:r>
        <m:sSub>
          <m:e>
            <m:r>
              <w:rPr>
                <w:sz w:val="21"/>
              </w:rPr>
              <m:t>B</m:t>
            </m:r>
          </m:e>
          <m:sub>
            <m:r>
              <w:rPr>
                <w:sz w:val="21"/>
              </w:rPr>
              <m:t>v</m:t>
            </m:r>
          </m:sub>
        </m:sSub>
        <m:r>
          <w:rPr>
            <w:sz w:val="21"/>
          </w:rPr>
          <m:t>.</m:t>
        </m:r>
      </m:oMath>
      <w:r>
        <w:tab/>
        <w:t>(1)</w:t>
      </w:r>
    </w:p>
    <w:p>
      <w:pPr>
        <w:jc w:val="both"/>
      </w:pPr>
      <w:r>
        <w:t>请求</w:t>
      </w:r>
      <m:oMath>
        <m:sSub>
          <m:e>
            <m:r>
              <w:rPr>
                <w:sz w:val="21"/>
              </w:rPr>
              <m:t>q</m:t>
            </m:r>
          </m:e>
          <m:sub>
            <m:r>
              <w:rPr>
                <w:sz w:val="21"/>
              </w:rPr>
              <m:t>t</m:t>
            </m:r>
          </m:sub>
        </m:sSub>
        <m:r>
          <w:rPr>
            <w:sz w:val="21"/>
          </w:rPr>
          <m:t>=(</m:t>
        </m:r>
        <m:sSub>
          <m:e>
            <m:r>
              <w:rPr>
                <w:sz w:val="21"/>
              </w:rPr>
              <m:t>s</m:t>
            </m:r>
          </m:e>
          <m:sub>
            <m:r>
              <w:rPr>
                <w:sz w:val="21"/>
              </w:rPr>
              <m:t>t</m:t>
            </m:r>
          </m:sub>
        </m:sSub>
        <m:r>
          <w:rPr>
            <w:sz w:val="21"/>
          </w:rPr>
          <m:t>,</m:t>
        </m:r>
        <m:sSub>
          <m:e>
            <m:r>
              <w:rPr>
                <w:sz w:val="21"/>
              </w:rPr>
              <m:t>d</m:t>
            </m:r>
          </m:e>
          <m:sub>
            <m:r>
              <w:rPr>
                <w:sz w:val="21"/>
              </w:rPr>
              <m:t>t</m:t>
            </m:r>
          </m:sub>
        </m:sSub>
        <m:r>
          <w:rPr>
            <w:sz w:val="21"/>
          </w:rPr>
          <m:t>,</m:t>
        </m:r>
        <m:sSub>
          <m:e>
            <m:r>
              <w:rPr>
                <w:sz w:val="21"/>
              </w:rPr>
              <m:t>a</m:t>
            </m:r>
          </m:e>
          <m:sub>
            <m:r>
              <w:rPr>
                <w:sz w:val="21"/>
              </w:rPr>
              <m:t>t</m:t>
            </m:r>
          </m:sub>
        </m:sSub>
        <m:r>
          <w:rPr>
            <w:sz w:val="21"/>
          </w:rPr>
          <m:t>)</m:t>
        </m:r>
      </m:oMath>
      <w:r>
        <w:t>由源节点、目的节点和正整数金额组成。路径表示为节点与超边交替的序列</w:t>
      </w:r>
      <m:oMath>
        <m:r>
          <w:rPr>
            <w:sz w:val="21"/>
          </w:rPr>
          <m:t>P=(</m:t>
        </m:r>
        <m:sSub>
          <m:e>
            <m:r>
              <w:rPr>
                <w:sz w:val="21"/>
              </w:rPr>
              <m:t>v</m:t>
            </m:r>
          </m:e>
          <m:sub>
            <m:r>
              <w:rPr>
                <w:sz w:val="21"/>
              </w:rPr>
              <m:t>0</m:t>
            </m:r>
          </m:sub>
        </m:sSub>
        <m:r>
          <w:rPr>
            <w:sz w:val="21"/>
          </w:rPr>
          <m:t>,</m:t>
        </m:r>
        <m:sSub>
          <m:e>
            <m:r>
              <w:rPr>
                <w:sz w:val="21"/>
              </w:rPr>
              <m:t>e</m:t>
            </m:r>
          </m:e>
          <m:sub>
            <m:r>
              <w:rPr>
                <w:sz w:val="21"/>
              </w:rPr>
              <m:t>1</m:t>
            </m:r>
          </m:sub>
        </m:sSub>
        <m:r>
          <w:rPr>
            <w:sz w:val="21"/>
          </w:rPr>
          <m:t>,</m:t>
        </m:r>
        <m:sSub>
          <m:e>
            <m:r>
              <w:rPr>
                <w:sz w:val="21"/>
              </w:rPr>
              <m:t>v</m:t>
            </m:r>
          </m:e>
          <m:sub>
            <m:r>
              <w:rPr>
                <w:sz w:val="21"/>
              </w:rPr>
              <m:t>1</m:t>
            </m:r>
          </m:sub>
        </m:sSub>
        <m:r>
          <w:rPr>
            <w:sz w:val="21"/>
          </w:rPr>
          <m:t>,…,</m:t>
        </m:r>
        <m:sSub>
          <m:e>
            <m:r>
              <w:rPr>
                <w:sz w:val="21"/>
              </w:rPr>
              <m:t>e</m:t>
            </m:r>
          </m:e>
          <m:sub>
            <m:r>
              <w:rPr>
                <w:sz w:val="21"/>
              </w:rPr>
              <m:t>ℓ</m:t>
            </m:r>
          </m:sub>
        </m:sSub>
        <m:r>
          <w:rPr>
            <w:sz w:val="21"/>
          </w:rPr>
          <m:t>,</m:t>
        </m:r>
        <m:sSub>
          <m:e>
            <m:r>
              <w:rPr>
                <w:sz w:val="21"/>
              </w:rPr>
              <m:t>v</m:t>
            </m:r>
          </m:e>
          <m:sub>
            <m:r>
              <w:rPr>
                <w:sz w:val="21"/>
              </w:rPr>
              <m:t>ℓ</m:t>
            </m:r>
          </m:sub>
        </m:sSub>
        <m:r>
          <w:rPr>
            <w:sz w:val="21"/>
          </w:rPr>
          <m:t>)</m:t>
        </m:r>
      </m:oMath>
      <w:r>
        <w:t>，其中</w:t>
      </w:r>
      <m:oMath>
        <m:sSub>
          <m:e>
            <m:r>
              <w:rPr>
                <w:sz w:val="21"/>
              </w:rPr>
              <m:t>v</m:t>
            </m:r>
          </m:e>
          <m:sub>
            <m:r>
              <w:rPr>
                <w:sz w:val="21"/>
              </w:rPr>
              <m:t>0</m:t>
            </m:r>
          </m:sub>
        </m:sSub>
        <m:r>
          <w:rPr>
            <w:sz w:val="21"/>
          </w:rPr>
          <m:t>=</m:t>
        </m:r>
        <m:sSub>
          <m:e>
            <m:r>
              <w:rPr>
                <w:sz w:val="21"/>
              </w:rPr>
              <m:t>s</m:t>
            </m:r>
          </m:e>
          <m:sub>
            <m:r>
              <w:rPr>
                <w:sz w:val="21"/>
              </w:rPr>
              <m:t>t</m:t>
            </m:r>
          </m:sub>
        </m:sSub>
      </m:oMath>
      <w:r>
        <w:t>、</w:t>
      </w:r>
      <m:oMath>
        <m:sSub>
          <m:e>
            <m:r>
              <w:rPr>
                <w:sz w:val="21"/>
              </w:rPr>
              <m:t>v</m:t>
            </m:r>
          </m:e>
          <m:sub>
            <m:r>
              <w:rPr>
                <w:sz w:val="21"/>
              </w:rPr>
              <m:t>ℓ</m:t>
            </m:r>
          </m:sub>
        </m:sSub>
        <m:r>
          <w:rPr>
            <w:sz w:val="21"/>
          </w:rPr>
          <m:t>=</m:t>
        </m:r>
        <m:sSub>
          <m:e>
            <m:r>
              <w:rPr>
                <w:sz w:val="21"/>
              </w:rPr>
              <m:t>d</m:t>
            </m:r>
          </m:e>
          <m:sub>
            <m:r>
              <w:rPr>
                <w:sz w:val="21"/>
              </w:rPr>
              <m:t>t</m:t>
            </m:r>
          </m:sub>
        </m:sSub>
      </m:oMath>
      <w:r>
        <w:t>且</w:t>
      </w:r>
      <m:oMath>
        <m:sSub>
          <m:e>
            <m:r>
              <w:rPr>
                <w:sz w:val="21"/>
              </w:rPr>
              <m:t>v</m:t>
            </m:r>
          </m:e>
          <m:sub>
            <m:r>
              <w:rPr>
                <w:sz w:val="21"/>
              </w:rPr>
              <m:t>j−1</m:t>
            </m:r>
          </m:sub>
        </m:sSub>
        <m:r>
          <w:rPr>
            <w:sz w:val="21"/>
          </w:rPr>
          <m:t>,</m:t>
        </m:r>
        <m:sSub>
          <m:e>
            <m:r>
              <w:rPr>
                <w:sz w:val="21"/>
              </w:rPr>
              <m:t>v</m:t>
            </m:r>
          </m:e>
          <m:sub>
            <m:r>
              <w:rPr>
                <w:sz w:val="21"/>
              </w:rPr>
              <m:t>j</m:t>
            </m:r>
          </m:sub>
        </m:sSub>
        <m:r>
          <w:rPr>
            <w:sz w:val="21"/>
          </w:rPr>
          <m:t>∈</m:t>
        </m:r>
        <m:sSub>
          <m:e>
            <m:r>
              <w:rPr>
                <w:sz w:val="21"/>
              </w:rPr>
              <m:t>e</m:t>
            </m:r>
          </m:e>
          <m:sub>
            <m:r>
              <w:rPr>
                <w:sz w:val="21"/>
              </w:rPr>
              <m:t>j</m:t>
            </m:r>
          </m:sub>
        </m:sSub>
      </m:oMath>
      <w:r>
        <w:t>。所用路径不重复访问节点；对于每个局部转移，支付坐标须在请求前满足</w:t>
      </w:r>
      <m:oMath>
        <m:sSub>
          <m:e>
            <m:r>
              <w:rPr>
                <w:sz w:val="21"/>
              </w:rPr>
              <m:t>x</m:t>
            </m:r>
          </m:e>
          <m:sub>
            <m:sSub>
              <m:e>
                <m:r>
                  <w:rPr>
                    <w:sz w:val="21"/>
                  </w:rPr>
                  <m:t>e</m:t>
                </m:r>
              </m:e>
              <m:sub>
                <m:r>
                  <w:rPr>
                    <w:sz w:val="21"/>
                  </w:rPr>
                  <m:t>j</m:t>
                </m:r>
              </m:sub>
            </m:sSub>
            <m:r>
              <w:rPr>
                <w:sz w:val="21"/>
              </w:rPr>
              <m:t>,</m:t>
            </m:r>
            <m:sSub>
              <m:e>
                <m:r>
                  <w:rPr>
                    <w:sz w:val="21"/>
                  </w:rPr>
                  <m:t>v</m:t>
                </m:r>
              </m:e>
              <m:sub>
                <m:r>
                  <w:rPr>
                    <w:sz w:val="21"/>
                  </w:rPr>
                  <m:t>j−1</m:t>
                </m:r>
              </m:sub>
            </m:sSub>
          </m:sub>
        </m:sSub>
        <m:r>
          <w:rPr>
            <w:sz w:val="21"/>
          </w:rPr>
          <m:t>(t−1)≥</m:t>
        </m:r>
        <m:sSub>
          <m:e>
            <m:r>
              <w:rPr>
                <w:sz w:val="21"/>
              </w:rPr>
              <m:t>a</m:t>
            </m:r>
          </m:e>
          <m:sub>
            <m:r>
              <w:rPr>
                <w:sz w:val="21"/>
              </w:rPr>
              <m:t>t</m:t>
            </m:r>
          </m:sub>
        </m:sSub>
      </m:oMath>
      <w:r>
        <w:t>。记满足这些约束的完整路径集合为</w:t>
      </w:r>
      <m:oMath>
        <m:sSub>
          <m:e>
            <m:r>
              <w:rPr>
                <w:sz w:val="21"/>
              </w:rPr>
              <m:rPr>
                <m:scr m:val="script"/>
              </m:rPr>
              <m:t>P</m:t>
            </m:r>
          </m:e>
          <m:sub>
            <m:r>
              <w:rPr>
                <w:sz w:val="21"/>
              </w:rPr>
              <m:t>t</m:t>
            </m:r>
          </m:sub>
        </m:sSub>
      </m:oMath>
      <w:r>
        <w:t>。</w:t>
      </w:r>
    </w:p>
    <w:p>
      <w:pPr>
        <w:keepNext/>
        <w:jc w:val="both"/>
      </w:pPr>
      <w:r>
        <w:t>接受请求时，各超边上的局部余额同时更新：</w:t>
      </w:r>
    </w:p>
    <w:p>
      <w:pPr>
        <w:tabs>
          <w:tab w:pos="4649" w:val="center"/>
          <w:tab w:pos="9581" w:val="right"/>
        </w:tabs>
        <w:spacing w:line="252" w:lineRule="auto" w:before="100" w:after="100"/>
        <w:ind w:firstLine="0"/>
      </w:pPr>
      <w:r>
        <w:tab/>
      </w:r>
      <m:oMath>
        <m:sSub>
          <m:e>
            <m:r>
              <w:rPr>
                <w:sz w:val="21"/>
              </w:rPr>
              <m:t>x</m:t>
            </m:r>
          </m:e>
          <m:sub>
            <m:sSub>
              <m:e>
                <m:r>
                  <w:rPr>
                    <w:sz w:val="21"/>
                  </w:rPr>
                  <m:t>e</m:t>
                </m:r>
              </m:e>
              <m:sub>
                <m:r>
                  <w:rPr>
                    <w:sz w:val="21"/>
                  </w:rPr>
                  <m:t>j</m:t>
                </m:r>
              </m:sub>
            </m:sSub>
            <m:r>
              <w:rPr>
                <w:sz w:val="21"/>
              </w:rPr>
              <m:t>,</m:t>
            </m:r>
            <m:sSub>
              <m:e>
                <m:r>
                  <w:rPr>
                    <w:sz w:val="21"/>
                  </w:rPr>
                  <m:t>v</m:t>
                </m:r>
              </m:e>
              <m:sub>
                <m:r>
                  <w:rPr>
                    <w:sz w:val="21"/>
                  </w:rPr>
                  <m:t>j−1</m:t>
                </m:r>
              </m:sub>
            </m:sSub>
          </m:sub>
        </m:sSub>
        <m:r>
          <w:rPr>
            <w:sz w:val="21"/>
          </w:rPr>
          <m:t>(t)=</m:t>
        </m:r>
        <m:sSub>
          <m:e>
            <m:r>
              <w:rPr>
                <w:sz w:val="21"/>
              </w:rPr>
              <m:t>x</m:t>
            </m:r>
          </m:e>
          <m:sub>
            <m:sSub>
              <m:e>
                <m:r>
                  <w:rPr>
                    <w:sz w:val="21"/>
                  </w:rPr>
                  <m:t>e</m:t>
                </m:r>
              </m:e>
              <m:sub>
                <m:r>
                  <w:rPr>
                    <w:sz w:val="21"/>
                  </w:rPr>
                  <m:t>j</m:t>
                </m:r>
              </m:sub>
            </m:sSub>
            <m:r>
              <w:rPr>
                <w:sz w:val="21"/>
              </w:rPr>
              <m:t>,</m:t>
            </m:r>
            <m:sSub>
              <m:e>
                <m:r>
                  <w:rPr>
                    <w:sz w:val="21"/>
                  </w:rPr>
                  <m:t>v</m:t>
                </m:r>
              </m:e>
              <m:sub>
                <m:r>
                  <w:rPr>
                    <w:sz w:val="21"/>
                  </w:rPr>
                  <m:t>j−1</m:t>
                </m:r>
              </m:sub>
            </m:sSub>
          </m:sub>
        </m:sSub>
        <m:r>
          <w:rPr>
            <w:sz w:val="21"/>
          </w:rPr>
          <m:t>(t−1)−</m:t>
        </m:r>
        <m:sSub>
          <m:e>
            <m:r>
              <w:rPr>
                <w:sz w:val="21"/>
              </w:rPr>
              <m:t>a</m:t>
            </m:r>
          </m:e>
          <m:sub>
            <m:r>
              <w:rPr>
                <w:sz w:val="21"/>
              </w:rPr>
              <m:t>t</m:t>
            </m:r>
          </m:sub>
        </m:sSub>
        <m:r>
          <w:rPr>
            <w:sz w:val="21"/>
          </w:rPr>
          <m:t>,</m:t>
        </m:r>
        <m:sSub>
          <m:e>
            <m:r>
              <w:rPr>
                <w:sz w:val="21"/>
              </w:rPr>
              <m:t>x</m:t>
            </m:r>
          </m:e>
          <m:sub>
            <m:sSub>
              <m:e>
                <m:r>
                  <w:rPr>
                    <w:sz w:val="21"/>
                  </w:rPr>
                  <m:t>e</m:t>
                </m:r>
              </m:e>
              <m:sub>
                <m:r>
                  <w:rPr>
                    <w:sz w:val="21"/>
                  </w:rPr>
                  <m:t>j</m:t>
                </m:r>
              </m:sub>
            </m:sSub>
            <m:r>
              <w:rPr>
                <w:sz w:val="21"/>
              </w:rPr>
              <m:t>,</m:t>
            </m:r>
            <m:sSub>
              <m:e>
                <m:r>
                  <w:rPr>
                    <w:sz w:val="21"/>
                  </w:rPr>
                  <m:t>v</m:t>
                </m:r>
              </m:e>
              <m:sub>
                <m:r>
                  <w:rPr>
                    <w:sz w:val="21"/>
                  </w:rPr>
                  <m:t>j</m:t>
                </m:r>
              </m:sub>
            </m:sSub>
          </m:sub>
        </m:sSub>
        <m:r>
          <w:rPr>
            <w:sz w:val="21"/>
          </w:rPr>
          <m:t>(t)=</m:t>
        </m:r>
        <m:sSub>
          <m:e>
            <m:r>
              <w:rPr>
                <w:sz w:val="21"/>
              </w:rPr>
              <m:t>x</m:t>
            </m:r>
          </m:e>
          <m:sub>
            <m:sSub>
              <m:e>
                <m:r>
                  <w:rPr>
                    <w:sz w:val="21"/>
                  </w:rPr>
                  <m:t>e</m:t>
                </m:r>
              </m:e>
              <m:sub>
                <m:r>
                  <w:rPr>
                    <w:sz w:val="21"/>
                  </w:rPr>
                  <m:t>j</m:t>
                </m:r>
              </m:sub>
            </m:sSub>
            <m:r>
              <w:rPr>
                <w:sz w:val="21"/>
              </w:rPr>
              <m:t>,</m:t>
            </m:r>
            <m:sSub>
              <m:e>
                <m:r>
                  <w:rPr>
                    <w:sz w:val="21"/>
                  </w:rPr>
                  <m:t>v</m:t>
                </m:r>
              </m:e>
              <m:sub>
                <m:r>
                  <w:rPr>
                    <w:sz w:val="21"/>
                  </w:rPr>
                  <m:t>j</m:t>
                </m:r>
              </m:sub>
            </m:sSub>
          </m:sub>
        </m:sSub>
        <m:r>
          <w:rPr>
            <w:sz w:val="21"/>
          </w:rPr>
          <m:t>(t−1)+</m:t>
        </m:r>
        <m:sSub>
          <m:e>
            <m:r>
              <w:rPr>
                <w:sz w:val="21"/>
              </w:rPr>
              <m:t>a</m:t>
            </m:r>
          </m:e>
          <m:sub>
            <m:r>
              <w:rPr>
                <w:sz w:val="21"/>
              </w:rPr>
              <m:t>t</m:t>
            </m:r>
          </m:sub>
        </m:sSub>
        <m:r>
          <w:rPr>
            <w:sz w:val="21"/>
          </w:rPr>
          <m:t>.</m:t>
        </m:r>
      </m:oMath>
      <w:r>
        <w:tab/>
        <w:t>(2)</w:t>
      </w:r>
    </w:p>
    <w:p>
      <w:pPr>
        <w:jc w:val="both"/>
      </w:pPr>
      <w:r>
        <w:t>其余坐标保持原值。所有局部转移须共同成功，禁止部分提交；拒绝请求不改变状态。由式(2)可知，一次局部转移的增减量相抵，因此每条超边的资金总额守恒，可行性检查同时保证更新后余额非负。实验不包含手续费、资金注入、支付拆分、重平衡及并发锁定过程。这些假设限定了服务事件的解释范围。</w:t>
      </w:r>
    </w:p>
    <w:p>
      <w:pPr>
        <w:pStyle w:val="Heading2"/>
      </w:pPr>
      <w:r>
        <w:t>2.2 停止事件及其关系</w:t>
      </w:r>
    </w:p>
    <w:p>
      <w:pPr>
        <w:keepNext/>
        <w:jc w:val="both"/>
      </w:pPr>
      <w:r>
        <w:t>请求时钟从1开始，计入每次尝试，包括被拒绝的请求。首次余额耗尽时间</w:t>
      </w:r>
      <m:oMath>
        <m:sSub>
          <m:e>
            <m:r>
              <w:rPr>
                <w:sz w:val="21"/>
              </w:rPr>
              <m:t>τ</m:t>
            </m:r>
          </m:e>
          <m:sub>
            <m:r>
              <w:rPr>
                <w:sz w:val="21"/>
              </w:rPr>
              <m:rPr>
                <m:sty m:val="p"/>
              </m:rPr>
              <m:t>dep</m:t>
            </m:r>
          </m:sub>
        </m:sSub>
      </m:oMath>
      <w:r>
        <w:t>为任一方向性余额首次等于0的时刻；若初态已有0余额，则</w:t>
      </w:r>
      <m:oMath>
        <m:sSub>
          <m:e>
            <m:r>
              <w:rPr>
                <w:sz w:val="21"/>
              </w:rPr>
              <m:t>τ</m:t>
            </m:r>
          </m:e>
          <m:sub>
            <m:r>
              <w:rPr>
                <w:sz w:val="21"/>
              </w:rPr>
              <m:rPr>
                <m:sty m:val="p"/>
              </m:rPr>
              <m:t>dep</m:t>
            </m:r>
          </m:sub>
        </m:sSub>
      </m:oMath>
      <w:r>
        <w:t>=0。首次无可用路径时间</w:t>
      </w:r>
      <m:oMath>
        <m:sSub>
          <m:e>
            <m:r>
              <w:rPr>
                <w:sz w:val="21"/>
              </w:rPr>
              <m:t>τ</m:t>
            </m:r>
          </m:e>
          <m:sub>
            <m:r>
              <w:rPr>
                <w:sz w:val="21"/>
              </w:rPr>
              <m:rPr>
                <m:sty m:val="p"/>
              </m:rPr>
              <m:t>np</m:t>
            </m:r>
          </m:sub>
        </m:sSub>
      </m:oMath>
      <w:r>
        <w:t>定义为</w:t>
      </w:r>
    </w:p>
    <w:p>
      <w:pPr>
        <w:tabs>
          <w:tab w:pos="4649" w:val="center"/>
          <w:tab w:pos="9581" w:val="right"/>
        </w:tabs>
        <w:spacing w:line="252" w:lineRule="auto" w:before="100" w:after="100"/>
        <w:ind w:firstLine="0"/>
      </w:pPr>
      <w:r>
        <w:tab/>
      </w:r>
      <m:oMath>
        <m:sSub>
          <m:e>
            <m:r>
              <w:rPr>
                <w:sz w:val="21"/>
              </w:rPr>
              <m:t>τ</m:t>
            </m:r>
          </m:e>
          <m:sub>
            <m:r>
              <w:rPr>
                <w:sz w:val="21"/>
              </w:rPr>
              <m:rPr>
                <m:sty m:val="p"/>
              </m:rPr>
              <m:t>np</m:t>
            </m:r>
          </m:sub>
        </m:sSub>
        <m:r>
          <w:rPr>
            <w:sz w:val="21"/>
          </w:rPr>
          <m:t>=inf{t≥1:</m:t>
        </m:r>
        <m:sSub>
          <m:e>
            <m:r>
              <w:rPr>
                <w:sz w:val="21"/>
              </w:rPr>
              <m:rPr>
                <m:scr m:val="script"/>
              </m:rPr>
              <m:t>P</m:t>
            </m:r>
          </m:e>
          <m:sub>
            <m:r>
              <w:rPr>
                <w:sz w:val="21"/>
              </w:rPr>
              <m:t>t</m:t>
            </m:r>
          </m:sub>
        </m:sSub>
        <m:r>
          <w:rPr>
            <w:sz w:val="21"/>
          </w:rPr>
          <m:t>=∅}.</m:t>
        </m:r>
      </m:oMath>
      <w:r>
        <w:tab/>
        <w:t>(3)</w:t>
      </w:r>
    </w:p>
    <w:p>
      <w:pPr>
        <w:jc w:val="both"/>
      </w:pPr>
      <w:r>
        <w:t>首次最终拒绝时间记为</w:t>
      </w:r>
      <m:oMath>
        <m:sSub>
          <m:e>
            <m:r>
              <w:rPr>
                <w:sz w:val="21"/>
              </w:rPr>
              <m:t>τ</m:t>
            </m:r>
          </m:e>
          <m:sub>
            <m:r>
              <w:rPr>
                <w:sz w:val="21"/>
              </w:rPr>
              <m:rPr>
                <m:sty m:val="p"/>
              </m:rPr>
              <m:t>rej</m:t>
            </m:r>
          </m:sub>
        </m:sSub>
      </m:oMath>
      <w:r>
        <w:t>。若截至观测时域未出现事件，保留右删失标志。核心实验采用完整状态、全局可行搜索和原子执行，且不存在非流动性拒绝原因，故</w:t>
      </w:r>
      <m:oMath>
        <m:sSub>
          <m:e>
            <m:r>
              <w:rPr>
                <w:sz w:val="21"/>
              </w:rPr>
              <m:t>τ</m:t>
            </m:r>
          </m:e>
          <m:sub>
            <m:r>
              <w:rPr>
                <w:sz w:val="21"/>
              </w:rPr>
              <m:rPr>
                <m:sty m:val="p"/>
              </m:rPr>
              <m:t>np</m:t>
            </m:r>
          </m:sub>
        </m:sSub>
      </m:oMath>
      <w:r>
        <w:t>=</w:t>
      </w:r>
      <m:oMath>
        <m:sSub>
          <m:e>
            <m:r>
              <w:rPr>
                <w:sz w:val="21"/>
              </w:rPr>
              <m:t>τ</m:t>
            </m:r>
          </m:e>
          <m:sub>
            <m:r>
              <w:rPr>
                <w:sz w:val="21"/>
              </w:rPr>
              <m:rPr>
                <m:sty m:val="p"/>
              </m:rPr>
              <m:t>rej</m:t>
            </m:r>
          </m:sub>
        </m:sSub>
      </m:oMath>
      <w:r>
        <w:t>；二者仍分别存储，以兼容信息不足或候选路径受限等扩展协议。</w:t>
      </w:r>
    </w:p>
    <w:p>
      <w:pPr>
        <w:jc w:val="both"/>
      </w:pPr>
      <w:r/>
      <m:oMath>
        <m:sSub>
          <m:e>
            <m:r>
              <w:rPr>
                <w:sz w:val="21"/>
              </w:rPr>
              <m:t>τ</m:t>
            </m:r>
          </m:e>
          <m:sub>
            <m:r>
              <w:rPr>
                <w:sz w:val="21"/>
              </w:rPr>
              <m:rPr>
                <m:sty m:val="p"/>
              </m:rPr>
              <m:t>dep</m:t>
            </m:r>
          </m:sub>
        </m:sSub>
      </m:oMath>
      <w:r>
        <w:t>与</w:t>
      </w:r>
      <m:oMath>
        <m:sSub>
          <m:e>
            <m:r>
              <w:rPr>
                <w:sz w:val="21"/>
              </w:rPr>
              <m:t>τ</m:t>
            </m:r>
          </m:e>
          <m:sub>
            <m:r>
              <w:rPr>
                <w:sz w:val="21"/>
              </w:rPr>
              <m:rPr>
                <m:sty m:val="p"/>
              </m:rPr>
              <m:t>np</m:t>
            </m:r>
          </m:sub>
        </m:sSub>
      </m:oMath>
      <w:r>
        <w:t>在一般金额请求下不存在无条件的先后顺序。例如，单条二元超边的双方余额均为5，首个请求金额为6，则第1次请求无可用路径，但余额未触零。反之，考虑A—B—C两条信道，A在A—B上的余额为1且其余方向余额充足。先执行A向B支付1，可使该坐标触零；随后B向C支付仍可成功，直至后续A的请求再次因资金不足而失败。上述示意说明，坐标边界的首次到达与请求级可行集合变空是不同事件。</w:t>
      </w:r>
    </w:p>
    <w:p>
      <w:pPr>
        <w:jc w:val="both"/>
      </w:pPr>
      <w:r>
        <w:t>因此，理论层保留余额过程、守恒关系及事件定义；实验层指定路由规则后评价</w:t>
      </w:r>
      <m:oMath>
        <m:sSub>
          <m:e>
            <m:r>
              <w:rPr>
                <w:sz w:val="21"/>
              </w:rPr>
              <m:t>τ</m:t>
            </m:r>
          </m:e>
          <m:sub>
            <m:r>
              <w:rPr>
                <w:sz w:val="21"/>
              </w:rPr>
              <m:rPr>
                <m:sty m:val="p"/>
              </m:rPr>
              <m:t>np</m:t>
            </m:r>
          </m:sub>
        </m:sSub>
      </m:oMath>
      <w:r>
        <w:t>。单超边上的扩散近似或首次触零结论，需要在核对状态相关漂移、边界和路由耦合后才能推广至多超边情形。本研究不将单超边停止时间证明直接用作全网首次无可用路径的定理。</w:t>
      </w:r>
    </w:p>
    <w:p>
      <w:pPr>
        <w:pStyle w:val="Heading2"/>
      </w:pPr>
      <w:r>
        <w:t>2.3 余额感知可行路由</w:t>
      </w:r>
    </w:p>
    <w:p>
      <w:pPr>
        <w:keepNext/>
        <w:jc w:val="both"/>
      </w:pPr>
      <w:r>
        <w:t>每次请求根据当前余额生成有向残余可达关系，并搜索完整可行路径。路由按3级规则选择：首先最小化所经超边数；其次，在同长度路径中最大化支付后的最小归一化余额；最后，在仍并列的路径之间使用请求索引绑定的伪随机票据选择。路径的次级评分为</w:t>
      </w:r>
    </w:p>
    <w:p>
      <w:pPr>
        <w:tabs>
          <w:tab w:pos="4649" w:val="center"/>
          <w:tab w:pos="9581" w:val="right"/>
        </w:tabs>
        <w:spacing w:line="252" w:lineRule="auto" w:before="100" w:after="100"/>
        <w:ind w:firstLine="0"/>
      </w:pPr>
      <w:r>
        <w:tab/>
      </w:r>
      <m:oMath>
        <m:r>
          <w:rPr>
            <w:sz w:val="21"/>
          </w:rPr>
          <m:t>b(P,</m:t>
        </m:r>
        <m:sSub>
          <m:e>
            <m:r>
              <w:rPr>
                <w:sz w:val="21"/>
              </w:rPr>
              <m:t>q</m:t>
            </m:r>
          </m:e>
          <m:sub>
            <m:r>
              <w:rPr>
                <w:sz w:val="21"/>
              </w:rPr>
              <m:t>t</m:t>
            </m:r>
          </m:sub>
        </m:sSub>
        <m:r>
          <w:rPr>
            <w:sz w:val="21"/>
          </w:rPr>
          <m:t>)=</m:t>
        </m:r>
        <m:sSub>
          <m:e>
            <m:r>
              <w:rPr>
                <w:sz w:val="21"/>
              </w:rPr>
              <m:t>min</m:t>
            </m:r>
          </m:e>
          <m:sub>
            <m:r>
              <w:rPr>
                <w:sz w:val="21"/>
              </w:rPr>
              <m:t>1≤j≤ℓ</m:t>
            </m:r>
          </m:sub>
        </m:sSub>
        <m:f>
          <m:fPr>
            <m:type m:val="bar"/>
          </m:fPr>
          <m:num>
            <m:sSub>
              <m:e>
                <m:r>
                  <w:rPr>
                    <w:sz w:val="21"/>
                  </w:rPr>
                  <m:t>x</m:t>
                </m:r>
              </m:e>
              <m:sub>
                <m:sSub>
                  <m:e>
                    <m:r>
                      <w:rPr>
                        <w:sz w:val="21"/>
                      </w:rPr>
                      <m:t>e</m:t>
                    </m:r>
                  </m:e>
                  <m:sub>
                    <m:r>
                      <w:rPr>
                        <w:sz w:val="21"/>
                      </w:rPr>
                      <m:t>j</m:t>
                    </m:r>
                  </m:sub>
                </m:sSub>
                <m:r>
                  <w:rPr>
                    <w:sz w:val="21"/>
                  </w:rPr>
                  <m:t>,</m:t>
                </m:r>
                <m:sSub>
                  <m:e>
                    <m:r>
                      <w:rPr>
                        <w:sz w:val="21"/>
                      </w:rPr>
                      <m:t>v</m:t>
                    </m:r>
                  </m:e>
                  <m:sub>
                    <m:r>
                      <w:rPr>
                        <w:sz w:val="21"/>
                      </w:rPr>
                      <m:t>j−1</m:t>
                    </m:r>
                  </m:sub>
                </m:sSub>
              </m:sub>
            </m:sSub>
            <m:r>
              <w:rPr>
                <w:sz w:val="21"/>
              </w:rPr>
              <m:t>(t−1)−</m:t>
            </m:r>
            <m:sSub>
              <m:e>
                <m:r>
                  <w:rPr>
                    <w:sz w:val="21"/>
                  </w:rPr>
                  <m:t>a</m:t>
                </m:r>
              </m:e>
              <m:sub>
                <m:r>
                  <w:rPr>
                    <w:sz w:val="21"/>
                  </w:rPr>
                  <m:t>t</m:t>
                </m:r>
              </m:sub>
            </m:sSub>
          </m:num>
          <m:den>
            <m:sSub>
              <m:e>
                <m:r>
                  <w:rPr>
                    <w:sz w:val="21"/>
                  </w:rPr>
                  <m:t>C</m:t>
                </m:r>
              </m:e>
              <m:sub>
                <m:sSub>
                  <m:e>
                    <m:r>
                      <w:rPr>
                        <w:sz w:val="21"/>
                      </w:rPr>
                      <m:t>e</m:t>
                    </m:r>
                  </m:e>
                  <m:sub>
                    <m:r>
                      <w:rPr>
                        <w:sz w:val="21"/>
                      </w:rPr>
                      <m:t>j</m:t>
                    </m:r>
                  </m:sub>
                </m:sSub>
              </m:sub>
            </m:sSub>
          </m:den>
        </m:f>
        <m:r>
          <w:rPr>
            <w:sz w:val="21"/>
          </w:rPr>
          <m:t>.</m:t>
        </m:r>
      </m:oMath>
      <w:r>
        <w:tab/>
        <w:t>(4)</w:t>
      </w:r>
    </w:p>
    <w:p>
      <w:pPr>
        <w:jc w:val="both"/>
      </w:pPr>
      <w:r>
        <w:t>归一化余额以有理数精确比较。所有配对拓扑在请求t使用相同的64位主票据和确定性扩展票据，使并列路径数或早先失败次数的差异不改变后续票据。本实验不预先截取固定K条路径；“无可用路径”因而对应所定义残余网络中的全局不可行，而非候选集合搜索失败。</w:t>
      </w:r>
    </w:p>
    <w:p>
      <w:pPr>
        <w:pStyle w:val="Heading1"/>
      </w:pPr>
      <w:r>
        <w:t>3 资源匹配与需求感知构造</w:t>
      </w:r>
    </w:p>
    <w:p>
      <w:pPr>
        <w:pStyle w:val="Heading2"/>
      </w:pPr>
      <w:r>
        <w:t>3.1 超图构造及二元参照</w:t>
      </w:r>
    </w:p>
    <w:p>
      <w:pPr>
        <w:jc w:val="both"/>
      </w:pPr>
      <w:r>
        <w:t>每个父图</w:t>
      </w:r>
      <m:oMath>
        <m:r>
          <w:rPr>
            <w:sz w:val="21"/>
          </w:rPr>
          <m:t>G=(V,E)</m:t>
        </m:r>
      </m:oMath>
      <w:r>
        <w:t>生成4类超图：节点覆盖超图（node cover hypergraph，NCH）、最大超边规模分别为3和5的固定规模超图FHS3、FHS5，以及由FHS5初始化的需求感知超图。NCH采用确定性局部比率2近似顶点覆盖，并以选中中心及其邻居组成闭邻域超边。该规则对文献</w:t>
      </w:r>
      <w:r>
        <w:rPr>
          <w:vertAlign w:val="superscript"/>
        </w:rPr>
        <w:t>[10]</w:t>
      </w:r>
      <w:r>
        <w:t>开邻域伪代码作明确的语义修订，使中心属于自身信道，并避免由开邻域解释造成的单成员信道问题。</w:t>
      </w:r>
    </w:p>
    <w:p>
      <w:pPr>
        <w:keepNext/>
        <w:jc w:val="both"/>
      </w:pPr>
      <w:r>
        <w:t>FHS依次选择规范顺序下剩余度最大的节点，以广度优先搜索获取不超过给定规模的连通成员集，构成超边后删除成员集诱导的父图边，直至父图边被覆盖。需求感知构造与其种子使用相同的节点集合、参与关系预算和最大超边规模。这里的参与关系预算定义为</w:t>
      </w:r>
    </w:p>
    <w:p>
      <w:pPr>
        <w:tabs>
          <w:tab w:pos="4649" w:val="center"/>
          <w:tab w:pos="9581" w:val="right"/>
        </w:tabs>
        <w:spacing w:line="252" w:lineRule="auto" w:before="100" w:after="100"/>
        <w:ind w:firstLine="0"/>
      </w:pPr>
      <w:r>
        <w:tab/>
      </w:r>
      <m:oMath>
        <m:r>
          <w:rPr>
            <w:sz w:val="21"/>
          </w:rPr>
          <m:t>L=</m:t>
        </m:r>
        <m:nary>
          <m:naryPr>
            <m:chr m:val="∑"/>
            <m:limLoc m:val="subSup"/>
            <m:grow m:val="1"/>
            <m:subHide m:val="off"/>
            <m:supHide m:val="on"/>
          </m:naryPr>
          <m:sub>
            <m:r>
              <w:rPr>
                <w:sz w:val="21"/>
              </w:rPr>
              <m:t>e∈</m:t>
            </m:r>
            <m:r>
              <w:rPr>
                <w:sz w:val="21"/>
              </w:rPr>
              <m:rPr>
                <m:scr m:val="script"/>
              </m:rPr>
              <m:t>E</m:t>
            </m:r>
          </m:sub>
          <m:sup/>
          <m:e>
            <m:r>
              <w:rPr>
                <w:sz w:val="21"/>
              </w:rPr>
              <m:t>|e|=</m:t>
            </m:r>
          </m:e>
        </m:nary>
        <m:nary>
          <m:naryPr>
            <m:chr m:val="∑"/>
            <m:limLoc m:val="subSup"/>
            <m:grow m:val="1"/>
            <m:subHide m:val="off"/>
            <m:supHide m:val="on"/>
          </m:naryPr>
          <m:sub>
            <m:r>
              <w:rPr>
                <w:sz w:val="21"/>
              </w:rPr>
              <m:t>v∈V</m:t>
            </m:r>
          </m:sub>
          <m:sup/>
          <m:e>
            <m:sSub>
              <m:e>
                <m:r>
                  <w:rPr>
                    <w:sz w:val="21"/>
                  </w:rPr>
                  <m:rPr>
                    <m:sty m:val="p"/>
                  </m:rPr>
                  <m:t>deg</m:t>
                </m:r>
              </m:e>
              <m:sub>
                <m:r>
                  <w:rPr>
                    <w:sz w:val="21"/>
                  </w:rPr>
                  <m:rPr>
                    <m:scr m:val="script"/>
                  </m:rPr>
                  <m:t>H</m:t>
                </m:r>
              </m:sub>
            </m:sSub>
          </m:e>
        </m:nary>
        <m:r>
          <w:rPr>
            <w:sz w:val="21"/>
          </w:rPr>
          <m:t>(v).</m:t>
        </m:r>
      </m:oMath>
      <w:r>
        <w:tab/>
        <w:t>(5)</w:t>
      </w:r>
    </w:p>
    <w:p>
      <w:pPr>
        <w:jc w:val="both"/>
      </w:pPr>
      <w:r>
        <w:t>每个超图构造分别配置自己的二元参照。选择器先从父图边中按种子优先顺序生成Kruskal生成树，再补入其余父图边，必要时才考虑非父图节点对。每条二元边消耗2个参与关系。当L为可行的偶数时进行精确匹配；L为奇数时分别保留L−1和L+1的两个二元参照，计算其终点的等权均值。上下参照是邻近预算比较，不表述为单个精确匹配网络。</w:t>
      </w:r>
    </w:p>
    <w:p>
      <w:pPr>
        <w:jc w:val="both"/>
      </w:pPr>
      <w:r>
        <w:t>匹配控制了节点集合、总参与关系和每节点初始资金，但未固定每节点参与度、节点对覆盖数或路径长度。后几项正是构造所改变的结构特征，应通过描述性结果解释。二元团展开只用于基础设施成本参照，不作为额外的服务竞争组，也不增加样本量。</w:t>
      </w:r>
    </w:p>
    <w:p>
      <w:pPr>
        <w:pStyle w:val="Heading2"/>
      </w:pPr>
      <w:r>
        <w:t>3.2 需求感知目标与局部搜索</w:t>
      </w:r>
    </w:p>
    <w:p>
      <w:pPr>
        <w:keepNext/>
        <w:jc w:val="both"/>
      </w:pPr>
      <w:r>
        <w:t>以训练请求的金额加权和构造有向需求矩阵D，</w:t>
      </w:r>
      <m:oMath>
        <m:sSub>
          <m:e>
            <m:r>
              <w:rPr>
                <w:sz w:val="21"/>
              </w:rPr>
              <m:t>D</m:t>
            </m:r>
          </m:e>
          <m:sub>
            <m:r>
              <w:rPr>
                <w:sz w:val="21"/>
              </w:rPr>
              <m:t>uv</m:t>
            </m:r>
          </m:sub>
        </m:sSub>
      </m:oMath>
      <w:r>
        <w:t>表示u向v的训练需求量。令</w:t>
      </w:r>
      <m:oMath>
        <m:sSub>
          <m:e>
            <m:r>
              <w:rPr>
                <w:sz w:val="21"/>
              </w:rPr>
              <m:t>m</m:t>
            </m:r>
          </m:e>
          <m:sub>
            <m:r>
              <w:rPr>
                <w:sz w:val="21"/>
              </w:rPr>
              <m:t>uv</m:t>
            </m:r>
          </m:sub>
        </m:sSub>
      </m:oMath>
      <w:r>
        <w:t>为同时包含u、v的超边数；</w:t>
      </w:r>
      <m:oMath>
        <m:sSub>
          <m:e>
            <m:r>
              <w:rPr>
                <w:sz w:val="21"/>
              </w:rPr>
              <m:t>m</m:t>
            </m:r>
          </m:e>
          <m:sub>
            <m:r>
              <w:rPr>
                <w:sz w:val="21"/>
              </w:rPr>
              <m:t>uv</m:t>
            </m:r>
          </m:sub>
        </m:sSub>
      </m:oMath>
      <w:r>
        <w:t>&gt;0时称该节点对被覆盖。优化目标由4项组成：覆盖的双向需求R、覆盖的方向失衡I、节点重复参与负担P，以及超边协调与重复覆盖负担O。</w:t>
      </w:r>
    </w:p>
    <w:p>
      <w:pPr>
        <w:keepNext/>
        <w:tabs>
          <w:tab w:pos="4649" w:val="center"/>
          <w:tab w:pos="9581" w:val="right"/>
        </w:tabs>
        <w:spacing w:line="252" w:lineRule="auto" w:before="100" w:after="100"/>
        <w:ind w:firstLine="0"/>
      </w:pPr>
      <w:r>
        <w:tab/>
      </w:r>
      <m:oMath>
        <m:r>
          <w:rPr>
            <w:sz w:val="21"/>
          </w:rPr>
          <m:t>R=</m:t>
        </m:r>
        <m:nary>
          <m:naryPr>
            <m:chr m:val="∑"/>
            <m:limLoc m:val="subSup"/>
            <m:grow m:val="1"/>
            <m:subHide m:val="off"/>
            <m:supHide m:val="on"/>
          </m:naryPr>
          <m:sub>
            <m:r>
              <w:rPr>
                <w:sz w:val="21"/>
              </w:rPr>
              <m:t>u&lt;v:</m:t>
            </m:r>
            <m:sSub>
              <m:e>
                <m:r>
                  <w:rPr>
                    <w:sz w:val="21"/>
                  </w:rPr>
                  <m:t>m</m:t>
                </m:r>
              </m:e>
              <m:sub>
                <m:r>
                  <w:rPr>
                    <w:sz w:val="21"/>
                  </w:rPr>
                  <m:t>uv</m:t>
                </m:r>
              </m:sub>
            </m:sSub>
            <m:r>
              <w:rPr>
                <w:sz w:val="21"/>
              </w:rPr>
              <m:t>&gt;0</m:t>
            </m:r>
          </m:sub>
          <m:sup/>
          <m:e>
            <m:r>
              <w:rPr>
                <w:sz w:val="21"/>
              </w:rPr>
              <m:t>min(</m:t>
            </m:r>
          </m:e>
        </m:nary>
        <m:sSub>
          <m:e>
            <m:r>
              <w:rPr>
                <w:sz w:val="21"/>
              </w:rPr>
              <m:t>D</m:t>
            </m:r>
          </m:e>
          <m:sub>
            <m:r>
              <w:rPr>
                <w:sz w:val="21"/>
              </w:rPr>
              <m:t>uv</m:t>
            </m:r>
          </m:sub>
        </m:sSub>
        <m:r>
          <w:rPr>
            <w:sz w:val="21"/>
          </w:rPr>
          <m:t>,</m:t>
        </m:r>
        <m:sSub>
          <m:e>
            <m:r>
              <w:rPr>
                <w:sz w:val="21"/>
              </w:rPr>
              <m:t>D</m:t>
            </m:r>
          </m:e>
          <m:sub>
            <m:r>
              <w:rPr>
                <w:sz w:val="21"/>
              </w:rPr>
              <m:t>vu</m:t>
            </m:r>
          </m:sub>
        </m:sSub>
        <m:r>
          <w:rPr>
            <w:sz w:val="21"/>
          </w:rPr>
          <m:t>),</m:t>
        </m:r>
        <m:r>
          <w:rPr>
            <w:sz w:val="21"/>
          </w:rPr>
          <m:t>I=</m:t>
        </m:r>
        <m:nary>
          <m:naryPr>
            <m:chr m:val="∑"/>
            <m:limLoc m:val="subSup"/>
            <m:grow m:val="1"/>
            <m:subHide m:val="off"/>
            <m:supHide m:val="on"/>
          </m:naryPr>
          <m:sub>
            <m:r>
              <w:rPr>
                <w:sz w:val="21"/>
              </w:rPr>
              <m:t>u&lt;v:</m:t>
            </m:r>
            <m:sSub>
              <m:e>
                <m:r>
                  <w:rPr>
                    <w:sz w:val="21"/>
                  </w:rPr>
                  <m:t>m</m:t>
                </m:r>
              </m:e>
              <m:sub>
                <m:r>
                  <w:rPr>
                    <w:sz w:val="21"/>
                  </w:rPr>
                  <m:t>uv</m:t>
                </m:r>
              </m:sub>
            </m:sSub>
            <m:r>
              <w:rPr>
                <w:sz w:val="21"/>
              </w:rPr>
              <m:t>&gt;0</m:t>
            </m:r>
          </m:sub>
          <m:sup/>
          <m:e>
            <m:r>
              <w:rPr>
                <w:sz w:val="21"/>
              </w:rPr>
              <m:t>|</m:t>
            </m:r>
          </m:e>
        </m:nary>
        <m:sSub>
          <m:e>
            <m:r>
              <w:rPr>
                <w:sz w:val="21"/>
              </w:rPr>
              <m:t>D</m:t>
            </m:r>
          </m:e>
          <m:sub>
            <m:r>
              <w:rPr>
                <w:sz w:val="21"/>
              </w:rPr>
              <m:t>uv</m:t>
            </m:r>
          </m:sub>
        </m:sSub>
        <m:r>
          <w:rPr>
            <w:sz w:val="21"/>
          </w:rPr>
          <m:t>−</m:t>
        </m:r>
        <m:sSub>
          <m:e>
            <m:r>
              <w:rPr>
                <w:sz w:val="21"/>
              </w:rPr>
              <m:t>D</m:t>
            </m:r>
          </m:e>
          <m:sub>
            <m:r>
              <w:rPr>
                <w:sz w:val="21"/>
              </w:rPr>
              <m:t>vu</m:t>
            </m:r>
          </m:sub>
        </m:sSub>
        <m:r>
          <w:rPr>
            <w:sz w:val="21"/>
          </w:rPr>
          <m:t>|.</m:t>
        </m:r>
      </m:oMath>
      <w:r>
        <w:tab/>
        <w:t>(6)</w:t>
      </w:r>
    </w:p>
    <w:p>
      <w:pPr>
        <w:tabs>
          <w:tab w:pos="4649" w:val="center"/>
          <w:tab w:pos="9581" w:val="right"/>
        </w:tabs>
        <w:spacing w:line="252" w:lineRule="auto" w:before="100" w:after="100"/>
        <w:ind w:firstLine="0"/>
      </w:pPr>
      <w:r>
        <w:tab/>
      </w:r>
      <m:oMath>
        <m:r>
          <w:rPr>
            <w:sz w:val="21"/>
          </w:rPr>
          <m:t>P=</m:t>
        </m:r>
        <m:nary>
          <m:naryPr>
            <m:chr m:val="∑"/>
            <m:limLoc m:val="subSup"/>
            <m:grow m:val="1"/>
            <m:subHide m:val="off"/>
            <m:supHide m:val="on"/>
          </m:naryPr>
          <m:sub>
            <m:r>
              <w:rPr>
                <w:sz w:val="21"/>
              </w:rPr>
              <m:t>u∈V</m:t>
            </m:r>
          </m:sub>
          <m:sup/>
          <m:e>
            <m:r>
              <w:rPr>
                <w:sz w:val="21"/>
              </w:rPr>
              <m:t>(</m:t>
            </m:r>
          </m:e>
        </m:nary>
        <m:f>
          <m:fPr>
            <m:type m:val="noBar"/>
          </m:fPr>
          <m:num>
            <m:sSub>
              <m:e>
                <m:r>
                  <w:rPr>
                    <w:sz w:val="21"/>
                  </w:rPr>
                  <m:rPr>
                    <m:sty m:val="p"/>
                  </m:rPr>
                  <m:t>deg</m:t>
                </m:r>
              </m:e>
              <m:sub>
                <m:r>
                  <w:rPr>
                    <w:sz w:val="21"/>
                  </w:rPr>
                  <m:rPr>
                    <m:scr m:val="script"/>
                  </m:rPr>
                  <m:t>H</m:t>
                </m:r>
              </m:sub>
            </m:sSub>
            <m:r>
              <w:rPr>
                <w:sz w:val="21"/>
              </w:rPr>
              <m:t>(u)</m:t>
            </m:r>
          </m:num>
          <m:den>
            <m:r>
              <w:rPr>
                <w:sz w:val="21"/>
              </w:rPr>
              <m:t>2</m:t>
            </m:r>
          </m:den>
        </m:f>
        <m:r>
          <w:rPr>
            <w:sz w:val="21"/>
          </w:rPr>
          <m:t>),</m:t>
        </m:r>
        <m:r>
          <w:rPr>
            <w:sz w:val="21"/>
          </w:rPr>
          <m:t>O=</m:t>
        </m:r>
        <m:nary>
          <m:naryPr>
            <m:chr m:val="∑"/>
            <m:limLoc m:val="subSup"/>
            <m:grow m:val="1"/>
            <m:subHide m:val="off"/>
            <m:supHide m:val="on"/>
          </m:naryPr>
          <m:sub>
            <m:r>
              <w:rPr>
                <w:sz w:val="21"/>
              </w:rPr>
              <m:t>e∈</m:t>
            </m:r>
            <m:r>
              <w:rPr>
                <w:sz w:val="21"/>
              </w:rPr>
              <m:rPr>
                <m:scr m:val="script"/>
              </m:rPr>
              <m:t>E</m:t>
            </m:r>
          </m:sub>
          <m:sup/>
          <m:e>
            <m:r>
              <w:rPr>
                <w:sz w:val="21"/>
              </w:rPr>
              <m:t>(</m:t>
            </m:r>
          </m:e>
        </m:nary>
        <m:f>
          <m:fPr>
            <m:type m:val="noBar"/>
          </m:fPr>
          <m:num>
            <m:d>
              <m:dPr>
                <m:begChr m:val="|"/>
                <m:sepChr m:val=""/>
                <m:endChr m:val="|"/>
              </m:dPr>
              <m:e>
                <m:r>
                  <w:rPr>
                    <w:sz w:val="21"/>
                  </w:rPr>
                  <m:t>e</m:t>
                </m:r>
              </m:e>
            </m:d>
          </m:num>
          <m:den>
            <m:r>
              <w:rPr>
                <w:sz w:val="21"/>
              </w:rPr>
              <m:t>2</m:t>
            </m:r>
          </m:den>
        </m:f>
        <m:r>
          <w:rPr>
            <w:sz w:val="21"/>
          </w:rPr>
          <m:t>)+</m:t>
        </m:r>
        <m:nary>
          <m:naryPr>
            <m:chr m:val="∑"/>
            <m:limLoc m:val="subSup"/>
            <m:grow m:val="1"/>
            <m:subHide m:val="off"/>
            <m:supHide m:val="on"/>
          </m:naryPr>
          <m:sub>
            <m:r>
              <w:rPr>
                <w:sz w:val="21"/>
              </w:rPr>
              <m:t>u&lt;v</m:t>
            </m:r>
          </m:sub>
          <m:sup/>
          <m:e>
            <m:r>
              <w:rPr>
                <w:sz w:val="21"/>
              </w:rPr>
              <m:t>(</m:t>
            </m:r>
          </m:e>
        </m:nary>
        <m:f>
          <m:fPr>
            <m:type m:val="noBar"/>
          </m:fPr>
          <m:num>
            <m:sSub>
              <m:e>
                <m:r>
                  <w:rPr>
                    <w:sz w:val="21"/>
                  </w:rPr>
                  <m:t>m</m:t>
                </m:r>
              </m:e>
              <m:sub>
                <m:r>
                  <w:rPr>
                    <w:sz w:val="21"/>
                  </w:rPr>
                  <m:t>uv</m:t>
                </m:r>
              </m:sub>
            </m:sSub>
          </m:num>
          <m:den>
            <m:r>
              <w:rPr>
                <w:sz w:val="21"/>
              </w:rPr>
              <m:t>2</m:t>
            </m:r>
          </m:den>
        </m:f>
        <m:r>
          <w:rPr>
            <w:sz w:val="21"/>
          </w:rPr>
          <m:t>).</m:t>
        </m:r>
      </m:oMath>
      <w:r>
        <w:tab/>
        <w:t>(7)</w:t>
      </w:r>
    </w:p>
    <w:p>
      <w:pPr>
        <w:keepNext/>
        <w:jc w:val="both"/>
      </w:pPr>
      <w:r>
        <w:t>双向需求项与失衡项分别用全体节点对的可用双向需求量和总方向失衡归一化，参与及协调项使用由L和最大超边规模导出的预算界。分母为0的项按0处理。记归一化结果为带横线的符号，则训练评分为</w:t>
      </w:r>
    </w:p>
    <w:p>
      <w:pPr>
        <w:tabs>
          <w:tab w:pos="4649" w:val="center"/>
          <w:tab w:pos="9581" w:val="right"/>
        </w:tabs>
        <w:spacing w:line="252" w:lineRule="auto" w:before="100" w:after="100"/>
        <w:ind w:firstLine="0"/>
      </w:pPr>
      <w:r>
        <w:tab/>
      </w:r>
      <m:oMath>
        <m:r>
          <w:rPr>
            <w:sz w:val="21"/>
          </w:rPr>
          <m:t>J=</m:t>
        </m:r>
        <m:bar>
          <m:barPr>
            <m:pos m:val="top"/>
          </m:barPr>
          <m:e>
            <m:r>
              <w:rPr>
                <w:sz w:val="21"/>
              </w:rPr>
              <m:t>R</m:t>
            </m:r>
          </m:e>
        </m:bar>
        <m:r>
          <w:rPr>
            <w:sz w:val="21"/>
          </w:rPr>
          <m:t>−</m:t>
        </m:r>
        <m:f>
          <m:fPr>
            <m:type m:val="bar"/>
          </m:fPr>
          <m:num>
            <m:r>
              <w:rPr>
                <w:sz w:val="21"/>
              </w:rPr>
              <m:t>1</m:t>
            </m:r>
          </m:num>
          <m:den>
            <m:r>
              <w:rPr>
                <w:sz w:val="21"/>
              </w:rPr>
              <m:t>2</m:t>
            </m:r>
          </m:den>
        </m:f>
        <m:bar>
          <m:barPr>
            <m:pos m:val="top"/>
          </m:barPr>
          <m:e>
            <m:r>
              <w:rPr>
                <w:sz w:val="21"/>
              </w:rPr>
              <m:t>I</m:t>
            </m:r>
          </m:e>
        </m:bar>
        <m:r>
          <w:rPr>
            <w:sz w:val="21"/>
          </w:rPr>
          <m:t>−</m:t>
        </m:r>
        <m:f>
          <m:fPr>
            <m:type m:val="bar"/>
          </m:fPr>
          <m:num>
            <m:r>
              <w:rPr>
                <w:sz w:val="21"/>
              </w:rPr>
              <m:t>1</m:t>
            </m:r>
          </m:num>
          <m:den>
            <m:r>
              <w:rPr>
                <w:sz w:val="21"/>
              </w:rPr>
              <m:t>4</m:t>
            </m:r>
          </m:den>
        </m:f>
        <m:bar>
          <m:barPr>
            <m:pos m:val="top"/>
          </m:barPr>
          <m:e>
            <m:r>
              <w:rPr>
                <w:sz w:val="21"/>
              </w:rPr>
              <m:t>P</m:t>
            </m:r>
          </m:e>
        </m:bar>
        <m:r>
          <w:rPr>
            <w:sz w:val="21"/>
          </w:rPr>
          <m:t>−</m:t>
        </m:r>
        <m:f>
          <m:fPr>
            <m:type m:val="bar"/>
          </m:fPr>
          <m:num>
            <m:r>
              <w:rPr>
                <w:sz w:val="21"/>
              </w:rPr>
              <m:t>1</m:t>
            </m:r>
          </m:num>
          <m:den>
            <m:r>
              <w:rPr>
                <w:sz w:val="21"/>
              </w:rPr>
              <m:t>4</m:t>
            </m:r>
          </m:den>
        </m:f>
        <m:bar>
          <m:barPr>
            <m:pos m:val="top"/>
          </m:barPr>
          <m:e>
            <m:r>
              <w:rPr>
                <w:sz w:val="21"/>
              </w:rPr>
              <m:t>O</m:t>
            </m:r>
          </m:e>
        </m:bar>
        <m:r>
          <w:rPr>
            <w:sz w:val="21"/>
          </w:rPr>
          <m:t>.</m:t>
        </m:r>
      </m:oMath>
      <w:r>
        <w:tab/>
        <w:t>(8)</w:t>
      </w:r>
    </w:p>
    <w:p>
      <w:pPr>
        <w:jc w:val="both"/>
      </w:pPr>
      <w:r>
        <w:t>候选构造须保持节点集合和精确参与关系预算，满足最大超边规模、成员集在父图中连通、父图边覆盖、无重复超边以及关联超图连通等约束。候选池由父图边及规范顺序、需求优先顺序下的连通扩展组成。局部搜索允许等参与关系替换、拆分、合并及最多涉及3条超边的联合移动，在至多2轮改进中检查不超过5000个提案，仅接受严格提升目标的候选，并以规范指纹消解并列。该过程是有界确定性启发式搜索，不保证全局最优。</w:t>
      </w:r>
    </w:p>
    <w:p>
      <w:pPr>
        <w:jc w:val="both"/>
      </w:pPr>
      <w:r>
        <w:t>训练目标用于选择结构，留出请求及其服务结果不进入构造接口。即使J提高，也不能直接推出</w:t>
      </w:r>
      <m:oMath>
        <m:sSub>
          <m:e>
            <m:r>
              <w:rPr>
                <w:sz w:val="21"/>
              </w:rPr>
              <m:t>τ</m:t>
            </m:r>
          </m:e>
          <m:sub>
            <m:r>
              <w:rPr>
                <w:sz w:val="21"/>
              </w:rPr>
              <m:rPr>
                <m:sty m:val="p"/>
              </m:rPr>
              <m:t>np</m:t>
            </m:r>
          </m:sub>
        </m:sSub>
      </m:oMath>
      <w:r>
        <w:t>改善；两者之间的关系需要单独实验检验。因此，需求感知超图与二元参照的比较，仅评价最终构造的服务表现，不等同于相对于FHS5种子的训练消融。</w:t>
      </w:r>
    </w:p>
    <w:p>
      <w:pPr>
        <w:pStyle w:val="Heading2"/>
      </w:pPr>
      <w:r>
        <w:t>3.3 共同资金配置</w:t>
      </w:r>
    </w:p>
    <w:p>
      <w:pPr>
        <w:jc w:val="both"/>
      </w:pPr>
      <w:r>
        <w:t>每节点初始资金固定为120，仅在该节点参与的超边间分配。所有拓扑使用相同的配置过程和评分预算。候选初态包括商余数均匀分配和负载风险分配；后者在每个节点参与坐标预留1个单位，再依据相关成员间的双向需求量与方向失衡量，以Hamilton最大余数法分配剩余资金。</w:t>
      </w:r>
    </w:p>
    <w:p>
      <w:pPr>
        <w:jc w:val="both"/>
      </w:pPr>
      <w:r>
        <w:t>两种基线中的较优状态用于初始化共同投影细化，冻结方案总计评价4个状态，并采用每个转移步长级2个提案的预算。每次提案选择一个节点及其资金转出、转入超边，在整数单纯形上调整资金。只有训练评分严格按字典序改善时才保留候选；科学评分相同时以指纹确定保留状态，该操作不计为服务改善。均匀基线、每次提案和最终状态均保留，便于精确重放。</w:t>
      </w:r>
    </w:p>
    <w:p>
      <w:pPr>
        <w:pStyle w:val="Heading1"/>
      </w:pPr>
      <w:r>
        <w:t>4 实验设计与统计方法</w:t>
      </w:r>
    </w:p>
    <w:p>
      <w:pPr>
        <w:pStyle w:val="Heading2"/>
      </w:pPr>
      <w:r>
        <w:t>4.1 父图与支付负载</w:t>
      </w:r>
    </w:p>
    <w:p>
      <w:pPr>
        <w:jc w:val="both"/>
      </w:pPr>
      <w:r>
        <w:t>实验采用连通条件下的固定边数ER随机图（ER-GNM）、Barabási–Albert图（BA）和固定边数随机块模型（SBM）3个结构层，节点数为30、60、120和240。每个规模、每个模型生成20个独立父图。BA采用冻结的星形初始化及每次3条附着边，统一父图边数为3(n−3)；ER-GNM和SBM匹配相同边数。SBM包含4个规范社区，4种规模的社区内边数依次为60、128、263和533。无效或不连通样本按冻结规则重抽，最多1000次，并记录接受时的种子与尝试序号。</w:t>
      </w:r>
    </w:p>
    <w:p>
      <w:pPr>
        <w:jc w:val="both"/>
      </w:pPr>
      <w:r>
        <w:t>每个父图区块使用均匀有序节点对、社区内偏好、外生指定的3节点热点和方向漂移4种训练需求。每一有序源目的对均有正权重；金额取1、3、6，对应权重6、3、1。端点与金额使用分离的种子命名空间。训练完成后，使用4条同分布留出轨迹和3条分布偏移轨迹；偏移分别为热点迁移、方向反转及跨社区需求增强。社区、热点与方向组由规范节点标签确定，不由测试表现选择。</w:t>
      </w:r>
    </w:p>
    <w:p>
      <w:pPr>
        <w:jc w:val="both"/>
      </w:pPr>
      <w:r>
        <w:t>每条留出轨迹包含H=12n次尝试。所有配对变体接收相同的请求对象、金额及路由票据，首次失败后仍运行至共同观测终点。正式相位与确认相位使用分离的根种子2026081001和2026081002，每相位共4×3×20=240个父图区块。流程如图1所示。</w:t>
      </w:r>
    </w:p>
    <w:p>
      <w:pPr>
        <w:keepNext/>
        <w:spacing w:line="240" w:lineRule="auto" w:before="100"/>
        <w:ind w:firstLine="0"/>
        <w:jc w:val="center"/>
      </w:pPr>
      <w:r>
        <w:drawing>
          <wp:inline xmlns:a="http://schemas.openxmlformats.org/drawingml/2006/main" xmlns:pic="http://schemas.openxmlformats.org/drawingml/2006/picture">
            <wp:extent cx="6120000" cy="2231552"/>
            <wp:docPr id="1" name="Picture 1"/>
            <wp:cNvGraphicFramePr>
              <a:graphicFrameLocks noChangeAspect="1"/>
            </wp:cNvGraphicFramePr>
            <a:graphic>
              <a:graphicData uri="http://schemas.openxmlformats.org/drawingml/2006/picture">
                <pic:pic>
                  <pic:nvPicPr>
                    <pic:cNvPr id="0" name="figure-1-design.png"/>
                    <pic:cNvPicPr/>
                  </pic:nvPicPr>
                  <pic:blipFill>
                    <a:blip r:embed="rId9"/>
                    <a:stretch>
                      <a:fillRect/>
                    </a:stretch>
                  </pic:blipFill>
                  <pic:spPr>
                    <a:xfrm>
                      <a:off x="0" y="0"/>
                      <a:ext cx="6120000" cy="2231552"/>
                    </a:xfrm>
                    <a:prstGeom prst="rect"/>
                  </pic:spPr>
                </pic:pic>
              </a:graphicData>
            </a:graphic>
          </wp:inline>
        </w:drawing>
      </w:r>
    </w:p>
    <w:p>
      <w:pPr>
        <w:pStyle w:val="Caption"/>
        <w:jc w:val="both"/>
      </w:pPr>
      <w:r>
        <w:t>图1　资源匹配评估与独立确认流程。每种规模、每个相位含60个独立父图；同一父图内7条留出轨迹属于嵌套测量。两相位采用相同协议、分别分析。</w:t>
      </w:r>
    </w:p>
    <w:p>
      <w:pPr>
        <w:pStyle w:val="Heading2"/>
      </w:pPr>
      <w:r>
        <w:t>4.2 主要终点及配对效应</w:t>
      </w:r>
    </w:p>
    <w:p>
      <w:pPr>
        <w:jc w:val="both"/>
      </w:pPr>
      <w:r>
        <w:t>主要终点为归一化受限无路径时间Y和固定时域失败指示F。令T=min(</w:t>
      </w:r>
      <m:oMath>
        <m:sSub>
          <m:e>
            <m:r>
              <w:rPr>
                <w:sz w:val="21"/>
              </w:rPr>
              <m:t>τ</m:t>
            </m:r>
          </m:e>
          <m:sub>
            <m:r>
              <w:rPr>
                <w:sz w:val="21"/>
              </w:rPr>
              <m:rPr>
                <m:sty m:val="p"/>
              </m:rPr>
              <m:t>np</m:t>
            </m:r>
          </m:sub>
        </m:sSub>
      </m:oMath>
      <w:r>
        <w:t>,H)，δ表示截至H是否观察到无路径事件，则Y=T/H、F=δ。删失观测保存T=H及δ=0；恰在H发生事件时T同为H，但δ=1。因此，两个终点分别反映首次服务中断的相对时间与观测期内是否发生中断。</w:t>
      </w:r>
    </w:p>
    <w:p>
      <w:pPr>
        <w:keepNext/>
        <w:jc w:val="both"/>
      </w:pPr>
      <w:r>
        <w:t>对于构造族f及其</w:t>
      </w:r>
      <m:oMath>
        <m:sSub>
          <m:e>
            <m:r>
              <w:rPr>
                <w:sz w:val="21"/>
              </w:rPr>
              <m:t>K</m:t>
            </m:r>
          </m:e>
          <m:sub>
            <m:r>
              <w:rPr>
                <w:sz w:val="21"/>
              </w:rPr>
              <m:t>f</m:t>
            </m:r>
          </m:sub>
        </m:sSub>
      </m:oMath>
      <w:r>
        <w:t>个二元参照，任一终点</w:t>
      </w:r>
      <m:oMath>
        <m:r>
          <w:rPr>
            <w:sz w:val="21"/>
          </w:rPr>
          <m:t>Z∈{Y,F}</m:t>
        </m:r>
      </m:oMath>
      <w:r>
        <w:t>的配对差定义为</w:t>
      </w:r>
    </w:p>
    <w:p>
      <w:pPr>
        <w:tabs>
          <w:tab w:pos="4649" w:val="center"/>
          <w:tab w:pos="9581" w:val="right"/>
        </w:tabs>
        <w:spacing w:line="252" w:lineRule="auto" w:before="100" w:after="100"/>
        <w:ind w:firstLine="0"/>
      </w:pPr>
      <w:r>
        <w:tab/>
      </w:r>
      <m:oMath>
        <m:sSubSup>
          <m:e>
            <m:r>
              <w:rPr>
                <w:sz w:val="21"/>
              </w:rPr>
              <m:t>d</m:t>
            </m:r>
          </m:e>
          <m:sub>
            <m:r>
              <w:rPr>
                <w:sz w:val="21"/>
              </w:rPr>
              <m:t>f</m:t>
            </m:r>
          </m:sub>
          <m:sup>
            <m:d>
              <m:dPr>
                <m:sepChr m:val=""/>
              </m:dPr>
              <m:e>
                <m:r>
                  <w:rPr>
                    <w:sz w:val="21"/>
                  </w:rPr>
                  <m:t>Z</m:t>
                </m:r>
              </m:e>
            </m:d>
          </m:sup>
        </m:sSubSup>
        <m:r>
          <w:rPr>
            <w:sz w:val="21"/>
          </w:rPr>
          <m:t>=</m:t>
        </m:r>
        <m:sSub>
          <m:e>
            <m:r>
              <w:rPr>
                <w:sz w:val="21"/>
              </w:rPr>
              <m:t>Z</m:t>
            </m:r>
          </m:e>
          <m:sub>
            <m:r>
              <w:rPr>
                <w:sz w:val="21"/>
              </w:rPr>
              <m:t>f</m:t>
            </m:r>
          </m:sub>
        </m:sSub>
        <m:r>
          <w:rPr>
            <w:sz w:val="21"/>
          </w:rPr>
          <m:t>−</m:t>
        </m:r>
        <m:f>
          <m:fPr>
            <m:type m:val="bar"/>
          </m:fPr>
          <m:num>
            <m:r>
              <w:rPr>
                <w:sz w:val="21"/>
              </w:rPr>
              <m:t>1</m:t>
            </m:r>
          </m:num>
          <m:den>
            <m:sSub>
              <m:e>
                <m:r>
                  <w:rPr>
                    <w:sz w:val="21"/>
                  </w:rPr>
                  <m:t>K</m:t>
                </m:r>
              </m:e>
              <m:sub>
                <m:r>
                  <w:rPr>
                    <w:sz w:val="21"/>
                  </w:rPr>
                  <m:t>f</m:t>
                </m:r>
              </m:sub>
            </m:sSub>
          </m:den>
        </m:f>
        <m:nary>
          <m:naryPr>
            <m:chr m:val="∑"/>
            <m:limLoc m:val="subSup"/>
            <m:grow m:val="1"/>
            <m:subHide m:val="off"/>
            <m:supHide m:val="off"/>
          </m:naryPr>
          <m:sub>
            <m:r>
              <w:rPr>
                <w:sz w:val="21"/>
              </w:rPr>
              <m:t>k=1</m:t>
            </m:r>
          </m:sub>
          <m:sup>
            <m:sSub>
              <m:e>
                <m:r>
                  <w:rPr>
                    <w:sz w:val="21"/>
                  </w:rPr>
                  <m:t>K</m:t>
                </m:r>
              </m:e>
              <m:sub>
                <m:r>
                  <w:rPr>
                    <w:sz w:val="21"/>
                  </w:rPr>
                  <m:t>f</m:t>
                </m:r>
              </m:sub>
            </m:sSub>
          </m:sup>
          <m:e>
            <m:sSubSup>
              <m:e>
                <m:r>
                  <w:rPr>
                    <w:sz w:val="21"/>
                  </w:rPr>
                  <m:t>Z</m:t>
                </m:r>
              </m:e>
              <m:sub>
                <m:r>
                  <w:rPr>
                    <w:sz w:val="21"/>
                  </w:rPr>
                  <m:t>f,k</m:t>
                </m:r>
              </m:sub>
              <m:sup>
                <m:d>
                  <m:dPr>
                    <m:sepChr m:val=""/>
                  </m:dPr>
                  <m:e>
                    <m:r>
                      <w:rPr>
                        <w:sz w:val="21"/>
                      </w:rPr>
                      <m:t>B</m:t>
                    </m:r>
                  </m:e>
                </m:d>
              </m:sup>
            </m:sSubSup>
          </m:e>
        </m:nary>
        <m:r>
          <w:rPr>
            <w:sz w:val="21"/>
          </w:rPr>
          <m:t>,</m:t>
        </m:r>
        <m:sSubSup>
          <m:e>
            <m:r>
              <w:rPr>
                <w:sz w:val="21"/>
              </w:rPr>
              <m:t>d</m:t>
            </m:r>
          </m:e>
          <m:sub>
            <m:r>
              <w:rPr>
                <w:sz w:val="21"/>
              </w:rPr>
              <m:rPr>
                <m:sty m:val="p"/>
              </m:rPr>
              <m:t>global</m:t>
            </m:r>
          </m:sub>
          <m:sup>
            <m:d>
              <m:dPr>
                <m:sepChr m:val=""/>
              </m:dPr>
              <m:e>
                <m:r>
                  <w:rPr>
                    <w:sz w:val="21"/>
                  </w:rPr>
                  <m:t>Z</m:t>
                </m:r>
              </m:e>
            </m:d>
          </m:sup>
        </m:sSubSup>
        <m:r>
          <w:rPr>
            <w:sz w:val="21"/>
          </w:rPr>
          <m:t>=</m:t>
        </m:r>
        <m:f>
          <m:fPr>
            <m:type m:val="bar"/>
          </m:fPr>
          <m:num>
            <m:r>
              <w:rPr>
                <w:sz w:val="21"/>
              </w:rPr>
              <m:t>1</m:t>
            </m:r>
          </m:num>
          <m:den>
            <m:r>
              <w:rPr>
                <w:sz w:val="21"/>
              </w:rPr>
              <m:t>4</m:t>
            </m:r>
          </m:den>
        </m:f>
        <m:nary>
          <m:naryPr>
            <m:chr m:val="∑"/>
            <m:limLoc m:val="subSup"/>
            <m:grow m:val="1"/>
            <m:subHide m:val="off"/>
            <m:supHide m:val="on"/>
          </m:naryPr>
          <m:sub>
            <m:r>
              <w:rPr>
                <w:sz w:val="21"/>
              </w:rPr>
              <m:t>f</m:t>
            </m:r>
          </m:sub>
          <m:sup/>
          <m:e>
            <m:sSubSup>
              <m:e>
                <m:r>
                  <w:rPr>
                    <w:sz w:val="21"/>
                  </w:rPr>
                  <m:t>d</m:t>
                </m:r>
              </m:e>
              <m:sub>
                <m:r>
                  <w:rPr>
                    <w:sz w:val="21"/>
                  </w:rPr>
                  <m:t>f</m:t>
                </m:r>
              </m:sub>
              <m:sup>
                <m:d>
                  <m:dPr>
                    <m:sepChr m:val=""/>
                  </m:dPr>
                  <m:e>
                    <m:r>
                      <w:rPr>
                        <w:sz w:val="21"/>
                      </w:rPr>
                      <m:t>Z</m:t>
                    </m:r>
                  </m:e>
                </m:d>
              </m:sup>
            </m:sSubSup>
          </m:e>
        </m:nary>
        <m:r>
          <w:rPr>
            <w:sz w:val="21"/>
          </w:rPr>
          <m:t>.</m:t>
        </m:r>
      </m:oMath>
      <w:r>
        <w:tab/>
        <w:t>(9)</w:t>
      </w:r>
    </w:p>
    <w:p>
      <w:pPr>
        <w:jc w:val="both"/>
      </w:pPr>
      <w:r>
        <w:t>Y的差值为正、F的差值为负时表示有利方向。F是“截至H至少出现一次全局不可行请求”的指示，不是全部请求的失败比例；两组F均值之差为绝对概率差，不解释为相对下降百分比。总体对比对4类构造等权，奇数预算所增加的二元参照不提高该构造的权重。</w:t>
      </w:r>
    </w:p>
    <w:p>
      <w:pPr>
        <w:pStyle w:val="Heading2"/>
      </w:pPr>
      <w:r>
        <w:t>4.3 分层推断与复现准则</w:t>
      </w:r>
    </w:p>
    <w:p>
      <w:pPr>
        <w:jc w:val="both"/>
      </w:pPr>
      <w:r>
        <w:t>先在每个父图区块内分别求4条同分布轨迹和3条偏移轨迹的平均差，再按4∶3合并，得到1个父图观测。每个规模先求3个模型层内的均值，再对层均值等权平均。由此，每相位、每规模的独立重复数为60，轨迹数、构造数及二元参照数均不计作额外独立父图。</w:t>
      </w:r>
    </w:p>
    <w:p>
      <w:pPr>
        <w:jc w:val="both"/>
      </w:pPr>
      <w:r>
        <w:t>采用父图分层聚类bootstrap，各层每次有放回抽取20个父图，进行20000次重抽样，根种子为2026081003。同一局部层级中的5项对比共享重抽样索引。2个终点与4种规模组成8个局部层级，每层级包含1项总体对比和4项构造族对比，共40项预定比较。只有对应总体区间完全位于有利方向，构造族比较才具有确认性解释。</w:t>
      </w:r>
    </w:p>
    <w:p>
      <w:pPr>
        <w:jc w:val="both"/>
      </w:pPr>
      <w:r>
        <w:t>按冻结的Bonferroni分配，为每相位40项比较配置研究层面的95%名义家族水平；每个区间使用校正后经验尾概率1/1600，即局部名义水平159/160。该分配与percentile bootstrap共同构成推断程序，不意味着有限样本下已证明精确覆盖率。区间与门控判断采用未舍入的精确分数，显示值仅用于报告。</w:t>
      </w:r>
    </w:p>
    <w:p>
      <w:pPr>
        <w:jc w:val="both"/>
      </w:pPr>
      <w:r>
        <w:t>总体比较须在两相位中均得到有利区间才满足独立确认；构造族比较还要求两相位对应总体门均开启。两相位分别推断、不合并样本，95%的家族水平分别适用于每相位40项区间，不作为跨相位80项区间的联合保证。</w:t>
      </w:r>
    </w:p>
    <w:p>
      <w:pPr>
        <w:pStyle w:val="Heading2"/>
      </w:pPr>
      <w:r>
        <w:t>4.4 删失、成本与计算复现</w:t>
      </w:r>
    </w:p>
    <w:p>
      <w:pPr>
        <w:jc w:val="both"/>
      </w:pPr>
      <w:r>
        <w:t>下分位水平q=0.10仅用于事件覆盖诊断。一个父图只有在源超图及其全部二元参照的事件观测比例均不低于0.10时才通过；某个相位、规模、模型、构造族和负载范围组成的单元，须全部父图通过才标记为完全覆盖。本研究不据此估计数值化的0.10停止时间分位数。</w:t>
      </w:r>
    </w:p>
    <w:p>
      <w:pPr>
        <w:jc w:val="both"/>
      </w:pPr>
      <w:r>
        <w:t>成本按分量报告，包括节点对覆盖与覆盖重数、初末余额失衡、终态零坐标比例、每次尝试的跳数与经过超边数、瓶颈余额量、信令参与槽位及参与人数、二次协调暴露量和最优路径重数。信令与协调量是协议定义的计数或暴露指标，不是实测通信时延、手续费或货币成本。可靠性与成本不合成为任意标量评分。</w:t>
      </w:r>
    </w:p>
    <w:p>
      <w:pPr>
        <w:jc w:val="both"/>
      </w:pPr>
      <w:r>
        <w:t>每个区块绑定拓扑、初态、请求轨迹及路由选择的SHA-256指纹，经冻结输入精确再生核对后写入结果。两相位均完整完成后再生成统计证据；分析阶段采用可恢复的分块检查点，并对分析输出进行独立重放核验。原始区块、运行记录、全部比较、描述性投影及图表源数据均保留。</w:t>
      </w:r>
    </w:p>
    <w:p>
      <w:pPr>
        <w:jc w:val="both"/>
      </w:pPr>
      <w:r>
        <w:t>分析模式及复现状态机在正式相位已完成15个区块后、正式推断前补充，当时仅查看一条留出记录以识别字段结构，未计算汇总效应或区间。后续内存与并行执行修订改变进程划分及读取方式，保持冻结输入、模拟代码、终点和推断规则。该时间顺序作为方法修订披露，而不追溯表述为全部在最初运行前完成。</w:t>
      </w:r>
    </w:p>
    <w:p>
      <w:pPr>
        <w:pStyle w:val="Heading1"/>
      </w:pPr>
      <w:r>
        <w:t>5 结果与分析</w:t>
      </w:r>
    </w:p>
    <w:p>
      <w:pPr>
        <w:pStyle w:val="Heading2"/>
      </w:pPr>
      <w:r>
        <w:t>5.1 资源匹配下的总体服务差异</w:t>
      </w:r>
    </w:p>
    <w:p>
      <w:pPr>
        <w:jc w:val="both"/>
      </w:pPr>
      <w:r>
        <w:t>两相位均完成全部240个父图区块，形成完整的合成网络证据。8项总体比较均满足独立确认准则，具体效应和校正区间见表1，图2展示两相位估计及区间的位置。正式相位在30、60、120和240节点下的失败风险差依次为−0.425、−0.559、−0.701和−0.805；确认相位对应为−0.449、−0.575、−0.693和−0.787。确认相位240节点的估计表示固定时域内首次无路径事件的发生概率平均相差−0.787，即−78.7个百分点，不表示失败风险相对下降78.7%。</w:t>
      </w:r>
    </w:p>
    <w:p>
      <w:pPr>
        <w:pStyle w:val="Caption"/>
        <w:keepNext/>
        <w:jc w:val="center"/>
      </w:pPr>
      <w:r>
        <w:t>表1　总体配对效应及多重比较校正区间</w:t>
      </w:r>
    </w:p>
    <w:tbl>
      <w:tblPr>
        <w:tblW w:type="auto" w:w="0"/>
        <w:jc w:val="center"/>
        <w:tblLayout w:type="fixed"/>
        <w:tblLook w:firstColumn="1" w:firstRow="1" w:lastColumn="0" w:lastRow="0" w:noHBand="0" w:noVBand="1" w:val="04A0"/>
      </w:tblPr>
      <w:tblGrid>
        <w:gridCol w:w="1757"/>
        <w:gridCol w:w="964"/>
        <w:gridCol w:w="3458"/>
        <w:gridCol w:w="3458"/>
      </w:tblGrid>
      <w:tr>
        <w:trPr>
          <w:cantSplit/>
          <w:tblHeader/>
        </w:trPr>
        <w:tc>
          <w:tcPr>
            <w:tcW w:type="dxa" w:w="1757"/>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终点</w:t>
            </w:r>
          </w:p>
        </w:tc>
        <w:tc>
          <w:tcPr>
            <w:tcW w:type="dxa" w:w="964"/>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节点数</w:t>
            </w:r>
          </w:p>
        </w:tc>
        <w:tc>
          <w:tcPr>
            <w:tcW w:type="dxa" w:w="3458"/>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正式相位估计［区间］</w:t>
            </w:r>
          </w:p>
        </w:tc>
        <w:tc>
          <w:tcPr>
            <w:tcW w:type="dxa" w:w="3458"/>
            <w:vAlign w:val="center"/>
            <w:tcBorders>
              <w:top w:val="single" w:sz="6" w:color="000000"/>
              <w:left w:val="nil"/>
              <w:bottom w:val="single" w:sz="6" w:color="000000"/>
              <w:right w:val="nil"/>
              <w:insideH w:val="nil"/>
              <w:insideV w:val="nil"/>
            </w:tcBorders>
          </w:tcPr>
          <w:p>
            <w:pPr>
              <w:keepNext/>
              <w:spacing w:line="260" w:lineRule="exact" w:before="60" w:after="60"/>
              <w:ind w:firstLine="0"/>
              <w:jc w:val="center"/>
            </w:pPr>
            <w:r>
              <w:rPr>
                <w:b/>
                <w:sz w:val="18"/>
              </w:rPr>
              <w:t>确认相位估计［区间］</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失败风险</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-0.425 [-0.478, -0.371]</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-0.449 [-0.506, -0.393]</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失败风险</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60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-0.559 [-0.612, -0.507]</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-0.575 [-0.628, -0.519]</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失败风险</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120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-0.701 [-0.754, -0.645]</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-0.693 [-0.745, -0.646]</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失败风险</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240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-0.805 [-0.842, -0.765]</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-0.787 [-0.829, -0.742]</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受限无路径时间/H</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30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0.192 [0.158, 0.230]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0.216 [0.183, 0.249]</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受限无路径时间/H</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60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0.307 [0.266, 0.346]</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0.305 [0.266, 0.344]</w:t>
            </w:r>
          </w:p>
        </w:tc>
      </w:tr>
      <w:tr>
        <w:trPr>
          <w:cantSplit/>
        </w:trPr>
        <w:tc>
          <w:tcPr>
            <w:tcW w:type="dxa" w:w="1757"/>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受限无路径时间/H</w:t>
            </w:r>
          </w:p>
        </w:tc>
        <w:tc>
          <w:tcPr>
            <w:tcW w:type="dxa" w:w="964"/>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120</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0.437 [0.401, 0.474]</w:t>
            </w:r>
          </w:p>
        </w:tc>
        <w:tc>
          <w:tcPr>
            <w:tcW w:type="dxa" w:w="3458"/>
            <w:vAlign w:val="center"/>
            <w:tcBorders>
              <w:top w:val="nil"/>
              <w:left w:val="nil"/>
              <w:bottom w:val="nil"/>
              <w:right w:val="nil"/>
              <w:insideH w:val="nil"/>
              <w:insideV w:val="nil"/>
            </w:tcBorders>
          </w:tcPr>
          <w:p>
            <w:pPr>
              <w:keepNext/>
              <w:spacing w:line="260" w:lineRule="exact" w:before="60" w:after="60"/>
              <w:ind w:firstLine="0"/>
              <w:jc w:val="center"/>
            </w:pPr>
            <w:r>
              <w:rPr>
                <w:b w:val="0"/>
                <w:sz w:val="18"/>
              </w:rPr>
              <w:t>0.441 [0.398, 0.485]</w:t>
            </w:r>
          </w:p>
        </w:tc>
      </w:tr>
      <w:tr>
        <w:trPr>
          <w:cantSplit/>
        </w:trPr>
        <w:tc>
          <w:tcPr>
            <w:tcW w:type="dxa" w:w="1757"/>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受限无路径时间/H</w:t>
            </w:r>
          </w:p>
        </w:tc>
        <w:tc>
          <w:tcPr>
            <w:tcW w:type="dxa" w:w="964"/>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240</w:t>
            </w:r>
          </w:p>
        </w:tc>
        <w:tc>
          <w:tcPr>
            <w:tcW w:type="dxa" w:w="3458"/>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0.566 [0.531, 0.600]</w:t>
            </w:r>
          </w:p>
        </w:tc>
        <w:tc>
          <w:tcPr>
            <w:tcW w:type="dxa" w:w="3458"/>
            <w:vAlign w:val="center"/>
            <w:tcBorders>
              <w:top w:val="nil"/>
              <w:left w:val="nil"/>
              <w:bottom w:val="single" w:sz="6" w:color="000000"/>
              <w:right w:val="nil"/>
              <w:insideH w:val="nil"/>
              <w:insideV w:val="nil"/>
            </w:tcBorders>
          </w:tcPr>
          <w:p>
            <w:pPr>
              <w:keepNext w:val="0"/>
              <w:spacing w:line="260" w:lineRule="exact" w:before="60" w:after="60"/>
              <w:ind w:firstLine="0"/>
              <w:jc w:val="center"/>
            </w:pPr>
            <w:r>
              <w:rPr>
                <w:b w:val="0"/>
                <w:sz w:val="18"/>
              </w:rPr>
              <w:t>0.562 [0.530, 0.594]</w:t>
            </w:r>
          </w:p>
        </w:tc>
      </w:tr>
    </w:tbl>
    <w:p>
      <w:pPr>
        <w:pStyle w:val="Caption"/>
        <w:jc w:val="both"/>
      </w:pPr>
      <w:r>
        <w:t>注：括号内为多重比较校正后的bootstrap区间；每相位每行含60个独立父图。失败风险差为负、归一化受限时间差为正表示有利方向。</w:t>
      </w:r>
    </w:p>
    <w:p>
      <w:pPr>
        <w:jc w:val="both"/>
      </w:pPr>
      <w:r>
        <w:t>归一化受限无路径时间的正式相位差值为0.192、0.307、0.437和0.566，确认相位为0.216、0.305、0.441和0.562。两相位各规模区间均位于正侧，表明在共同请求时域内，超图构造相对于其匹配二元参照较晚出现首次服务中断，或更常保持至观测终点。这里的时间以请求序号计量，不能直接换算为秒，也不代表无限时间的网络寿命。</w:t>
      </w:r>
    </w:p>
    <w:p>
      <w:pPr>
        <w:keepNext/>
        <w:spacing w:line="240" w:lineRule="auto" w:before="100"/>
        <w:ind w:firstLine="0"/>
        <w:jc w:val="center"/>
      </w:pPr>
      <w:r>
        <w:drawing>
          <wp:inline xmlns:a="http://schemas.openxmlformats.org/drawingml/2006/main" xmlns:pic="http://schemas.openxmlformats.org/drawingml/2006/picture">
            <wp:extent cx="6120000" cy="2807731"/>
            <wp:docPr id="2" name="Picture 2"/>
            <wp:cNvGraphicFramePr>
              <a:graphicFrameLocks noChangeAspect="1"/>
            </wp:cNvGraphicFramePr>
            <a:graphic>
              <a:graphicData uri="http://schemas.openxmlformats.org/drawingml/2006/picture">
                <pic:pic>
                  <pic:nvPicPr>
                    <pic:cNvPr id="0" name="figure-2-global-contrasts.png"/>
                    <pic:cNvPicPr/>
                  </pic:nvPicPr>
                  <pic:blipFill>
                    <a:blip r:embed="rId10"/>
                    <a:stretch>
                      <a:fillRect/>
                    </a:stretch>
                  </pic:blipFill>
                  <pic:spPr>
                    <a:xfrm>
                      <a:off x="0" y="0"/>
                      <a:ext cx="6120000" cy="2807731"/>
                    </a:xfrm>
                    <a:prstGeom prst="rect"/>
                  </pic:spPr>
                </pic:pic>
              </a:graphicData>
            </a:graphic>
          </wp:inline>
        </w:drawing>
      </w:r>
    </w:p>
    <w:p>
      <w:pPr>
        <w:pStyle w:val="Caption"/>
        <w:jc w:val="both"/>
      </w:pPr>
      <w:r>
        <w:t>图2　两相位总体服务效应。(a)固定时域失败风险差；(b)归一化受限无路径时间差。圆点与方点分别表示正式和确认相位；水平线为校正区间，虚线为零差。每个估计均由60个父图形成，重抽样次数为20000。</w:t>
      </w:r>
    </w:p>
    <w:p>
      <w:pPr>
        <w:jc w:val="both"/>
      </w:pPr>
      <w:r>
        <w:t>随规模增大，总体失败风险差的绝对值与归一化受限时间差均呈增大的描述性趋势。不过，规模变化同时改变边数与请求时域，且没有为规模间差异另设确认性检验。因此，该趋势只描述4个预定规模下的结果，不构成关于任意规模单调改善的定理。</w:t>
      </w:r>
    </w:p>
    <w:p>
      <w:pPr>
        <w:pStyle w:val="Heading2"/>
      </w:pPr>
      <w:r>
        <w:t>5.2 构造族与父图结构的复现</w:t>
      </w:r>
    </w:p>
    <w:p>
      <w:pPr>
        <w:jc w:val="both"/>
      </w:pPr>
      <w:r>
        <w:t>两相位全部总体门均开启。需求感知超图、FHS3、FHS5和NCH在2个终点、4种规模上的32项构造族比较，校正区间均在两相位中位于有利方向；加上8项总体比较，40项记录均满足独立确认准则。完整状态矩阵见图3，未出现仅正式相位、仅确认相位或两相位均未通过的记录。</w:t>
      </w:r>
    </w:p>
    <w:p>
      <w:pPr>
        <w:keepNext/>
        <w:spacing w:line="240" w:lineRule="auto" w:before="100"/>
        <w:ind w:firstLine="0"/>
        <w:jc w:val="center"/>
      </w:pPr>
      <w:r>
        <w:drawing>
          <wp:inline xmlns:a="http://schemas.openxmlformats.org/drawingml/2006/main" xmlns:pic="http://schemas.openxmlformats.org/drawingml/2006/picture">
            <wp:extent cx="6120000" cy="2771148"/>
            <wp:docPr id="3" name="Picture 3"/>
            <wp:cNvGraphicFramePr>
              <a:graphicFrameLocks noChangeAspect="1"/>
            </wp:cNvGraphicFramePr>
            <a:graphic>
              <a:graphicData uri="http://schemas.openxmlformats.org/drawingml/2006/picture">
                <pic:pic>
                  <pic:nvPicPr>
                    <pic:cNvPr id="0" name="figure-3-replication-matrix.png"/>
                    <pic:cNvPicPr/>
                  </pic:nvPicPr>
                  <pic:blipFill>
                    <a:blip r:embed="rId11"/>
                    <a:stretch>
                      <a:fillRect/>
                    </a:stretch>
                  </pic:blipFill>
                  <pic:spPr>
                    <a:xfrm>
                      <a:off x="0" y="0"/>
                      <a:ext cx="6120000" cy="2771148"/>
                    </a:xfrm>
                    <a:prstGeom prst="rect"/>
                  </pic:spPr>
                </pic:pic>
              </a:graphicData>
            </a:graphic>
          </wp:inline>
        </w:drawing>
      </w:r>
    </w:p>
    <w:p>
      <w:pPr>
        <w:pStyle w:val="Caption"/>
        <w:jc w:val="both"/>
      </w:pPr>
      <w:r>
        <w:t>图3　全部40项比较的跨相位复现。每格对应一个终点、规模与构造族或总体对比，“双相位”表示两相位的校正区间均有利且适用的总体门均开启。构造族比较分别针对各自二元参照，不表示超图构造之间的两两排序。</w:t>
      </w:r>
    </w:p>
    <w:p>
      <w:pPr>
        <w:jc w:val="both"/>
      </w:pPr>
      <w:r>
        <w:t>按父图模型进一步展开，每相位5类对比（含总体）、4种规模和3个模型组成60个描述性单元；失败风险均值全部为负，归一化受限时间均值全部为正。方向一致性覆盖BA、ER-GNM和固定边数SBM，但这些分层均值不构成新增的独立检验，也未验证3类模型的效应相等。各单元20个父图的原值、均值及范围保存在源数据中。</w:t>
      </w:r>
    </w:p>
    <w:p>
      <w:pPr>
        <w:pStyle w:val="Heading2"/>
      </w:pPr>
      <w:r>
        <w:t>5.3 删失覆盖与需求感知构造的活动范围</w:t>
      </w:r>
    </w:p>
    <w:p>
      <w:pPr>
        <w:jc w:val="both"/>
      </w:pPr>
      <w:r>
        <w:t>服务效应的跨相位复现并不意味着所有停止时间特征都已可识别。每相位96个覆盖诊断单元中，仅2个满足所有父图及其全部参照的q=0.10事件覆盖规则，均为FHS3在固定边数SBM、同分布范围、120和240节点下的单元。正式相位有34个单元、确认相位有24个单元没有任何父图通过联合覆盖规则，其余为部分覆盖。这些数目统计的是单元，同一父图会在不同构造和负载范围内重复出现。本研究未报告0.10分位数的数值估计。</w:t>
      </w:r>
    </w:p>
    <w:p>
      <w:pPr>
        <w:jc w:val="both"/>
      </w:pPr>
      <w:r>
        <w:t>需求感知训练在4种递增规模下，分别改变正式相位60个父图中的33、21、5、1个种子拓扑，确认相位对应为34、16、13、1个。到240节点时，两相位的改变组均仅有1个父图，分别来自BA和ER-GNM，其余两个模型层为空，因而无法形成等模型权重的改变组均值。未改变组在两相位的失败风险均值差分别为−0.922和−0.898，归一化受限时间均值差为0.638和0.647。</w:t>
      </w:r>
    </w:p>
    <w:p>
      <w:pPr>
        <w:jc w:val="both"/>
      </w:pPr>
      <w:r>
        <w:t>上述分组仍然是最终超图相对于二元参照的描述性比较，不是改变前后拓扑的配对因果效应。尤其在大规模下，改变组过小，当前数据不能支持“训练带来额外服务收益”的结论。结果反而提示，需要将种子本身的多方结构效应与局部搜索的增量作用分开检验。</w:t>
      </w:r>
    </w:p>
    <w:p>
      <w:pPr>
        <w:pStyle w:val="Heading2"/>
      </w:pPr>
      <w:r>
        <w:t>5.4 服务收益与协调开销</w:t>
      </w:r>
    </w:p>
    <w:p>
      <w:pPr>
        <w:jc w:val="both"/>
      </w:pPr>
      <w:r>
        <w:t>每相位均保留4种规模与4类源构造组成的16个等模型均值单元，以及全部13个描述指标。在全部16个单元中，超图构造相对于二元参照具有更高的节点对覆盖与覆盖重数、更低的初末余额失衡及终态零坐标比例。按尝试归一的路由跳数、经过超边数与瓶颈余额量也均较低；信令参与槽位、独立信令参与者数量和二次协调暴露量则均较高。两项最优路径重数指标的差值符号随单元变化。</w:t>
      </w:r>
    </w:p>
    <w:p>
      <w:pPr>
        <w:jc w:val="both"/>
      </w:pPr>
      <w:r>
        <w:t>二次协调暴露量差的正式相位范围为6.857～316.591，确认相位为6.886～306.536。该结果说明，较短的超边路径与较少的经过超边数，未必对应较低的参与者协调负担。节点对覆盖和余额分散可能参与形成观察到的服务差异，但现有联合比较未隔离这些因素，不能据此认定具体因果机制。工程设计应将服务事件与多方协调分量同时纳入评估。</w:t>
      </w:r>
    </w:p>
    <w:p>
      <w:pPr>
        <w:jc w:val="both"/>
      </w:pPr>
      <w:r>
        <w:t>正式与确认相位记录的区块生成耗时之和分别为294.922和264.831区块小时，精确验证耗时之和为340.418和299.433区块小时。这里累加的是各区块实际经历的时长，既非端到端墙钟时间，也非CPU小时；后续相位推断和描述性投影耗时不在其中，因此不能用作并行加速比。两相位运行记录均为Windows AMD64上的CPython 3.12.13，现有摘要未提供全程峰值内存。</w:t>
      </w:r>
    </w:p>
    <w:p>
      <w:pPr>
        <w:pStyle w:val="Heading1"/>
      </w:pPr>
      <w:r>
        <w:t>6 讨论</w:t>
      </w:r>
    </w:p>
    <w:p>
      <w:pPr>
        <w:jc w:val="both"/>
      </w:pPr>
      <w:r>
        <w:t>结果表明，在所设资金、参与关系、负载和路由约束下，超图构造相对于二元参照的服务效应具有跨相位一致性。该证据将多超边状态更新、全局可行路径与独立父图重复结合起来，适用于当前受控比较，尚不足以推广至所有业务和协议。</w:t>
      </w:r>
    </w:p>
    <w:p>
      <w:pPr>
        <w:jc w:val="both"/>
      </w:pPr>
      <w:r>
        <w:t>资源匹配未固定节点参与度序列和节点对覆盖，这些差异属于被比较的结构组成。奇数预算的上下参照均值则具有预算邻域含义，不对应实际运行的“平均网络”。因此，匹配不意味着全部成本分量相同。</w:t>
      </w:r>
    </w:p>
    <w:p>
      <w:pPr>
        <w:jc w:val="both"/>
      </w:pPr>
      <w:r>
        <w:t>余额隐私、探测、手续费、重试及并发占用会改变实际可行集合与拒绝原因；协调计数也不能代替实现级时延或费用。向真实部署推广需要补充信息不完备与并发协议验证。</w:t>
      </w:r>
    </w:p>
    <w:p>
      <w:pPr>
        <w:jc w:val="both"/>
      </w:pPr>
      <w:r>
        <w:t>每个模型层仅含20个父图，percentile bootstrap的尾部近似可能影响区间稳定性，多重比较分配不消除该误差。q=0.10覆盖不足限制了低分位分析。确认相位仍采用相同合成机制，无法据此估计真实闪电网络的失败率。</w:t>
      </w:r>
    </w:p>
    <w:p>
      <w:pPr>
        <w:jc w:val="both"/>
      </w:pPr>
      <w:r>
        <w:t>后续可增加需求感知构造相对于FHS5种子的直接配对消融，检验搜索增量；在不同请求时域与资金预算下验证趋势；测量多方协调对应的通信和锁定时延。</w:t>
      </w:r>
    </w:p>
    <w:p>
      <w:pPr>
        <w:pStyle w:val="Heading1"/>
      </w:pPr>
      <w:r>
        <w:t>7 结束语</w:t>
      </w:r>
    </w:p>
    <w:p>
      <w:pPr>
        <w:jc w:val="both"/>
      </w:pPr>
      <w:r>
        <w:t>围绕多超边支付网络的持续服务问题，建立了资源匹配、状态化配对执行和父图分层独立确认相结合的评估方法。该方法将首次无可用路径与首次余额耗尽分开记录，以固定时域失败风险和归一化受限无路径时间评价服务，在共同资金与参与关系约束下比较4类超图构造及其二元参照。两独立相位各240个父图区块的结果表明，全部40项预定比较满足复现准则，观察到的服务收益同时伴随更高的多方协调暴露量。结论适用于当前合成父图、负载、资金和余额感知路由设置，为进一步研究信息约束及实现成本提供了可复用的比较基础。</w:t>
      </w:r>
    </w:p>
    <w:p>
      <w:pPr>
        <w:pStyle w:val="Heading1"/>
      </w:pPr>
      <w:r>
        <w:t>数据与代码</w:t>
      </w:r>
    </w:p>
    <w:p>
      <w:pPr>
        <w:jc w:val="both"/>
      </w:pPr>
      <w:r>
        <w:t>实验代码、配置、运行与验证记录、相位分析证据和图表源数据保存在项目仓库中（https://github.com/megumidaisuki-jth/secondaryexploration）。正文数字可追溯至完整比较登记表和描述性汇总。本稿只使用已完成的合成网络数据，公开拓扑截面不参与当前结果。持久化归档标识及最终代码、数据许可证将在投稿材料中补充。</w:t>
      </w:r>
    </w:p>
    <w:p>
      <w:pPr>
        <w:pStyle w:val="Heading1"/>
      </w:pPr>
      <w:r>
        <w:t>参考文献</w:t>
      </w:r>
    </w:p>
    <w:p>
      <w:pPr>
        <w:spacing w:line="240" w:lineRule="exact" w:after="60"/>
        <w:ind w:hanging="360" w:left="360"/>
      </w:pPr>
      <w:r>
        <w:rPr>
          <w:sz w:val="18"/>
        </w:rPr>
      </w:r>
      <w:r>
        <w:rPr>
          <w:sz w:val="18"/>
        </w:rPr>
        <w:t>[1]</w:t>
      </w:r>
      <w:r>
        <w:rPr>
          <w:sz w:val="18"/>
        </w:rPr>
        <w:t xml:space="preserve"> PAPADIS N, TASSIULAS L. Blockchain-based payment channel networks: challenges and recent advances[J]. IEEE Access, 2020, 8: 227596-227609. DOI: 10.1109/ACCESS.2020.3046020.</w:t>
      </w:r>
    </w:p>
    <w:p>
      <w:pPr>
        <w:spacing w:line="240" w:lineRule="exact" w:after="60"/>
        <w:ind w:hanging="360" w:left="360"/>
      </w:pPr>
      <w:r>
        <w:rPr>
          <w:sz w:val="18"/>
        </w:rPr>
      </w:r>
      <w:r>
        <w:rPr>
          <w:sz w:val="18"/>
        </w:rPr>
        <w:t>[2]</w:t>
      </w:r>
      <w:r>
        <w:rPr>
          <w:sz w:val="18"/>
        </w:rPr>
        <w:t xml:space="preserve"> 徐秀, 田安琪, 何瑞雯. 基于区块链的支付信道网络：挑战与发展[J]. 通信学报, 2024, 45(Z1): 97-104. DOI: 10.11959/j.issn.1000-436x.2024217.</w:t>
      </w:r>
    </w:p>
    <w:p>
      <w:pPr>
        <w:spacing w:line="240" w:lineRule="exact" w:after="60"/>
        <w:ind w:hanging="360" w:left="360"/>
      </w:pPr>
      <w:r>
        <w:rPr>
          <w:sz w:val="18"/>
        </w:rPr>
      </w:r>
      <w:r>
        <w:rPr>
          <w:sz w:val="18"/>
        </w:rPr>
        <w:t>[3]</w:t>
      </w:r>
      <w:r>
        <w:rPr>
          <w:sz w:val="18"/>
        </w:rPr>
        <w:t xml:space="preserve"> SIVARAMAN V, VENKATAKRISHNAN S B, RUAN K, et al. High throughput cryptocurrency routing in payment channel networks[C]//Proceedings of the 17th USENIX Symposium on Networked Systems Design and Implementation. Santa Clara, USA: USENIX Association, 2020: 777-796.</w:t>
      </w:r>
    </w:p>
    <w:p>
      <w:pPr>
        <w:spacing w:line="240" w:lineRule="exact" w:after="60"/>
        <w:ind w:hanging="360" w:left="360"/>
      </w:pPr>
      <w:r>
        <w:rPr>
          <w:sz w:val="18"/>
        </w:rPr>
      </w:r>
      <w:r>
        <w:rPr>
          <w:sz w:val="18"/>
        </w:rPr>
        <w:t>[4]</w:t>
      </w:r>
      <w:r>
        <w:rPr>
          <w:sz w:val="18"/>
        </w:rPr>
        <w:t xml:space="preserve"> WANG P, XU H, JIN X, et al. Flash: efficient dynamic routing for offchain networks[C]//Proceedings of the 15th International Conference on Emerging Networking Experiments and Technologies. Orlando, USA: ACM, 2019: 370-381. DOI: 10.1145/3359989.3365411.</w:t>
      </w:r>
    </w:p>
    <w:p>
      <w:pPr>
        <w:spacing w:line="240" w:lineRule="exact" w:after="60"/>
        <w:ind w:hanging="360" w:left="360"/>
      </w:pPr>
      <w:r>
        <w:rPr>
          <w:sz w:val="18"/>
        </w:rPr>
      </w:r>
      <w:r>
        <w:rPr>
          <w:sz w:val="18"/>
        </w:rPr>
        <w:t>[5]</w:t>
      </w:r>
      <w:r>
        <w:rPr>
          <w:sz w:val="18"/>
        </w:rPr>
        <w:t xml:space="preserve"> KHALIL R, GERVAIS A. Revive: rebalancing off-blockchain payment networks[C]//Proceedings of the 2017 ACM SIGSAC Conference on Computer and Communications Security. Dallas, USA: ACM, 2017: 439-453. DOI: 10.1145/3133956.3134033.</w:t>
      </w:r>
    </w:p>
    <w:p>
      <w:pPr>
        <w:spacing w:line="240" w:lineRule="exact" w:after="60"/>
        <w:ind w:hanging="360" w:left="360"/>
      </w:pPr>
      <w:r>
        <w:rPr>
          <w:sz w:val="18"/>
        </w:rPr>
      </w:r>
      <w:r>
        <w:rPr>
          <w:sz w:val="18"/>
        </w:rPr>
        <w:t>[6]</w:t>
      </w:r>
      <w:r>
        <w:rPr>
          <w:sz w:val="18"/>
        </w:rPr>
        <w:t xml:space="preserve"> AVARIKIOTI G, WANG Y, WATTENHOFER R. Algorithmic channel design[C]//29th International Symposium on Algorithms and Computation. Dagstuhl: Schloss Dagstuhl–Leibniz-Zentrum für Informatik, 2018, 123: 16:1-16:12. DOI: 10.4230/LIPIcs.ISAAC.2018.16.</w:t>
      </w:r>
    </w:p>
    <w:p>
      <w:pPr>
        <w:spacing w:line="240" w:lineRule="exact" w:after="60"/>
        <w:ind w:hanging="360" w:left="360"/>
      </w:pPr>
      <w:r>
        <w:rPr>
          <w:sz w:val="18"/>
        </w:rPr>
      </w:r>
      <w:r>
        <w:rPr>
          <w:sz w:val="18"/>
        </w:rPr>
        <w:t>[7]</w:t>
      </w:r>
      <w:r>
        <w:rPr>
          <w:sz w:val="18"/>
        </w:rPr>
        <w:t xml:space="preserve"> KHAMIS J, ROTTENSTREICH O. Demand-aware channel topologies for off-chain payments[C]//2021 International Conference on COMmunication Systems &amp; NETworkS. Piscataway: IEEE, 2021: 272-280. DOI: 10.1109/COMSNETS51098.2021.9352899.</w:t>
      </w:r>
    </w:p>
    <w:p>
      <w:pPr>
        <w:spacing w:line="240" w:lineRule="exact" w:after="60"/>
        <w:ind w:hanging="360" w:left="360"/>
      </w:pPr>
      <w:r>
        <w:rPr>
          <w:sz w:val="18"/>
        </w:rPr>
      </w:r>
      <w:r>
        <w:rPr>
          <w:sz w:val="18"/>
        </w:rPr>
        <w:t>[8]</w:t>
      </w:r>
      <w:r>
        <w:rPr>
          <w:sz w:val="18"/>
        </w:rPr>
        <w:t xml:space="preserve"> KHAMIS J, KOTZER A, ROTTENSTREICH O. Topologies for blockchain payment channel networks: models and constructions[J]. IEEE/ACM Transactions on Networking, 2024, 32(6): 4781-4797. DOI: 10.1109/TNET.2024.3445274.</w:t>
      </w:r>
    </w:p>
    <w:p>
      <w:pPr>
        <w:spacing w:line="240" w:lineRule="exact" w:after="60"/>
        <w:ind w:hanging="360" w:left="360"/>
      </w:pPr>
      <w:r>
        <w:rPr>
          <w:sz w:val="18"/>
        </w:rPr>
      </w:r>
      <w:r>
        <w:rPr>
          <w:sz w:val="18"/>
        </w:rPr>
        <w:t>[9]</w:t>
      </w:r>
      <w:r>
        <w:rPr>
          <w:sz w:val="18"/>
        </w:rPr>
        <w:t xml:space="preserve"> PODIATCHEV Y, ORDA A, ROTTENSTREICH O. Survivable payment channel networks[J]. IEEE Transactions on Network and Service Management, 2024, 21(6): 6218-6232. DOI: 10.1109/TNSM.2024.3456229.</w:t>
      </w:r>
    </w:p>
    <w:p>
      <w:pPr>
        <w:spacing w:line="240" w:lineRule="exact" w:after="60"/>
        <w:ind w:hanging="360" w:left="360"/>
      </w:pPr>
      <w:r>
        <w:rPr>
          <w:sz w:val="18"/>
        </w:rPr>
      </w:r>
      <w:r>
        <w:rPr>
          <w:sz w:val="18"/>
        </w:rPr>
        <w:t>[10]</w:t>
      </w:r>
      <w:r>
        <w:rPr>
          <w:sz w:val="18"/>
        </w:rPr>
        <w:t xml:space="preserve"> KOTZER A, LADÓCZKI B, TAPOLCAI J, et al. Addressing scalability issues of blockchains with hypergraph payment networks[J]. IEEE Transactions on Network and Service Management, 2025, 22(3): 2427-2440. DOI: 10.1109/TNSM.2025.3542960.</w:t>
      </w:r>
    </w:p>
    <w:p>
      <w:pPr>
        <w:spacing w:line="240" w:lineRule="exact" w:after="60"/>
        <w:ind w:hanging="360" w:left="360"/>
      </w:pPr>
      <w:r>
        <w:rPr>
          <w:sz w:val="18"/>
        </w:rPr>
      </w:r>
      <w:r>
        <w:rPr>
          <w:sz w:val="18"/>
        </w:rPr>
        <w:t>[11]</w:t>
      </w:r>
      <w:r>
        <w:rPr>
          <w:sz w:val="18"/>
        </w:rPr>
        <w:t xml:space="preserve"> CORCORAN P, LEWIS R. Path planning in payment channel networks with multi-party channels[J]. Distributed Ledger Technologies: Research and Practice, 2025, 4(4): 1-14. DOI: 10.1145/3702248.</w:t>
      </w:r>
    </w:p>
    <w:p>
      <w:pPr>
        <w:spacing w:line="240" w:lineRule="exact" w:after="60"/>
        <w:ind w:hanging="360" w:left="360"/>
      </w:pPr>
      <w:r>
        <w:rPr>
          <w:sz w:val="18"/>
        </w:rPr>
      </w:r>
      <w:r>
        <w:rPr>
          <w:sz w:val="18"/>
        </w:rPr>
        <w:t>[12]</w:t>
      </w:r>
      <w:r>
        <w:rPr>
          <w:sz w:val="18"/>
        </w:rPr>
        <w:t xml:space="preserve"> HUANG L, HUO C, GE C, et al. AERO: an adaptive and efficient routing for off-chain payment channel networks[J]. Computer Networks, 2025, 257: 111009. DOI: 10.1016/j.comnet.2024.111009.</w:t>
      </w:r>
    </w:p>
    <w:p>
      <w:pPr>
        <w:spacing w:line="240" w:lineRule="exact" w:after="60"/>
        <w:ind w:hanging="360" w:left="360"/>
      </w:pPr>
      <w:r>
        <w:rPr>
          <w:sz w:val="18"/>
        </w:rPr>
      </w:r>
      <w:r>
        <w:rPr>
          <w:sz w:val="18"/>
        </w:rPr>
        <w:t>[13]</w:t>
      </w:r>
      <w:r>
        <w:rPr>
          <w:sz w:val="18"/>
        </w:rPr>
        <w:t xml:space="preserve"> CHATTERJEE K, KŘIŠŤAN J M, SCHMID S, et al. Boosting payment channel network liquidity with topology optimization and transaction selection[C]//39th International Symposium on Distributed Computing. Dagstuhl: Schloss Dagstuhl–Leibniz-Zentrum für Informatik, 2025, 356: 23:1-23:22. DOI: 10.4230/LIPIcs.DISC.2025.23.</w:t>
      </w:r>
    </w:p>
    <w:p>
      <w:pPr>
        <w:spacing w:line="240" w:lineRule="exact" w:after="60"/>
        <w:ind w:hanging="360" w:left="360"/>
      </w:pPr>
      <w:r>
        <w:rPr>
          <w:sz w:val="18"/>
        </w:rPr>
      </w:r>
      <w:r>
        <w:rPr>
          <w:sz w:val="18"/>
        </w:rPr>
        <w:t>[14]</w:t>
      </w:r>
      <w:r>
        <w:rPr>
          <w:sz w:val="18"/>
        </w:rPr>
        <w:t xml:space="preserve"> PICKHARDT R. A mathematical theory of payment channel networks[EB/OL]. (2026-01-08)</w:t>
      </w:r>
      <w:r>
        <w:rPr>
          <w:sz w:val="18"/>
        </w:rPr>
        <w:t>[2026-09-29]</w:t>
      </w:r>
      <w:r>
        <w:rPr>
          <w:sz w:val="18"/>
        </w:rPr>
        <w:t>. https://arxiv.org/abs/2601.04835. 预印本.</w:t>
      </w:r>
    </w:p>
    <w:p>
      <w:pPr>
        <w:spacing w:line="240" w:lineRule="exact" w:after="60"/>
        <w:ind w:hanging="360" w:left="360"/>
      </w:pPr>
      <w:r>
        <w:rPr>
          <w:sz w:val="18"/>
        </w:rPr>
      </w:r>
      <w:r>
        <w:rPr>
          <w:sz w:val="18"/>
        </w:rPr>
        <w:t>[15]</w:t>
      </w:r>
      <w:r>
        <w:rPr>
          <w:sz w:val="18"/>
        </w:rPr>
        <w:t xml:space="preserve"> YU W, XU M, ZHANG Y, et al. Starfish: rebalancing multi-party off-chain payment channels[EB/OL]. (2026-09-21)</w:t>
      </w:r>
      <w:r>
        <w:rPr>
          <w:sz w:val="18"/>
        </w:rPr>
        <w:t>[2026-09-29]</w:t>
      </w:r>
      <w:r>
        <w:rPr>
          <w:sz w:val="18"/>
        </w:rPr>
        <w:t>. https://arxiv.org/abs/2504.20536v2. 修订预印本.</w:t>
      </w:r>
    </w:p>
    <w:p>
      <w:pPr>
        <w:pStyle w:val="Heading1"/>
      </w:pPr>
      <w:r>
        <w:t>作者简介</w:t>
      </w:r>
    </w:p>
    <w:p>
      <w:pPr>
        <w:jc w:val="both"/>
      </w:pPr>
      <w:r>
        <w:t>【作者姓名、出生年、学位、单位、职称及主要研究方向待填；照片由作者提供】</w:t>
      </w:r>
    </w:p>
    <w:sectPr w:rsidR="00FC693F" w:rsidRPr="0006063C" w:rsidSect="00034616">
      <w:footerReference w:type="default" r:id="rId12"/>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300" w:lineRule="exact"/>
      <w:ind w:firstLine="42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4" w:lineRule="auto"/>
      <w:ind w:firstLine="0"/>
      <w:outlineLvl w:val="0"/>
    </w:pPr>
    <w:rPr>
      <w:rFonts w:asciiTheme="majorHAnsi" w:eastAsiaTheme="majorEastAsia" w:hAnsiTheme="majorHAnsi" w:cstheme="majorBidi" w:ascii="Times New Roman" w:hAnsi="Times New Roman" w:eastAsia="黑体"/>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line="264" w:lineRule="auto"/>
      <w:ind w:firstLine="0"/>
      <w:outlineLvl w:val="1"/>
    </w:pPr>
    <w:rPr>
      <w:rFonts w:asciiTheme="majorHAnsi" w:eastAsiaTheme="majorEastAsia" w:hAnsiTheme="majorHAnsi" w:cstheme="majorBidi" w:ascii="Times New Roman" w:hAnsi="Times New Roman" w:eastAsia="黑体"/>
      <w:b w:val="0"/>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60" w:after="100"/>
      <w:ind w:firstLine="0"/>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资源匹配下超图支付网络的服务可靠性</dc:title>
  <dc:subject>通信学报中文论文稿</dc:subject>
  <dc:creator/>
  <cp:keywords/>
  <dc:description/>
  <cp:lastModifiedBy/>
  <cp:revision>1</cp:revision>
  <dcterms:created xsi:type="dcterms:W3CDTF">2013-12-23T23:15:00Z</dcterms:created>
  <dcterms:modified xsi:type="dcterms:W3CDTF">2013-12-23T23:15:00Z</dcterms:modified>
  <cp:category/>
</cp:coreProperties>
</file>