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补充分析直接增量服务成本窗口与初态"/>
    <w:p>
      <w:pPr>
        <w:pStyle w:val="Heading1"/>
      </w:pPr>
      <w:r>
        <w:rPr>
          <w:rFonts w:hint="eastAsia"/>
        </w:rPr>
        <w:t xml:space="preserve">补充分析：直接增量、服务成本、窗口与初态</w:t>
      </w:r>
    </w:p>
    <w:p>
      <w:pPr>
        <w:pStyle w:val="FirstParagraph"/>
      </w:pPr>
      <w:r>
        <w:rPr>
          <w:rFonts w:hint="eastAsia"/>
        </w:rPr>
        <w:t xml:space="preserve">本材料整合S1–S5已完成的补充分析。正式、确认标签只指数据来源；这些事后分析不属于原40项预定确认比较，不是新的盲确认。每相位、每规模独立n=60父图，3模型各20；7条轨迹在父图内汇总，同分布4条、偏移3条。模型等权、父图分层整图配对重抽样均为20</w:t>
      </w:r>
      <w:r>
        <w:t xml:space="preserve"> </w:t>
      </w:r>
      <w:r>
        <w:rPr>
          <w:rFonts w:hint="eastAsia"/>
        </w:rPr>
        <w:t xml:space="preserve">000次；两相位不合并。重抽样副本和请求数不是独立样本数。</w:t>
      </w:r>
    </w:p>
    <w:p>
      <w:pPr>
        <w:pStyle w:val="BodyText"/>
      </w:pPr>
      <w:r>
        <w:rPr>
          <w:rFonts w:hint="eastAsia"/>
        </w:rPr>
        <w:t xml:space="preserve">S1在两相位16项比较上作Bonferroni名义家族95%分配，单个区间为99.6875%；S2无新区间，S3–S5为未校正点态95%</w:t>
      </w:r>
      <w:r>
        <w:t xml:space="preserve"> </w:t>
      </w:r>
      <w:r>
        <w:rPr>
          <w:rFonts w:hint="eastAsia"/>
        </w:rPr>
        <w:t xml:space="preserve">percentile区间，无p值。区间为经验近似，不保证有限样本精确覆盖。所有数据已作单独算术实现核验，该核验不是独立盲科学审查。</w:t>
      </w:r>
    </w:p>
    <w:bookmarkEnd w:id="9"/>
    <w:bookmarkStart w:id="10" w:name="s1原优化初态的da减fhs5"/>
    <w:p>
      <w:pPr>
        <w:pStyle w:val="Heading1"/>
      </w:pPr>
      <w:r>
        <w:rPr>
          <w:rFonts w:hint="eastAsia"/>
        </w:rPr>
        <w:t xml:space="preserve">S1：原优化初态的DA减FHS5</w:t>
      </w:r>
    </w:p>
    <w:p>
      <w:pPr>
        <w:pStyle w:val="Caption"/>
        <w:keepNext/>
        <w:ind w:firstLine="0"/>
      </w:pPr>
      <w:r>
        <w:rPr>
          <w:rFonts w:hint="eastAsia"/>
          <w:sz w:val="18"/>
        </w:rPr>
        <w:t xml:space="preserve">表S1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全部16项直接比较。Y差为无量纲，F差为百分点；Y正、F负对DA有利。区间均含或触0，退化区间不证明总体等效。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S1 全部16项直接比较。Y差为无量纲，F差为百分点；Y正、F负对DA有利。区间均含或触0，退化区间不证明总体等效。"/>
        <w:tblBorders>
          <w:top w:val="single" w:sz="6"/>
          <w:left w:val="nil" w:sz="6"/>
          <w:bottom w:val="single" w:sz="6"/>
          <w:right w:val="nil" w:sz="6"/>
          <w:insideH w:val="nil" w:sz="6"/>
          <w:insideV w:val="nil" w:sz="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</w:trPr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相位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m:oMath>
              <m:r>
                <w:rPr>
                  <w:sz w:val="21"/>
                </w:rPr>
                <m:rPr>
                  <m:sty m:val="p"/>
                </m:rPr>
                <m:t>Δ</m:t>
              </m:r>
              <m:r>
                <w:rPr>
                  <w:sz w:val="21"/>
                </w:rPr>
                <m:t>Y</m:t>
              </m:r>
            </m:oMath>
            <w:r>
              <w:rPr>
                <w:sz w:val="18"/>
              </w:rPr>
              <w:t xml:space="preserve">​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校正区间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m:oMath>
              <m:r>
                <w:rPr>
                  <w:sz w:val="21"/>
                </w:rPr>
                <m:rPr>
                  <m:sty m:val="p"/>
                </m:rPr>
                <m:t>Δ</m:t>
              </m:r>
              <m:r>
                <w:rPr>
                  <w:sz w:val="21"/>
                </w:rPr>
                <m:t>F</m:t>
              </m:r>
            </m:oMath>
            <w:r>
              <w:rPr>
                <w:sz w:val="18"/>
              </w:rPr>
              <w:t xml:space="preserve">/pp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校正区间/pp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0.001858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0.004802]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0.000417]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-0.238095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[-1.190476,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-0.000084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[-0.000422,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0.000906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0.002851]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-1.190476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[-3.571429,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-0.000152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[-0.000694,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0.000043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0.000215]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[0.000000, 0.000000]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未校正与校正区间均保存在完整源数据中；只报告有利点估计会夸大证据。S5中的原优化拓扑差点估计与此一致，但S5只用点态95%区间，不能交换显著性口径。</w:t>
      </w:r>
    </w:p>
    <w:bookmarkEnd w:id="10"/>
    <w:bookmarkStart w:id="14" w:name="s1读图增量与校正家族"/>
    <w:p>
      <w:pPr>
        <w:pStyle w:val="Heading1"/>
      </w:pPr>
      <w:r>
        <w:rPr>
          <w:rFonts w:hint="eastAsia"/>
        </w:rPr>
        <w:t xml:space="preserve">S1读图：增量与校正家族</w:t>
      </w:r>
    </w:p>
    <w:p>
      <w:pPr>
        <w:pStyle w:val="FirstParagraph"/>
        <w:keepNext/>
        <w:spacing w:line="240" w:lineRule="auto"/>
        <w:ind w:firstLine="0"/>
      </w:pPr>
      <w:r>
        <w:drawing>
          <wp:inline>
            <wp:extent cx="6108700" cy="3775346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word-figures/s1-direc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7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图S1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直接增量。两面板为Y差乘100（窗口百分数）与F差（百分点）；相位按图内颜色和标记编码。中心为60父图的等模型均值差，线段为16项Bonferroni分配的99.6875%区间；虚线为0。全部16项保留。图用于判断搜索增量，而非超图与二元参照的主效果。</w:t>
      </w:r>
    </w:p>
    <w:bookmarkEnd w:id="14"/>
    <w:bookmarkStart w:id="15" w:name="s2负载范围的描述分解"/>
    <w:p>
      <w:pPr>
        <w:pStyle w:val="Heading1"/>
      </w:pPr>
      <w:r>
        <w:rPr>
          <w:rFonts w:hint="eastAsia"/>
        </w:rPr>
        <w:t xml:space="preserve">S2：负载范围的描述分解</w:t>
      </w:r>
    </w:p>
    <w:p>
      <w:pPr>
        <w:pStyle w:val="FirstParagraph"/>
      </w:pPr>
      <w:r>
        <w:rPr>
          <w:rFonts w:hint="eastAsia"/>
        </w:rPr>
        <w:t xml:space="preserve">每个终点的合并差等于</w:t>
      </w:r>
      <m:oMath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4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rPr>
                <m:sty m:val="p"/>
              </m:rPr>
              <m:t>s</m:t>
            </m:r>
            <m:r>
              <w:rPr>
                <w:sz w:val="21"/>
              </w:rPr>
              <m:rPr>
                <m:sty m:val="p"/>
              </m:rPr>
              <m:t>a</m:t>
            </m:r>
            <m:r>
              <w:rPr>
                <w:sz w:val="21"/>
              </w:rPr>
              <m:rPr>
                <m:sty m:val="p"/>
              </m:rPr>
              <m:t>m</m:t>
            </m:r>
            <m:r>
              <w:rPr>
                <w:sz w:val="21"/>
              </w:rPr>
              <m:rPr>
                <m:sty m:val="p"/>
              </m:rPr>
              <m:t>e</m:t>
            </m:r>
          </m:sub>
        </m:sSub>
        <m:r>
          <w:rPr>
            <w:sz w:val="21"/>
          </w:rPr>
          <m:rPr>
            <m:sty m:val="p"/>
          </m:rPr>
          <m:t>+</m:t>
        </m:r>
        <m:r>
          <w:rPr>
            <w:sz w:val="21"/>
          </w:rPr>
          <m:t>3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rPr>
                <m:sty m:val="p"/>
              </m:rPr>
              <m:t>s</m:t>
            </m:r>
            <m:r>
              <w:rPr>
                <w:sz w:val="21"/>
              </w:rPr>
              <m:rPr>
                <m:sty m:val="p"/>
              </m:rPr>
              <m:t>h</m:t>
            </m:r>
            <m:r>
              <w:rPr>
                <w:sz w:val="21"/>
              </w:rPr>
              <m:rPr>
                <m:sty m:val="p"/>
              </m:rPr>
              <m:t>i</m:t>
            </m:r>
            <m:r>
              <w:rPr>
                <w:sz w:val="21"/>
              </w:rPr>
              <m:rPr>
                <m:sty m:val="p"/>
              </m:rPr>
              <m:t>f</m:t>
            </m:r>
            <m:r>
              <w:rPr>
                <w:sz w:val="21"/>
              </w:rPr>
              <m:rPr>
                <m:sty m:val="p"/>
              </m:rPr>
              <m:t>t</m:t>
            </m:r>
          </m:sub>
        </m:sSub>
        <m:r>
          <w:rPr>
            <w:sz w:val="21"/>
          </w:rPr>
          <m:rPr>
            <m:sty m:val="p"/>
          </m:rPr>
          <m:t>)</m:t>
        </m:r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t>7</m:t>
        </m:r>
      </m:oMath>
      <w:r>
        <w:rPr>
          <w:rFonts w:hint="eastAsia"/>
        </w:rPr>
        <w:t xml:space="preserve">。下表保留16个相位、规模及终点条件的范围均值，完整112个机制均值在源JSON。没有新增范围区间或交互检验。</w:t>
      </w:r>
    </w:p>
    <w:p>
      <w:pPr>
        <w:pStyle w:val="Caption"/>
        <w:keepNext/>
        <w:ind w:firstLine="0"/>
      </w:pPr>
      <w:r>
        <w:rPr>
          <w:rFonts w:hint="eastAsia"/>
          <w:sz w:val="18"/>
        </w:rPr>
        <w:t xml:space="preserve">表S2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DA减FHS5的全部范围分解；F差为百分点，Y无量纲。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S2 DA减FHS5的全部范围分解；F差为百分点，Y无量纲。"/>
        <w:tblBorders>
          <w:top w:val="single" w:sz="6"/>
          <w:left w:val="nil" w:sz="6"/>
          <w:bottom w:val="single" w:sz="6"/>
          <w:right w:val="nil" w:sz="6"/>
          <w:insideH w:val="nil" w:sz="6"/>
          <w:insideV w:val="nil" w:sz="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</w:trPr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相位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n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终点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同分布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偏移</w:t>
            </w:r>
          </w:p>
        </w:tc>
        <w:tc>
          <w:tcPr>
            <w:tcBorders>
              <w:bottom w:val="single" w:sz="6"/>
            </w:tcBorders>
          </w:tcPr>
          <w:p>
            <w:pPr>
              <w:pStyle w:val="Compact"/>
              <w:ind w:firstLine="0"/>
              <w:jc w:val="right"/>
            </w:pPr>
            <w:r>
              <w:rPr>
                <w:rFonts w:hint="eastAsia"/>
                <w:sz w:val="18"/>
              </w:rPr>
              <w:t xml:space="preserve">合并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0.003252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0.001858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0.000193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-0.555556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-0.238095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-0.000214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0.000089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-0.000084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0.416667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-0.555556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正式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0.001134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0.000602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0.000906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-1.250000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-1.111111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-1.190476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-0.000266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-0.000152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0.000075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0.000043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120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Y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  <w:tr>
        <w:tc>
          <w:tcPr/>
          <w:p>
            <w:pPr>
              <w:pStyle w:val="Compact"/>
              <w:ind w:firstLine="0"/>
              <w:jc w:val="left"/>
            </w:pP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/>
          <w:p>
            <w:pPr>
              <w:pStyle w:val="Compact"/>
              <w:ind w:firstLine="0"/>
              <w:jc w:val="left"/>
            </w:pPr>
            <w:r>
              <w:rPr>
                <w:sz w:val="18"/>
              </w:rPr>
              <w:t xml:space="preserve">240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F/pp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  <w:tc>
          <w:tcPr/>
          <w:p>
            <w:pPr>
              <w:pStyle w:val="Compact"/>
              <w:ind w:firstLine="0"/>
              <w:jc w:val="right"/>
            </w:pPr>
            <w:r>
              <w:rPr>
                <w:sz w:val="18"/>
              </w:rPr>
              <w:t xml:space="preserve">0.000000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相同父图与不同机制之间存在依赖，符号差异不是范围交互证据。原S1和S3历史交付记录中</w:t>
      </w:r>
      <w:r>
        <w:rPr>
          <w:rFonts w:hint="eastAsia"/>
        </w:rPr>
        <w:t xml:space="preserve">“尚未运行后续”</w:t>
      </w:r>
      <w:r>
        <w:rPr>
          <w:rFonts w:hint="eastAsia"/>
        </w:rPr>
        <w:t xml:space="preserve">的文字仅表示其封存时点；本版依据后续各自通过核验的归档整合，不回写旧清单。</w:t>
      </w:r>
    </w:p>
    <w:bookmarkEnd w:id="15"/>
    <w:bookmarkStart w:id="22" w:name="s3累计服务及每成功请求成本"/>
    <w:p>
      <w:pPr>
        <w:pStyle w:val="Heading1"/>
      </w:pPr>
      <w:r>
        <w:rPr>
          <w:rFonts w:hint="eastAsia"/>
        </w:rPr>
        <w:t xml:space="preserve">S3：累计服务及每成功请求成本</w:t>
      </w:r>
    </w:p>
    <w:p>
      <w:pPr>
        <w:pStyle w:val="FirstParagraph"/>
      </w:pPr>
      <w:r>
        <w:rPr>
          <w:rFonts w:hint="eastAsia"/>
        </w:rPr>
        <w:t xml:space="preserve">完整窗口内失败后仍继续支付；S为成功请求数，V为成功金额，C为接受路径的累计暴露。成功比例S/H、金额V/H与首次事件终点不同。成本为</w:t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C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t>C</m:t>
        </m:r>
        <m:r>
          <w:rPr>
            <w:sz w:val="21"/>
          </w:rPr>
          <m:rPr>
            <m:sty m:val="p"/>
          </m:rPr>
          <m:t>]</m:t>
        </m:r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t>S</m:t>
        </m:r>
        <m:r>
          <w:rPr>
            <w:sz w:val="21"/>
          </w:rPr>
          <m:rPr>
            <m:sty m:val="p"/>
          </m:rPr>
          <m:t>]</m:t>
        </m:r>
      </m:oMath>
      <w:r>
        <w:rPr>
          <w:rFonts w:hint="eastAsia"/>
        </w:rPr>
        <w:t xml:space="preserve">，不是</w:t>
      </w:r>
      <m:oMath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t>C</m:t>
        </m:r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t>S</m:t>
        </m:r>
        <m:r>
          <w:rPr>
            <w:sz w:val="21"/>
          </w:rPr>
          <m:rPr>
            <m:sty m:val="p"/>
          </m:rPr>
          <m:t>]</m:t>
        </m:r>
      </m:oMath>
      <w:r>
        <w:rPr>
          <w:rFonts w:hint="eastAsia"/>
        </w:rPr>
        <w:t xml:space="preserve">。每条轨迹内先平均二元参照，再父图内汇总、模型等权；bootstrap内重算各臂比值后相减。64臂单元没有零服务父图/轨迹，320个比值没有未定义重抽样；这些计数完整保留。五成本为经过超边数、信令槽位、独立参与人数、二次暴露及</w:t>
      </w:r>
      <m:oMath>
        <m:r>
          <w:rPr>
            <w:sz w:val="21"/>
          </w:rPr>
          <m:rPr>
            <m:sty m:val="p"/>
          </m:rPr>
          <m:t>|</m:t>
        </m:r>
        <m:r>
          <w:rPr>
            <w:sz w:val="21"/>
          </w:rPr>
          <m:t>e</m:t>
        </m:r>
        <m:r>
          <w:rPr>
            <w:sz w:val="21"/>
          </w:rPr>
          <m:rPr>
            <m:sty m:val="p"/>
          </m:rPr>
          <m:t>|</m:t>
        </m:r>
        <m:sSub>
          <m:e>
            <m:r>
              <w:rPr>
                <w:sz w:val="21"/>
              </w:rPr>
              <m:rPr>
                <m:sty m:val="p"/>
              </m:rPr>
              <m:t>log</m:t>
            </m:r>
          </m:e>
          <m:sub>
            <m:r>
              <w:rPr>
                <w:sz w:val="21"/>
              </w:rPr>
              <m:t>2</m:t>
            </m:r>
          </m:sub>
        </m:sSub>
        <m:r>
          <w:rPr>
            <w:sz w:val="21"/>
          </w:rPr>
          <m:rPr>
            <m:sty m:val="p"/>
          </m:rPr>
          <m:t>|</m:t>
        </m:r>
        <m:r>
          <w:rPr>
            <w:sz w:val="21"/>
          </w:rPr>
          <m:t>e</m:t>
        </m:r>
        <m:r>
          <w:rPr>
            <w:sz w:val="21"/>
          </w:rPr>
          <m:rPr>
            <m:sty m:val="p"/>
          </m:rPr>
          <m:t>|</m:t>
        </m:r>
      </m:oMath>
      <w:r>
        <w:rPr>
          <w:rFonts w:hint="eastAsia"/>
        </w:rPr>
        <w:t xml:space="preserve">敏感性暴露，均非实测字节、时延、签名或费用。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24805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word-figures/s3-service-co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2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图S2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服务与信令成本联合描述。8个面板按相位与规模分组，颜色和形状对应4构造，实心/空心区分源超图和自身二元参照，共64个臂单元。线连接同族源与参照，仅表示配对，不是时间轨迹或拟合。横轴为成功请求比例，纵轴为每成功请求信令槽位；竖线为未校正点态95%区间，横轴未画区间，不是联合95%区域。各点来自60父图、3模型等权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313813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word-figures/s3-paired-co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图S3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每成功请求成本的配对差。三个面板分别为经过超边数、信令槽位、二次协调暴露量；形状/填充区分相位。全部4构造、4规模、2相位的96项所示成本差保留；完整5成本共200项保存在源JSON。线段为父图分层配对、重新计算均值之比的未校正点态95%区间，不是比值的均值或差值之比。</w:t>
      </w:r>
    </w:p>
    <w:bookmarkEnd w:id="22"/>
    <w:bookmarkStart w:id="29" w:name="s4嵌套窗口敏感性"/>
    <w:p>
      <w:pPr>
        <w:pStyle w:val="Heading1"/>
      </w:pPr>
      <w:r>
        <w:rPr>
          <w:rFonts w:hint="eastAsia"/>
        </w:rPr>
        <w:t xml:space="preserve">S4：嵌套窗口敏感性</w:t>
      </w:r>
    </w:p>
    <w:p>
      <w:pPr>
        <w:pStyle w:val="FirstParagraph"/>
      </w:pPr>
      <w:r>
        <w:rPr>
          <w:rFonts w:hint="eastAsia"/>
        </w:rPr>
        <w:t xml:space="preserve">从原记录</w:t>
      </w:r>
      <m:oMath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</m:oMath>
      <w:r>
        <w:t xml:space="preserve">、</w:t>
      </w:r>
      <m:oMath>
        <m:r>
          <w:rPr>
            <w:sz w:val="21"/>
          </w:rPr>
          <m:t>δ</m:t>
        </m:r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b"/>
          </m:rPr>
          <m:t>1</m:t>
        </m:r>
        <m:r>
          <w:rPr>
            <w:sz w:val="21"/>
          </w:rPr>
          <m:rPr>
            <m:sty m:val="p"/>
          </m:rPr>
          <m:t>{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≤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}</m:t>
        </m:r>
      </m:oMath>
      <w:r>
        <w:rPr>
          <w:rFonts w:hint="eastAsia"/>
        </w:rPr>
        <w:t xml:space="preserve">得到</w:t>
      </w:r>
      <m:oMath>
        <m:sSub>
          <m:e>
            <m:r>
              <w:rPr>
                <w:sz w:val="21"/>
              </w:rPr>
              <m:t>T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</m:oMath>
      <w:r>
        <w:t xml:space="preserve">、</w:t>
      </w:r>
      <m:oMath>
        <m:sSub>
          <m:e>
            <m:r>
              <w:rPr>
                <w:sz w:val="21"/>
              </w:rPr>
              <m:t>δ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t>δ</m:t>
        </m:r>
        <m:r>
          <w:rPr>
            <w:sz w:val="21"/>
          </w:rPr>
          <m:rPr>
            <m:sty m:val="b"/>
          </m:rPr>
          <m:t>1</m:t>
        </m:r>
        <m:r>
          <w:rPr>
            <w:sz w:val="21"/>
          </w:rPr>
          <m:rPr>
            <m:sty m:val="p"/>
          </m:rPr>
          <m:t>{</m:t>
        </m:r>
        <m:r>
          <w:rPr>
            <w:sz w:val="21"/>
          </w:rPr>
          <m:t>T</m:t>
        </m:r>
        <m:r>
          <w:rPr>
            <w:sz w:val="21"/>
          </w:rPr>
          <m:rPr>
            <m:sty m:val="p"/>
          </m:rPr>
          <m:t>≤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}</m:t>
        </m:r>
      </m:oMath>
      <w:r>
        <w:t xml:space="preserve">、</w:t>
      </w:r>
      <m:oMath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sSub>
          <m:e>
            <m:r>
              <w:rPr>
                <w:sz w:val="21"/>
              </w:rPr>
              <m:t>T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/</m:t>
        </m:r>
        <m:r>
          <w:rPr>
            <w:sz w:val="21"/>
          </w:rPr>
          <m:t>h</m:t>
        </m:r>
      </m:oMath>
      <w:r>
        <w:rPr>
          <w:rFonts w:hint="eastAsia"/>
        </w:rPr>
        <w:t xml:space="preserve">；先逐臂截断再形成参照均值与配对差。整数离散时间满足</w:t>
      </w:r>
      <m:oMath>
        <m:r>
          <w:rPr>
            <w:sz w:val="21"/>
          </w:rPr>
          <m:rPr>
            <m:scr m:val="double-struck"/>
            <m:sty m:val="p"/>
          </m:rPr>
          <m:t>E</m:t>
        </m:r>
        <m:r>
          <w:rPr>
            <w:sz w:val="21"/>
          </w:rPr>
          <m:rPr>
            <m:sty m:val="p"/>
          </m:rPr>
          <m:t>[</m:t>
        </m:r>
        <m:r>
          <w:rPr>
            <w:sz w:val="21"/>
          </w:rPr>
          <m:rPr>
            <m:sty m:val="p"/>
          </m:rPr>
          <m:t>min</m:t>
        </m:r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,</m:t>
        </m:r>
        <m:r>
          <w:rPr>
            <w:sz w:val="21"/>
          </w:rPr>
          <m:t>h</m:t>
        </m:r>
        <m:r>
          <w:rPr>
            <w:sz w:val="21"/>
          </w:rPr>
          <m:rPr>
            <m:sty m:val="p"/>
          </m:rPr>
          <m:t>)</m:t>
        </m:r>
        <m:r>
          <w:rPr>
            <w:sz w:val="21"/>
          </w:rPr>
          <m:rPr>
            <m:sty m:val="p"/>
          </m:rPr>
          <m:t>]</m:t>
        </m:r>
        <m:r>
          <w:rPr>
            <w:sz w:val="21"/>
          </w:rP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j</m:t>
            </m:r>
            <m:r>
              <w:rPr>
                <w:sz w:val="21"/>
              </w:rPr>
              <m:rPr>
                <m:sty m:val="p"/>
              </m:rPr>
              <m:t>=</m:t>
            </m:r>
            <m:r>
              <w:rPr>
                <w:sz w:val="21"/>
              </w:rPr>
              <m:t>0</m:t>
            </m:r>
          </m:sub>
          <m:sup>
            <m:r>
              <w:rPr>
                <w:sz w:val="21"/>
              </w:rPr>
              <m:t>h</m:t>
            </m:r>
            <m:r>
              <w:rPr>
                <w:sz w:val="21"/>
              </w:rPr>
              <m:rPr>
                <m:sty m:val="p"/>
              </m:rPr>
              <m:t>−</m:t>
            </m:r>
            <m:r>
              <w:rPr>
                <w:sz w:val="21"/>
              </w:rPr>
              <m:t>1</m:t>
            </m:r>
          </m:sup>
          <m:e>
            <m:r>
              <w:rPr>
                <w:sz w:val="21"/>
              </w:rPr>
              <m:rPr>
                <m:sty m:val="p"/>
              </m:rPr>
              <m:t>Pr</m:t>
            </m:r>
          </m:e>
        </m:nary>
        <m:r>
          <w:rPr>
            <w:sz w:val="21"/>
          </w:rPr>
          <m:rPr>
            <m:sty m:val="p"/>
          </m:rPr>
          <m:t>(</m:t>
        </m:r>
        <m:r>
          <w:rPr>
            <w:sz w:val="21"/>
          </w:rPr>
          <m:t>τ</m:t>
        </m:r>
        <m:r>
          <w:rPr>
            <w:sz w:val="21"/>
          </w:rPr>
          <m:rPr>
            <m:sty m:val="p"/>
          </m:rPr>
          <m:t>&gt;</m:t>
        </m:r>
        <m:r>
          <w:rPr>
            <w:sz w:val="21"/>
          </w:rPr>
          <m:t>j</m:t>
        </m:r>
        <m:r>
          <w:rPr>
            <w:sz w:val="21"/>
          </w:rPr>
          <m:rPr>
            <m:sty m:val="p"/>
          </m:rPr>
          <m:t>)</m:t>
        </m:r>
      </m:oMath>
      <w:r>
        <w:rPr>
          <w:rFonts w:hint="eastAsia"/>
        </w:rPr>
        <w:t xml:space="preserve">。末次事件与无事件可能同为</w:t>
      </w:r>
      <m:oMath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h</m:t>
            </m:r>
          </m:sub>
        </m:sSub>
        <m:r>
          <w:rPr>
            <w:sz w:val="21"/>
          </w:rPr>
          <m:rPr>
            <m:sty m:val="p"/>
          </m:rPr>
          <m:t>=</m:t>
        </m:r>
        <m:r>
          <w:rPr>
            <w:sz w:val="21"/>
          </w:rPr>
          <m:t>1</m:t>
        </m:r>
      </m:oMath>
      <w:r>
        <w:rPr>
          <w:rFonts w:hint="eastAsia"/>
        </w:rPr>
        <w:t xml:space="preserve">，但风险不同。160窗口效应和80直接窗口变化区间均为点态、未校正95%；320子范围效应和160子范围变化只有描述值。本分析不产生前缀成本、未删失寿命或规模与时域的因果分解。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6829696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word-figures/s4-binary-wind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82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图S4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窗口敏感性的超图减自身二元参照比较。4行构造、2列终点；颜色表示6n/12n窗口，形状表示相位。左列Y差乘100（窗口百分数），右列F差为百分点，不能互换单位。全部两窗口、两相位、4规模、4构造均保留。每条件60父图，区间为未校正点态95%；不是同时置信保证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134324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word-figures/s4-direct-wind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3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图S5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DA减FHS5的窗口效应和直接变化。上排为两个窗口的终点差，下排为6n减12n配对变化；左列Y差乘100，右列F差为百分点，按图内颜色、形状区分窗口和相位。变化区间用共享父图重抽样直接计算，不能由两个区间端点相减。每条件60父图，未校正点态95%；零宽区间不证明总体等效。</w:t>
      </w:r>
    </w:p>
    <w:bookmarkEnd w:id="29"/>
    <w:bookmarkStart w:id="40" w:name="s5四臂资金初态比较"/>
    <w:p>
      <w:pPr>
        <w:pStyle w:val="Heading1"/>
      </w:pPr>
      <w:r>
        <w:rPr>
          <w:rFonts w:hint="eastAsia"/>
        </w:rPr>
        <w:t xml:space="preserve">S5：四臂资金初态比较</w:t>
      </w:r>
    </w:p>
    <w:p>
      <w:pPr>
        <w:pStyle w:val="FirstParagraph"/>
      </w:pPr>
      <w:r>
        <w:rPr>
          <w:rFonts w:hint="eastAsia"/>
        </w:rPr>
        <w:t xml:space="preserve">节点预算120不变，拓扑DA/FHS5固定，U均匀、O原优化，复用相同留出请求和路由票据。每相位每规模20</w:t>
      </w:r>
      <w:r>
        <w:t xml:space="preserve"> </w:t>
      </w:r>
      <w:r>
        <w:rPr>
          <w:rFonts w:hint="eastAsia"/>
        </w:rPr>
        <w:t xml:space="preserve">000次共享索引重抽样；80合并对比有点态95%未校正区间，160子范围对比无区间，192绝对均值全部保留。种子2026100705按SHA-256派生，点态区间取第500与第19</w:t>
      </w:r>
      <w:r>
        <w:t xml:space="preserve"> </w:t>
      </w:r>
      <w:r>
        <w:rPr>
          <w:rFonts w:hint="eastAsia"/>
        </w:rPr>
        <w:t xml:space="preserve">500顺序统计量。资金重新分配可改变每条超边总资金，不是固定超边资金的纯拓扑干预。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97818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word-figures/s5-arm-mea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9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图S6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四臂绝对均值。a、b为正式与确认相位Y均值，c、d为F均值（百分数）。Y轴非零起点放大，F轴从零开始；不画误差线。每条件60父图，7轨迹父图内汇总、3模型等权。U为节点预算均匀初态、O为原优化初态。标记表示离散规模条件，不是时间轨迹；绝对水平不证明臂间等效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5679752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word-figures/s5-topology-interac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7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图S7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四臂拓扑差与直接交互。a、b为U初态DA减FHS5，c、d为O初态，e、f为两拓扑差之差；左列Y差，右列F差（百分点）。圆点为正式、方块为确认。共48项合并比较，线段为每条件60父图的共享索引配对未校正点态95%区间；交互不由一项显著另一项不显著推断。</w:t>
      </w:r>
    </w:p>
    <w:p>
      <w:pPr>
        <w:pStyle w:val="BodyText"/>
        <w:keepNext/>
        <w:spacing w:line="240" w:lineRule="auto"/>
        <w:ind w:firstLine="0"/>
      </w:pPr>
      <w:r>
        <w:drawing>
          <wp:inline>
            <wp:extent cx="6108700" cy="409781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word-figures/s5-initializ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9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ind w:firstLine="0"/>
      </w:pPr>
      <w:r>
        <w:rPr>
          <w:rFonts w:hint="eastAsia"/>
          <w:sz w:val="18"/>
        </w:rPr>
        <w:t xml:space="preserve">图S8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固定拓扑内O减U。a、b为两相位Y差，c、d为F差（百分点）。圆点为DA、方块为FHS5，共32项合并比较，线段为未校正点态95%区间。每条件60父图，Y正、F负表示O有利。16个时间条件15负1正仅为方向计数。此图为正文初态对比的完整显示。</w:t>
      </w:r>
    </w:p>
    <w:bookmarkStart w:id="39" w:name="复用与溯源"/>
    <w:p>
      <w:pPr>
        <w:pStyle w:val="Heading4"/>
      </w:pPr>
      <w:r>
        <w:rPr>
          <w:rFonts w:hint="eastAsia"/>
        </w:rPr>
        <w:t xml:space="preserve">复用与溯源</w:t>
      </w:r>
    </w:p>
    <w:p>
      <w:pPr>
        <w:pStyle w:val="FirstParagraph"/>
      </w:pPr>
      <w:r>
        <w:rPr>
          <w:rFonts w:hint="eastAsia"/>
        </w:rPr>
        <w:t xml:space="preserve">图均逐字节沿用已核验PDF，未改变点、区间或坐标。全部源JSON、核验收据、完整图表和计算检查点仍存仓库；附作者包包含完整统计JSON，输入清单及SHA-256另列。原稿中13项描述指标的完整定义仍保留在原随稿补充说明。图S1–S8为本版统一图号，S1–S5为分析标识；二者不同。</w:t>
      </w:r>
    </w:p>
    <w:bookmarkEnd w:id="39"/>
    <w:bookmarkEnd w:id="40"/>
    <w:sectPr w:rsidR="00FC693F" w:rsidRPr="0006063C" w:rsidSect="00034616">
      <w:pgSz w:h="16838" w:w="11906"/>
      <w:pgMar w:bottom="1020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0" w:line="276" w:lineRule="auto"/>
      <w:ind w:firstLine="420"/>
    </w:pPr>
    <w:rPr>
      <w:rFonts w:ascii="Times New Roman" w:eastAsia="宋体" w:hAnsi="Times New Roman"/>
      <w:b w:val="0"/>
      <w:i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80" w:before="140" w:line="276" w:lineRule="auto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80" w:before="140" w:line="276" w:lineRule="auto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80" w:before="140" w:line="276" w:lineRule="auto"/>
      <w:outlineLvl w:val="2"/>
    </w:pPr>
    <w:rPr>
      <w:rFonts w:ascii="Times New Roman" w:asciiTheme="majorHAnsi" w:cstheme="majorBidi" w:eastAsia="宋体" w:eastAsiaTheme="majorEastAsia" w:hAnsi="Times New Roman" w:hAnsiTheme="majorHAnsi"/>
      <w:b/>
      <w:bCs/>
      <w:i w:val="0"/>
      <w:color w:val="000000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80" w:before="140" w:line="276" w:lineRule="auto"/>
      <w:outlineLvl w:val="3"/>
    </w:pPr>
    <w:rPr>
      <w:rFonts w:ascii="Times New Roman" w:asciiTheme="majorHAnsi" w:cstheme="majorBidi" w:eastAsia="宋体" w:eastAsiaTheme="majorEastAsia" w:hAnsi="Times New Roman" w:hAnsiTheme="majorHAnsi"/>
      <w:b/>
      <w:bCs/>
      <w:i w:val="0"/>
      <w:iCs/>
      <w:color w:val="000000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widowControl/>
      <w:spacing w:after="0" w:line="276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i w:val="0"/>
      <w:color w:val="000000"/>
      <w:spacing w:val="5"/>
      <w:kern w:val="28"/>
      <w:sz w:val="3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widowControl/>
      <w:spacing w:after="0" w:line="276" w:lineRule="auto"/>
    </w:pPr>
    <w:rPr>
      <w:rFonts w:ascii="Times New Roman" w:eastAsia="宋体" w:hAnsi="Times New Roman"/>
      <w:b w:val="0"/>
      <w:bCs/>
      <w:i w:val="0"/>
      <w:color w:val="000000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9" Type="http://schemas.openxmlformats.org/officeDocument/2006/relationships/image" Target="media/rId19.png"/><Relationship Id="rId16" Type="http://schemas.openxmlformats.org/officeDocument/2006/relationships/image" Target="media/rId16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补充分析S1–S5</dc:title>
  <dc:creator/>
  <cp:keywords/>
  <dcterms:created xsi:type="dcterms:W3CDTF">2026-10-10T02:54:05Z</dcterms:created>
  <dcterms:modified xsi:type="dcterms:W3CDTF">2026-10-10T02:54:05Z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