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160" w:lineRule="auto"/>
        <w:rPr/>
      </w:pPr>
      <w:r w:rsidDel="00000000" w:rsidR="00000000" w:rsidRPr="00000000">
        <w:rPr>
          <w:rtl w:val="0"/>
        </w:rPr>
        <w:t xml:space="preserve"> </w:t>
      </w:r>
    </w:p>
    <w:p w:rsidR="00000000" w:rsidDel="00000000" w:rsidP="00000000" w:rsidRDefault="00000000" w:rsidRPr="00000000" w14:paraId="00000002">
      <w:pPr>
        <w:spacing w:after="120" w:before="120" w:lineRule="auto"/>
        <w:jc w:val="center"/>
        <w:rPr>
          <w:b w:val="1"/>
          <w:bCs w:val="1"/>
          <w:sz w:val="36"/>
          <w:szCs w:val="36"/>
        </w:rPr>
      </w:pPr>
      <w:r w:rsidDel="00000000" w:rsidR="00000000" w:rsidRPr="00000000">
        <w:rPr>
          <w:b w:val="1"/>
          <w:bCs w:val="1"/>
          <w:sz w:val="36"/>
          <w:szCs w:val="36"/>
          <w:rtl w:val="0"/>
        </w:rPr>
        <w:t xml:space="preserve">Machine Learning Governance Framework for</w:t>
      </w:r>
    </w:p>
    <w:p w:rsidR="00000000" w:rsidDel="00000000" w:rsidP="00000000" w:rsidRDefault="00000000" w:rsidRPr="00000000" w14:paraId="00000003">
      <w:pPr>
        <w:spacing w:after="120" w:before="120" w:lineRule="auto"/>
        <w:jc w:val="center"/>
        <w:rPr/>
      </w:pPr>
      <w:r w:rsidDel="00000000" w:rsidR="00000000" w:rsidRPr="00000000">
        <w:rPr>
          <w:b w:val="1"/>
          <w:bCs w:val="1"/>
          <w:sz w:val="36"/>
          <w:szCs w:val="36"/>
          <w:rtl w:val="0"/>
        </w:rPr>
        <w:t xml:space="preserve">Diagnostic Systems in Healthcare</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Rule="auto"/>
        <w:jc w:val="cente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Rule="auto"/>
        <w:jc w:val="cente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6">
      <w:pPr>
        <w:spacing w:after="120" w:before="120" w:lineRule="auto"/>
        <w:jc w:val="center"/>
        <w:rPr>
          <w:color w:val="555555"/>
        </w:rPr>
      </w:pPr>
      <w:r w:rsidDel="00000000" w:rsidR="00000000" w:rsidRPr="00000000">
        <w:rPr>
          <w:color w:val="555555"/>
          <w:rtl w:val="0"/>
        </w:rPr>
        <w:t xml:space="preserve">Prepared by</w:t>
      </w:r>
    </w:p>
    <w:p w:rsidR="00000000" w:rsidDel="00000000" w:rsidP="00000000" w:rsidRDefault="00000000" w:rsidRPr="00000000" w14:paraId="00000007">
      <w:pPr>
        <w:spacing w:after="120" w:before="120" w:lineRule="auto"/>
        <w:jc w:val="center"/>
        <w:rPr>
          <w:b w:val="1"/>
          <w:bCs w:val="1"/>
          <w:sz w:val="28"/>
          <w:szCs w:val="28"/>
        </w:rPr>
      </w:pPr>
      <w:r w:rsidDel="00000000" w:rsidR="00000000" w:rsidRPr="00000000">
        <w:rPr>
          <w:b w:val="1"/>
          <w:bCs w:val="1"/>
          <w:sz w:val="28"/>
          <w:szCs w:val="28"/>
          <w:rtl w:val="0"/>
        </w:rPr>
        <w:t xml:space="preserve">Dr. Merhout Corporation</w:t>
      </w:r>
    </w:p>
    <w:p w:rsidR="00000000" w:rsidDel="00000000" w:rsidP="00000000" w:rsidRDefault="00000000" w:rsidRPr="00000000" w14:paraId="00000008">
      <w:pPr>
        <w:spacing w:before="400" w:lineRule="auto"/>
        <w:rPr/>
      </w:pPr>
      <w:r w:rsidDel="00000000" w:rsidR="00000000" w:rsidRPr="00000000">
        <w:rPr>
          <w:rtl w:val="0"/>
        </w:rPr>
        <w:t xml:space="preserve"> </w:t>
      </w:r>
    </w:p>
    <w:p w:rsidR="00000000" w:rsidDel="00000000" w:rsidP="00000000" w:rsidRDefault="00000000" w:rsidRPr="00000000" w14:paraId="00000009">
      <w:pPr>
        <w:spacing w:after="80" w:before="80" w:lineRule="auto"/>
        <w:jc w:val="center"/>
        <w:rPr>
          <w:i w:val="1"/>
          <w:iCs w:val="1"/>
        </w:rPr>
      </w:pPr>
      <w:r w:rsidDel="00000000" w:rsidR="00000000" w:rsidRPr="00000000">
        <w:rPr>
          <w:i w:val="1"/>
          <w:iCs w:val="1"/>
          <w:rtl w:val="0"/>
        </w:rPr>
        <w:t xml:space="preserve">Team Members</w:t>
      </w:r>
    </w:p>
    <w:p w:rsidR="00000000" w:rsidDel="00000000" w:rsidP="00000000" w:rsidRDefault="00000000" w:rsidRPr="00000000" w14:paraId="0000000A">
      <w:pPr>
        <w:spacing w:after="120" w:before="120" w:lineRule="auto"/>
        <w:jc w:val="center"/>
        <w:rPr/>
      </w:pPr>
      <w:r w:rsidDel="00000000" w:rsidR="00000000" w:rsidRPr="00000000">
        <w:rPr>
          <w:rtl w:val="0"/>
        </w:rPr>
        <w:t xml:space="preserve">Athan Rodrigues</w:t>
      </w:r>
    </w:p>
    <w:p w:rsidR="00000000" w:rsidDel="00000000" w:rsidP="00000000" w:rsidRDefault="00000000" w:rsidRPr="00000000" w14:paraId="0000000B">
      <w:pPr>
        <w:spacing w:after="120" w:before="120" w:lineRule="auto"/>
        <w:jc w:val="center"/>
        <w:rPr/>
      </w:pPr>
      <w:r w:rsidDel="00000000" w:rsidR="00000000" w:rsidRPr="00000000">
        <w:rPr>
          <w:rtl w:val="0"/>
        </w:rPr>
        <w:t xml:space="preserve">Cole LaCamera</w:t>
      </w:r>
    </w:p>
    <w:p w:rsidR="00000000" w:rsidDel="00000000" w:rsidP="00000000" w:rsidRDefault="00000000" w:rsidRPr="00000000" w14:paraId="0000000C">
      <w:pPr>
        <w:spacing w:after="120" w:before="120" w:lineRule="auto"/>
        <w:jc w:val="center"/>
        <w:rPr/>
      </w:pPr>
      <w:r w:rsidDel="00000000" w:rsidR="00000000" w:rsidRPr="00000000">
        <w:rPr>
          <w:rtl w:val="0"/>
        </w:rPr>
        <w:t xml:space="preserve">Megan Watson</w:t>
      </w:r>
    </w:p>
    <w:p w:rsidR="00000000" w:rsidDel="00000000" w:rsidP="00000000" w:rsidRDefault="00000000" w:rsidRPr="00000000" w14:paraId="0000000D">
      <w:pPr>
        <w:spacing w:before="560" w:lineRule="auto"/>
        <w:rPr/>
      </w:pPr>
      <w:r w:rsidDel="00000000" w:rsidR="00000000" w:rsidRPr="00000000">
        <w:rPr>
          <w:rtl w:val="0"/>
        </w:rPr>
        <w:t xml:space="preserve"> </w:t>
      </w:r>
    </w:p>
    <w:p w:rsidR="00000000" w:rsidDel="00000000" w:rsidP="00000000" w:rsidRDefault="00000000" w:rsidRPr="00000000" w14:paraId="0000000E">
      <w:pPr>
        <w:spacing w:after="120" w:before="120" w:lineRule="auto"/>
        <w:jc w:val="center"/>
        <w:rPr/>
      </w:pPr>
      <w:r w:rsidDel="00000000" w:rsidR="00000000" w:rsidRPr="00000000">
        <w:rPr>
          <w:rtl w:val="0"/>
        </w:rPr>
        <w:t xml:space="preserve">ISA/ACC 305 — IT Governance Framework</w:t>
      </w:r>
    </w:p>
    <w:p w:rsidR="00000000" w:rsidDel="00000000" w:rsidP="00000000" w:rsidRDefault="00000000" w:rsidRPr="00000000" w14:paraId="0000000F">
      <w:pPr>
        <w:spacing w:after="120" w:before="120" w:lineRule="auto"/>
        <w:jc w:val="center"/>
        <w:rPr/>
      </w:pPr>
      <w:r w:rsidDel="00000000" w:rsidR="00000000" w:rsidRPr="00000000">
        <w:rPr>
          <w:rtl w:val="0"/>
        </w:rPr>
        <w:t xml:space="preserve">Professor: Dr. Merhout</w:t>
      </w:r>
    </w:p>
    <w:p w:rsidR="00000000" w:rsidDel="00000000" w:rsidP="00000000" w:rsidRDefault="00000000" w:rsidRPr="00000000" w14:paraId="00000010">
      <w:pPr>
        <w:spacing w:after="120" w:before="120" w:lineRule="auto"/>
        <w:jc w:val="center"/>
        <w:rPr/>
      </w:pPr>
      <w:r w:rsidDel="00000000" w:rsidR="00000000" w:rsidRPr="00000000">
        <w:rPr>
          <w:rtl w:val="0"/>
        </w:rPr>
        <w:t xml:space="preserve">March 19,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line="191.9997391304348" w:lineRule="auto"/>
        <w:rPr>
          <w:b w:val="0"/>
          <w:bCs w:val="0"/>
          <w:sz w:val="24"/>
          <w:szCs w:val="24"/>
        </w:rPr>
      </w:pPr>
      <w:bookmarkStart w:colFirst="0" w:colLast="0" w:name="_4yol9sv8dok8" w:id="0"/>
      <w:bookmarkEnd w:id="0"/>
      <w:r w:rsidDel="00000000" w:rsidR="00000000" w:rsidRPr="00000000">
        <w:rPr>
          <w:rtl w:val="0"/>
        </w:rPr>
      </w:r>
    </w:p>
    <w:p w:rsidR="00000000" w:rsidDel="00000000" w:rsidP="00000000" w:rsidRDefault="00000000" w:rsidRPr="00000000" w14:paraId="00000017">
      <w:pPr>
        <w:pStyle w:val="Heading1"/>
        <w:spacing w:after="100" w:line="360" w:lineRule="auto"/>
        <w:rPr>
          <w:b w:val="0"/>
          <w:bCs w:val="0"/>
          <w:sz w:val="24"/>
          <w:szCs w:val="24"/>
        </w:rPr>
      </w:pPr>
      <w:bookmarkStart w:colFirst="0" w:colLast="0" w:name="_b12oauz0wy16" w:id="1"/>
      <w:bookmarkEnd w:id="1"/>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18">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Executive Summary</w:t>
      </w:r>
    </w:p>
    <w:p w:rsidR="00000000" w:rsidDel="00000000" w:rsidP="00000000" w:rsidRDefault="00000000" w:rsidRPr="00000000" w14:paraId="00000019">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1. Introduction and Context</w:t>
      </w:r>
    </w:p>
    <w:p w:rsidR="00000000" w:rsidDel="00000000" w:rsidP="00000000" w:rsidRDefault="00000000" w:rsidRPr="00000000" w14:paraId="0000001A">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2. Comprehensive IT Governance Definition for Healthcare ML</w:t>
      </w:r>
    </w:p>
    <w:p w:rsidR="00000000" w:rsidDel="00000000" w:rsidP="00000000" w:rsidRDefault="00000000" w:rsidRPr="00000000" w14:paraId="0000001B">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2.1 Foundational Governance Concepts</w:t>
      </w:r>
    </w:p>
    <w:p w:rsidR="00000000" w:rsidDel="00000000" w:rsidP="00000000" w:rsidRDefault="00000000" w:rsidRPr="00000000" w14:paraId="0000001C">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2.2 Working Definition</w:t>
      </w:r>
    </w:p>
    <w:p w:rsidR="00000000" w:rsidDel="00000000" w:rsidP="00000000" w:rsidRDefault="00000000" w:rsidRPr="00000000" w14:paraId="0000001D">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3. Critical Governance, Risk, and Security Issues</w:t>
      </w:r>
    </w:p>
    <w:p w:rsidR="00000000" w:rsidDel="00000000" w:rsidP="00000000" w:rsidRDefault="00000000" w:rsidRPr="00000000" w14:paraId="0000001E">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3.1 Data Quality &amp; Integrity Risk</w:t>
      </w:r>
    </w:p>
    <w:p w:rsidR="00000000" w:rsidDel="00000000" w:rsidP="00000000" w:rsidRDefault="00000000" w:rsidRPr="00000000" w14:paraId="0000001F">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3.2 Algorithmic Bias &amp; Health Equity</w:t>
      </w:r>
    </w:p>
    <w:p w:rsidR="00000000" w:rsidDel="00000000" w:rsidP="00000000" w:rsidRDefault="00000000" w:rsidRPr="00000000" w14:paraId="00000020">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3.3 Transparency &amp; Explainability</w:t>
      </w:r>
    </w:p>
    <w:p w:rsidR="00000000" w:rsidDel="00000000" w:rsidP="00000000" w:rsidRDefault="00000000" w:rsidRPr="00000000" w14:paraId="00000021">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3.4 Automation Bias</w:t>
      </w:r>
    </w:p>
    <w:p w:rsidR="00000000" w:rsidDel="00000000" w:rsidP="00000000" w:rsidRDefault="00000000" w:rsidRPr="00000000" w14:paraId="00000022">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3.5 Model Drift</w:t>
      </w:r>
    </w:p>
    <w:p w:rsidR="00000000" w:rsidDel="00000000" w:rsidP="00000000" w:rsidRDefault="00000000" w:rsidRPr="00000000" w14:paraId="00000023">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3.6 Clinical Accountability and Liability</w:t>
      </w:r>
    </w:p>
    <w:p w:rsidR="00000000" w:rsidDel="00000000" w:rsidP="00000000" w:rsidRDefault="00000000" w:rsidRPr="00000000" w14:paraId="00000024">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3.7 Privacy &amp; Cybersecurity</w:t>
      </w:r>
    </w:p>
    <w:p w:rsidR="00000000" w:rsidDel="00000000" w:rsidP="00000000" w:rsidRDefault="00000000" w:rsidRPr="00000000" w14:paraId="00000025">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3.8 Regulatory Compliance</w:t>
      </w:r>
    </w:p>
    <w:p w:rsidR="00000000" w:rsidDel="00000000" w:rsidP="00000000" w:rsidRDefault="00000000" w:rsidRPr="00000000" w14:paraId="00000026">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3.9 Vendor Risk</w:t>
      </w:r>
    </w:p>
    <w:p w:rsidR="00000000" w:rsidDel="00000000" w:rsidP="00000000" w:rsidRDefault="00000000" w:rsidRPr="00000000" w14:paraId="00000027">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4. Integrated ML Governance Framework</w:t>
      </w:r>
    </w:p>
    <w:p w:rsidR="00000000" w:rsidDel="00000000" w:rsidP="00000000" w:rsidRDefault="00000000" w:rsidRPr="00000000" w14:paraId="00000028">
      <w:pPr>
        <w:pStyle w:val="Heading1"/>
        <w:spacing w:after="100" w:line="360" w:lineRule="auto"/>
        <w:ind w:left="48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Tier 1: AI Governance Strategy Committee (Strategic)</w:t>
      </w:r>
    </w:p>
    <w:p w:rsidR="00000000" w:rsidDel="00000000" w:rsidP="00000000" w:rsidRDefault="00000000" w:rsidRPr="00000000" w14:paraId="00000029">
      <w:pPr>
        <w:pStyle w:val="Heading1"/>
        <w:spacing w:after="100" w:line="360" w:lineRule="auto"/>
        <w:ind w:left="48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Tier 2: ML Diagnostic Review Committee (Operational)</w:t>
      </w:r>
    </w:p>
    <w:p w:rsidR="00000000" w:rsidDel="00000000" w:rsidP="00000000" w:rsidRDefault="00000000" w:rsidRPr="00000000" w14:paraId="0000002A">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4.2 Risk Classification Model</w:t>
      </w:r>
    </w:p>
    <w:p w:rsidR="00000000" w:rsidDel="00000000" w:rsidP="00000000" w:rsidRDefault="00000000" w:rsidRPr="00000000" w14:paraId="0000002B">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4.3 Lifecycle Governance</w:t>
      </w:r>
    </w:p>
    <w:p w:rsidR="00000000" w:rsidDel="00000000" w:rsidP="00000000" w:rsidRDefault="00000000" w:rsidRPr="00000000" w14:paraId="0000002C">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4.4 Cross-Cutting Functions</w:t>
      </w:r>
    </w:p>
    <w:p w:rsidR="00000000" w:rsidDel="00000000" w:rsidP="00000000" w:rsidRDefault="00000000" w:rsidRPr="00000000" w14:paraId="0000002D">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5. Implementation Guidance</w:t>
      </w:r>
    </w:p>
    <w:p w:rsidR="00000000" w:rsidDel="00000000" w:rsidP="00000000" w:rsidRDefault="00000000" w:rsidRPr="00000000" w14:paraId="0000002E">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5.1 Phase 1: Governance Foundation</w:t>
      </w:r>
    </w:p>
    <w:p w:rsidR="00000000" w:rsidDel="00000000" w:rsidP="00000000" w:rsidRDefault="00000000" w:rsidRPr="00000000" w14:paraId="0000002F">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5.1 Phase 2: Core Lifecycle Controls</w:t>
      </w:r>
    </w:p>
    <w:p w:rsidR="00000000" w:rsidDel="00000000" w:rsidP="00000000" w:rsidRDefault="00000000" w:rsidRPr="00000000" w14:paraId="00000030">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5.2 Phase 3: Advanced Monitoring and Bias Surveillance</w:t>
      </w:r>
    </w:p>
    <w:p w:rsidR="00000000" w:rsidDel="00000000" w:rsidP="00000000" w:rsidRDefault="00000000" w:rsidRPr="00000000" w14:paraId="00000031">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5.3 Phase 4: Optimization and Benchmarking</w:t>
      </w:r>
    </w:p>
    <w:p w:rsidR="00000000" w:rsidDel="00000000" w:rsidP="00000000" w:rsidRDefault="00000000" w:rsidRPr="00000000" w14:paraId="00000032">
      <w:pPr>
        <w:pStyle w:val="Heading1"/>
        <w:spacing w:after="100" w:line="360" w:lineRule="auto"/>
        <w:ind w:left="240" w:firstLine="0"/>
        <w:rPr>
          <w:b w:val="0"/>
          <w:bCs w:val="0"/>
          <w:sz w:val="24"/>
          <w:szCs w:val="24"/>
        </w:rPr>
      </w:pPr>
      <w:bookmarkStart w:colFirst="0" w:colLast="0" w:name="_b12oauz0wy16" w:id="1"/>
      <w:bookmarkEnd w:id="1"/>
      <w:r w:rsidDel="00000000" w:rsidR="00000000" w:rsidRPr="00000000">
        <w:rPr>
          <w:b w:val="0"/>
          <w:bCs w:val="0"/>
          <w:sz w:val="24"/>
          <w:szCs w:val="24"/>
          <w:rtl w:val="0"/>
        </w:rPr>
        <w:t xml:space="preserve">5.4 Success Metrics</w:t>
      </w:r>
    </w:p>
    <w:p w:rsidR="00000000" w:rsidDel="00000000" w:rsidP="00000000" w:rsidRDefault="00000000" w:rsidRPr="00000000" w14:paraId="00000033">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Conclusion</w:t>
      </w:r>
    </w:p>
    <w:p w:rsidR="00000000" w:rsidDel="00000000" w:rsidP="00000000" w:rsidRDefault="00000000" w:rsidRPr="00000000" w14:paraId="00000034">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Appendix A. References</w:t>
      </w:r>
    </w:p>
    <w:p w:rsidR="00000000" w:rsidDel="00000000" w:rsidP="00000000" w:rsidRDefault="00000000" w:rsidRPr="00000000" w14:paraId="00000035">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Appendix B. Plagiarism Pledge</w:t>
      </w:r>
    </w:p>
    <w:p w:rsidR="00000000" w:rsidDel="00000000" w:rsidP="00000000" w:rsidRDefault="00000000" w:rsidRPr="00000000" w14:paraId="00000036">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Appendix C. AI Usage Statement</w:t>
      </w:r>
    </w:p>
    <w:p w:rsidR="00000000" w:rsidDel="00000000" w:rsidP="00000000" w:rsidRDefault="00000000" w:rsidRPr="00000000" w14:paraId="00000037">
      <w:pPr>
        <w:pStyle w:val="Heading1"/>
        <w:spacing w:after="100" w:line="360" w:lineRule="auto"/>
        <w:rPr>
          <w:b w:val="0"/>
          <w:bCs w:val="0"/>
          <w:sz w:val="24"/>
          <w:szCs w:val="24"/>
        </w:rPr>
      </w:pPr>
      <w:bookmarkStart w:colFirst="0" w:colLast="0" w:name="_b12oauz0wy16" w:id="1"/>
      <w:bookmarkEnd w:id="1"/>
      <w:r w:rsidDel="00000000" w:rsidR="00000000" w:rsidRPr="00000000">
        <w:rPr>
          <w:b w:val="0"/>
          <w:bCs w:val="0"/>
          <w:sz w:val="24"/>
          <w:szCs w:val="24"/>
          <w:rtl w:val="0"/>
        </w:rPr>
        <w:t xml:space="preserve">Appendix D. Team A2 Meeting Log</w:t>
      </w:r>
    </w:p>
    <w:p w:rsidR="00000000" w:rsidDel="00000000" w:rsidP="00000000" w:rsidRDefault="00000000" w:rsidRPr="00000000" w14:paraId="00000038">
      <w:pPr>
        <w:pStyle w:val="Heading1"/>
        <w:spacing w:after="100" w:line="360" w:lineRule="auto"/>
        <w:rPr>
          <w:b w:val="0"/>
          <w:bCs w:val="0"/>
          <w:sz w:val="24"/>
          <w:szCs w:val="24"/>
        </w:rPr>
      </w:pPr>
      <w:bookmarkStart w:colFirst="0" w:colLast="0" w:name="_1gihc75s7i9m" w:id="2"/>
      <w:bookmarkEnd w:id="2"/>
      <w:r w:rsidDel="00000000" w:rsidR="00000000" w:rsidRPr="00000000">
        <w:rPr>
          <w:b w:val="0"/>
          <w:bCs w:val="0"/>
          <w:sz w:val="24"/>
          <w:szCs w:val="24"/>
          <w:rtl w:val="0"/>
        </w:rPr>
        <w:t xml:space="preserve">Appendix E. ACC/ISA 305 Information IT Governance Framework Project Checklist</w:t>
      </w:r>
    </w:p>
    <w:p w:rsidR="00000000" w:rsidDel="00000000" w:rsidP="00000000" w:rsidRDefault="00000000" w:rsidRPr="00000000" w14:paraId="00000039">
      <w:pPr>
        <w:pStyle w:val="Heading1"/>
        <w:spacing w:line="360" w:lineRule="auto"/>
        <w:rPr/>
      </w:pPr>
      <w:bookmarkStart w:colFirst="0" w:colLast="0" w:name="_akjt37hi5x9i"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b12oauz0wy16" w:id="1"/>
      <w:bookmarkEnd w:id="1"/>
      <w:r w:rsidDel="00000000" w:rsidR="00000000" w:rsidRPr="00000000">
        <w:rPr>
          <w:rtl w:val="0"/>
        </w:rPr>
      </w:r>
    </w:p>
    <w:p w:rsidR="00000000" w:rsidDel="00000000" w:rsidP="00000000" w:rsidRDefault="00000000" w:rsidRPr="00000000" w14:paraId="0000003B">
      <w:pPr>
        <w:pStyle w:val="Heading1"/>
        <w:spacing w:line="360" w:lineRule="auto"/>
        <w:rPr/>
      </w:pPr>
      <w:bookmarkStart w:colFirst="0" w:colLast="0" w:name="_5sxwuphagvma" w:id="4"/>
      <w:bookmarkEnd w:id="4"/>
      <w:r w:rsidDel="00000000" w:rsidR="00000000" w:rsidRPr="00000000">
        <w:rPr>
          <w:rtl w:val="0"/>
        </w:rPr>
        <w:t xml:space="preserve">Executive Summary</w:t>
      </w:r>
    </w:p>
    <w:p w:rsidR="00000000" w:rsidDel="00000000" w:rsidP="00000000" w:rsidRDefault="00000000" w:rsidRPr="00000000" w14:paraId="0000003C">
      <w:pPr>
        <w:spacing w:line="360" w:lineRule="auto"/>
        <w:rPr/>
      </w:pPr>
      <w:r w:rsidDel="00000000" w:rsidR="00000000" w:rsidRPr="00000000">
        <w:rPr>
          <w:rtl w:val="0"/>
        </w:rPr>
        <w:t xml:space="preserve">Machine learning is quickly becoming part of everyday diagnosis in healthcare, but it does not behave like the IT systems most hospitals are used to managing. Models are probabilistic, they drift as data and practice change, and they often function as “black boxes” that are hard to explain to clinicians or patients. In a clinical setting, that combination means a governance miss is not just a workflow problem; it can harm patients, deepen existing inequities, and create real regulatory and liability exposure for the organization.</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t xml:space="preserve">This paper takes that problem and treats it as a governance question, not just a data science challenge. We start by grounding our work in established IT governance ideas around decision rights, accountability, and enterprise risk management, then adapt those concepts to ML‑enabled diagnostics. From there, we walk through the major risk domains we see in practice—data quality, algorithmic bias and health equity, transparency and explainability, automation bias, model drift, clinical accountability and liability, privacy and cybersecurity, regulatory compliance, and vendor risk, and for each one, we outline practical controls that a health system can actually put in place. Those controls include independent validation, bias audits, minimum explainability expectations, explicit human‑in‑the‑loop requirements, and clear documentation wherever AI influences a diagnostic decision.</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On top of the individual controls, we recommend an integrated governance setup with three layers: an AI Governance Strategy Committee that sets direction and approves high‑risk tools, an ML Diagnostic Review Committee that does the detailed review and ongoing oversight, and Clinical AI Implementation Teams in each service line that handle integration, training, and feedback. A simple risk‑tiering model (high, moderate, lower risk) helps match the level of scrutiny to the potential impact of each system, so scarce governance time is focused where it matters most. We also treat ML diagnostics as lifecycle assets, with expectations for pre‑deployment review, phased rollout, continuous monitoring, drift and bias surveillance, and clear “stop rules” for when a tool needs to be retrained, narrowed, or retired.</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Finally, we lay out a phased implementation roadmap and a set of success metrics that organizations can use to track whether this framework is doing its job. These include process measures (how many tools go through formal intake, how many are actively monitored, how many clinicians are trained), clinical and safety outcomes (diagnostic accuracy, adverse events, alert fatigue), equity measures (performance across patient groups), and strategic indicators (alignment with priorities and value realized from AI investments). The goal is to give healthcare leaders something concrete to work with: a way to get the benefits of ML‑enabled diagnostics, more consistent, accurate, and timely care, while maintaining patient safety, supporting clinician judgment, and keeping up with a fast‑moving regulatory environment.</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pStyle w:val="Heading1"/>
        <w:keepNext w:val="0"/>
        <w:keepLines w:val="0"/>
        <w:spacing w:line="360" w:lineRule="auto"/>
        <w:rPr/>
      </w:pPr>
      <w:bookmarkStart w:colFirst="0" w:colLast="0" w:name="_9ndxn7p54x8c" w:id="5"/>
      <w:bookmarkEnd w:id="5"/>
      <w:r w:rsidDel="00000000" w:rsidR="00000000" w:rsidRPr="00000000">
        <w:rPr>
          <w:rtl w:val="0"/>
        </w:rPr>
        <w:t xml:space="preserve">1. Introduction and Context</w:t>
      </w:r>
    </w:p>
    <w:p w:rsidR="00000000" w:rsidDel="00000000" w:rsidP="00000000" w:rsidRDefault="00000000" w:rsidRPr="00000000" w14:paraId="00000047">
      <w:pPr>
        <w:spacing w:line="360" w:lineRule="auto"/>
        <w:rPr/>
      </w:pPr>
      <w:r w:rsidDel="00000000" w:rsidR="00000000" w:rsidRPr="00000000">
        <w:rPr>
          <w:rtl w:val="0"/>
        </w:rPr>
        <w:t xml:space="preserve">We are a team of GRC consultants from Redhawk Risk + Cyber, contracted by Dr. Merhout Corporation, to create an IT Governance framework to manage risks stemming from machine learning (ML) diagnostic systems in healthcare provider settings. Machine learning is changing how clinicians diagnose and treat patients. Across radiology, pathology, dermatology, and predictive risk modeling, ML systems can detect patterns that humans might miss and bring more consistency to diagnosing complex or overlapping conditions. </w:t>
      </w:r>
    </w:p>
    <w:p w:rsidR="00000000" w:rsidDel="00000000" w:rsidP="00000000" w:rsidRDefault="00000000" w:rsidRPr="00000000" w14:paraId="00000048">
      <w:pPr>
        <w:spacing w:line="360" w:lineRule="auto"/>
        <w:rPr/>
      </w:pPr>
      <w:r w:rsidDel="00000000" w:rsidR="00000000" w:rsidRPr="00000000">
        <w:rPr>
          <w:rtl w:val="0"/>
        </w:rPr>
        <w:t xml:space="preserve"> </w:t>
      </w:r>
    </w:p>
    <w:p w:rsidR="00000000" w:rsidDel="00000000" w:rsidP="00000000" w:rsidRDefault="00000000" w:rsidRPr="00000000" w14:paraId="00000049">
      <w:pPr>
        <w:pStyle w:val="Heading1"/>
        <w:keepNext w:val="0"/>
        <w:keepLines w:val="0"/>
        <w:spacing w:line="360" w:lineRule="auto"/>
        <w:rPr/>
      </w:pPr>
      <w:bookmarkStart w:colFirst="0" w:colLast="0" w:name="_4ru8a6z505i9" w:id="6"/>
      <w:bookmarkEnd w:id="6"/>
      <w:r w:rsidDel="00000000" w:rsidR="00000000" w:rsidRPr="00000000">
        <w:rPr>
          <w:rtl w:val="0"/>
        </w:rPr>
        <w:t xml:space="preserve">2. Comprehensive IT Governance Definition for Healthcare ML</w:t>
      </w:r>
    </w:p>
    <w:p w:rsidR="00000000" w:rsidDel="00000000" w:rsidP="00000000" w:rsidRDefault="00000000" w:rsidRPr="00000000" w14:paraId="0000004A">
      <w:pPr>
        <w:pStyle w:val="Heading2"/>
        <w:keepNext w:val="0"/>
        <w:keepLines w:val="0"/>
        <w:spacing w:line="360" w:lineRule="auto"/>
        <w:rPr/>
      </w:pPr>
      <w:bookmarkStart w:colFirst="0" w:colLast="0" w:name="_eam7yhvsmkl3" w:id="7"/>
      <w:bookmarkEnd w:id="7"/>
      <w:r w:rsidDel="00000000" w:rsidR="00000000" w:rsidRPr="00000000">
        <w:rPr>
          <w:rtl w:val="0"/>
        </w:rPr>
        <w:t xml:space="preserve">2.1 Foundational Governance Concepts</w:t>
      </w:r>
    </w:p>
    <w:p w:rsidR="00000000" w:rsidDel="00000000" w:rsidP="00000000" w:rsidRDefault="00000000" w:rsidRPr="00000000" w14:paraId="0000004B">
      <w:pPr>
        <w:spacing w:line="360" w:lineRule="auto"/>
        <w:rPr/>
      </w:pPr>
      <w:r w:rsidDel="00000000" w:rsidR="00000000" w:rsidRPr="00000000">
        <w:rPr>
          <w:rtl w:val="0"/>
        </w:rPr>
        <w:t xml:space="preserve">ISACA defines IT governance as the system by which leadership evaluates, directs, and monitors the use of IT to achieve organizational goals, deliver value, and manage risk (ISACA, 2019). Weill (2004) is more specific and frames governance around decision rights, arguing that effective IT governance is about specifying who makes the decisions and who takes accountability for those definitions</w:t>
      </w:r>
      <w:r w:rsidDel="00000000" w:rsidR="00000000" w:rsidRPr="00000000">
        <w:rPr>
          <w:rtl w:val="0"/>
        </w:rPr>
        <w:t xml:space="preserve">. COSO (2018) takes a broader view, positioning governance as something that needs to be built into enterprise-wide risk management rather than handled as a standalone IT function.</w:t>
      </w:r>
    </w:p>
    <w:p w:rsidR="00000000" w:rsidDel="00000000" w:rsidP="00000000" w:rsidRDefault="00000000" w:rsidRPr="00000000" w14:paraId="0000004C">
      <w:pPr>
        <w:spacing w:line="360" w:lineRule="auto"/>
        <w:rPr/>
      </w:pPr>
      <w:r w:rsidDel="00000000" w:rsidR="00000000" w:rsidRPr="00000000">
        <w:rPr>
          <w:rtl w:val="0"/>
        </w:rPr>
        <w:t xml:space="preserve"> </w:t>
      </w:r>
    </w:p>
    <w:p w:rsidR="00000000" w:rsidDel="00000000" w:rsidP="00000000" w:rsidRDefault="00000000" w:rsidRPr="00000000" w14:paraId="0000004D">
      <w:pPr>
        <w:pStyle w:val="Heading2"/>
        <w:keepNext w:val="0"/>
        <w:keepLines w:val="0"/>
        <w:spacing w:line="360" w:lineRule="auto"/>
        <w:rPr/>
      </w:pPr>
      <w:bookmarkStart w:colFirst="0" w:colLast="0" w:name="_hrh0yn1m10g9" w:id="8"/>
      <w:bookmarkEnd w:id="8"/>
      <w:r w:rsidDel="00000000" w:rsidR="00000000" w:rsidRPr="00000000">
        <w:rPr>
          <w:rtl w:val="0"/>
        </w:rPr>
        <w:t xml:space="preserve">2.2 Working Definition</w:t>
      </w:r>
    </w:p>
    <w:p w:rsidR="00000000" w:rsidDel="00000000" w:rsidP="00000000" w:rsidRDefault="00000000" w:rsidRPr="00000000" w14:paraId="0000004E">
      <w:pPr>
        <w:spacing w:line="360" w:lineRule="auto"/>
        <w:rPr/>
      </w:pPr>
      <w:r w:rsidDel="00000000" w:rsidR="00000000" w:rsidRPr="00000000">
        <w:rPr>
          <w:rtl w:val="0"/>
        </w:rPr>
        <w:t xml:space="preserve">We define IT governance as the system of organizational structures, policies, decision rights, and accountability tools that leadership directs and controls to ensure IT can deliver value, manage risk, and align with strategic objectives (ISACA, 2019; Weill, 2004; COSO, 2018).</w:t>
      </w:r>
      <w:r w:rsidDel="00000000" w:rsidR="00000000" w:rsidRPr="00000000">
        <w:rPr>
          <w:rtl w:val="0"/>
        </w:rPr>
        <w:t xml:space="preserve"> For our purposes, this definition guides how we build a framework that is structured, accountable, and integrated with enterprise risk management across the full lifecycle of ML diagnostic systems.</w:t>
      </w:r>
    </w:p>
    <w:p w:rsidR="00000000" w:rsidDel="00000000" w:rsidP="00000000" w:rsidRDefault="00000000" w:rsidRPr="00000000" w14:paraId="0000004F">
      <w:pPr>
        <w:pStyle w:val="Heading1"/>
        <w:spacing w:line="360" w:lineRule="auto"/>
        <w:rPr/>
      </w:pPr>
      <w:bookmarkStart w:colFirst="0" w:colLast="0" w:name="_ikm9bapz0yit" w:id="9"/>
      <w:bookmarkEnd w:id="9"/>
      <w:r w:rsidDel="00000000" w:rsidR="00000000" w:rsidRPr="00000000">
        <w:rPr>
          <w:rtl w:val="0"/>
        </w:rPr>
      </w:r>
    </w:p>
    <w:p w:rsidR="00000000" w:rsidDel="00000000" w:rsidP="00000000" w:rsidRDefault="00000000" w:rsidRPr="00000000" w14:paraId="00000050">
      <w:pPr>
        <w:pStyle w:val="Heading1"/>
        <w:spacing w:line="360" w:lineRule="auto"/>
        <w:rPr/>
      </w:pPr>
      <w:bookmarkStart w:colFirst="0" w:colLast="0" w:name="_vv6srobtrtih" w:id="10"/>
      <w:bookmarkEnd w:id="10"/>
      <w:r w:rsidDel="00000000" w:rsidR="00000000" w:rsidRPr="00000000">
        <w:rPr>
          <w:rtl w:val="0"/>
        </w:rPr>
        <w:t xml:space="preserve">3. Critical Governance, Risk, and Security Issues</w:t>
      </w:r>
    </w:p>
    <w:p w:rsidR="00000000" w:rsidDel="00000000" w:rsidP="00000000" w:rsidRDefault="00000000" w:rsidRPr="00000000" w14:paraId="0000005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1kvbwuuj1s3m" w:id="11"/>
      <w:bookmarkEnd w:id="11"/>
      <w:r w:rsidDel="00000000" w:rsidR="00000000" w:rsidRPr="00000000">
        <w:rPr>
          <w:rtl w:val="0"/>
        </w:rPr>
        <w:t xml:space="preserve">3.1 Data Quality &amp; Integrity Risk</w:t>
      </w:r>
    </w:p>
    <w:p w:rsidR="00000000" w:rsidDel="00000000" w:rsidP="00000000" w:rsidRDefault="00000000" w:rsidRPr="00000000" w14:paraId="00000052">
      <w:pPr>
        <w:spacing w:line="360" w:lineRule="auto"/>
        <w:rPr/>
      </w:pPr>
      <w:r w:rsidDel="00000000" w:rsidR="00000000" w:rsidRPr="00000000">
        <w:rPr>
          <w:rtl w:val="0"/>
        </w:rPr>
        <w:t xml:space="preserve">To have a reliable machine learning diagnostic system, you need reliable training data. In healthcare, data quality is more of a patient safety issue than it is a technical problem. Three risks demand governance attention: non-representative datasets, equipment-specific limitations, and data drift. With how diverse healthcare is in America, models may not be able to perform well everywhere. If a model trained on data from large academic centers they could not work as well in rural settings where patient demographics and documentation practices differ (Jarmakovica, 2025). Hardware may also be a problem. Imaging models that were validated and work on one hardware configuration may degrade when deployed on equipment with different resolutions or calibration profiles. With the wide variety of funding for different hospitals, this can create a larger problem. Data drift is when there is a statistical divergence between training data and actual inputs. This will further hurt the model's reliability unless there is constant monitoring (Miller et al., 2024).</w:t>
      </w:r>
    </w:p>
    <w:p w:rsidR="00000000" w:rsidDel="00000000" w:rsidP="00000000" w:rsidRDefault="00000000" w:rsidRPr="00000000" w14:paraId="0000005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24"/>
          <w:szCs w:val="24"/>
        </w:rPr>
      </w:pPr>
      <w:bookmarkStart w:colFirst="0" w:colLast="0" w:name="_etvgyej62ki" w:id="12"/>
      <w:bookmarkEnd w:id="12"/>
      <w:r w:rsidDel="00000000" w:rsidR="00000000" w:rsidRPr="00000000">
        <w:rPr>
          <w:rtl w:val="0"/>
        </w:rPr>
      </w:r>
    </w:p>
    <w:p w:rsidR="00000000" w:rsidDel="00000000" w:rsidP="00000000" w:rsidRDefault="00000000" w:rsidRPr="00000000" w14:paraId="00000054">
      <w:pPr>
        <w:spacing w:line="360" w:lineRule="auto"/>
        <w:rPr>
          <w:color w:val="ff0000"/>
        </w:rPr>
      </w:pPr>
      <w:r w:rsidDel="00000000" w:rsidR="00000000" w:rsidRPr="00000000">
        <w:rPr>
          <w:sz w:val="24"/>
          <w:szCs w:val="24"/>
          <w:rtl w:val="0"/>
        </w:rPr>
        <w:t xml:space="preserve">All training data must be well-documented with standardized metadata, including demographics and equipment specifications. It should be reviewed by the ML Diagnostic Review Committee (MLRC) before approval. Independent validation would also be required before deployment. After it is approved and deployed, it would require constant monitoring, which tracks input data characteristics against training baselines. If anything is significantly different, a review by the MLRC would be required. </w:t>
      </w:r>
      <w:r w:rsidDel="00000000" w:rsidR="00000000" w:rsidRPr="00000000">
        <w:rPr>
          <w:color w:val="0000ff"/>
          <w:sz w:val="24"/>
          <w:szCs w:val="24"/>
          <w:rtl w:val="0"/>
        </w:rPr>
        <w:t xml:space="preserve">These controls align with COBIT 2019's Managed Data principle</w:t>
      </w:r>
      <w:r w:rsidDel="00000000" w:rsidR="00000000" w:rsidRPr="00000000">
        <w:rPr>
          <w:sz w:val="24"/>
          <w:szCs w:val="24"/>
          <w:rtl w:val="0"/>
        </w:rPr>
        <w:t xml:space="preserve"> and the </w:t>
      </w:r>
      <w:r w:rsidDel="00000000" w:rsidR="00000000" w:rsidRPr="00000000">
        <w:rPr>
          <w:color w:val="ff0000"/>
          <w:sz w:val="24"/>
          <w:szCs w:val="24"/>
          <w:rtl w:val="0"/>
        </w:rPr>
        <w:t xml:space="preserve">NIST AI RMF's Measure function</w:t>
      </w:r>
      <w:r w:rsidDel="00000000" w:rsidR="00000000" w:rsidRPr="00000000">
        <w:rPr>
          <w:color w:val="ff0000"/>
          <w:rtl w:val="0"/>
        </w:rPr>
        <w:t xml:space="preserve">.</w:t>
      </w:r>
    </w:p>
    <w:p w:rsidR="00000000" w:rsidDel="00000000" w:rsidP="00000000" w:rsidRDefault="00000000" w:rsidRPr="00000000" w14:paraId="0000005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p5aovfea1s11" w:id="13"/>
      <w:bookmarkEnd w:id="13"/>
      <w:r w:rsidDel="00000000" w:rsidR="00000000" w:rsidRPr="00000000">
        <w:rPr>
          <w:rtl w:val="0"/>
        </w:rPr>
      </w:r>
    </w:p>
    <w:p w:rsidR="00000000" w:rsidDel="00000000" w:rsidP="00000000" w:rsidRDefault="00000000" w:rsidRPr="00000000" w14:paraId="0000005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8fm8oqinwzoi" w:id="14"/>
      <w:bookmarkEnd w:id="14"/>
      <w:r w:rsidDel="00000000" w:rsidR="00000000" w:rsidRPr="00000000">
        <w:rPr>
          <w:rtl w:val="0"/>
        </w:rPr>
        <w:t xml:space="preserve">3.2 Algorithmic Bias &amp; Health Equity</w:t>
      </w:r>
    </w:p>
    <w:p w:rsidR="00000000" w:rsidDel="00000000" w:rsidP="00000000" w:rsidRDefault="00000000" w:rsidRPr="00000000" w14:paraId="00000057">
      <w:pPr>
        <w:spacing w:line="360" w:lineRule="auto"/>
        <w:rPr/>
      </w:pPr>
      <w:r w:rsidDel="00000000" w:rsidR="00000000" w:rsidRPr="00000000">
        <w:rPr>
          <w:rtl w:val="0"/>
        </w:rPr>
        <w:t xml:space="preserve">ML diagnostic systems can systematically harm underrepresented demographics if they aren't present in training data. In dermatology, neural networks trained mostly on images of white patients had roughly half the diagnostic accuracy for Black patients compared to reported benchmarks. This is a large gap, especially since Black patients face higher melanoma mortality rates (PMC, 2021). Bias can also arise during model development, evaluation, and deployment, making it a lifecycle-wide concern rather than a data collection problem alone (Cross &amp; Choma, 2024). The current lack of regulations makes this even worse. The FDA found that many AI device submissions didn’t have basic demographic data on test populations. This limited the independent bias assessment.</w:t>
      </w:r>
    </w:p>
    <w:p w:rsidR="00000000" w:rsidDel="00000000" w:rsidP="00000000" w:rsidRDefault="00000000" w:rsidRPr="00000000" w14:paraId="0000005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24"/>
          <w:szCs w:val="24"/>
        </w:rPr>
      </w:pPr>
      <w:bookmarkStart w:colFirst="0" w:colLast="0" w:name="_tgl9zpdztj3e" w:id="15"/>
      <w:bookmarkEnd w:id="15"/>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Bias audits performed by people independent of the development team are needed. Post-deployment dashboards need to monitor demographic performance constantly, with disparities triggering mandatory corrective review. Quarterly equity reports must be submitted to the MLRC and summarized in the AI Governance Steering Committee's (AGSC) annual review. These controls put into action NIST AI RMF's Govern and Manage functions and COSO ERM's risk response principles.</w:t>
      </w:r>
    </w:p>
    <w:p w:rsidR="00000000" w:rsidDel="00000000" w:rsidP="00000000" w:rsidRDefault="00000000" w:rsidRPr="00000000" w14:paraId="0000005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vncb2t55lkfp" w:id="16"/>
      <w:bookmarkEnd w:id="16"/>
      <w:r w:rsidDel="00000000" w:rsidR="00000000" w:rsidRPr="00000000">
        <w:rPr>
          <w:rtl w:val="0"/>
        </w:rPr>
      </w:r>
    </w:p>
    <w:p w:rsidR="00000000" w:rsidDel="00000000" w:rsidP="00000000" w:rsidRDefault="00000000" w:rsidRPr="00000000" w14:paraId="0000005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iyghcmvghx88" w:id="17"/>
      <w:bookmarkEnd w:id="17"/>
      <w:r w:rsidDel="00000000" w:rsidR="00000000" w:rsidRPr="00000000">
        <w:rPr>
          <w:rtl w:val="0"/>
        </w:rPr>
        <w:t xml:space="preserve">3.3 Transparency &amp; Explainability</w:t>
      </w:r>
    </w:p>
    <w:p w:rsidR="00000000" w:rsidDel="00000000" w:rsidP="00000000" w:rsidRDefault="00000000" w:rsidRPr="00000000" w14:paraId="0000005C">
      <w:pPr>
        <w:spacing w:line="360" w:lineRule="auto"/>
        <w:rPr/>
      </w:pPr>
      <w:r w:rsidDel="00000000" w:rsidR="00000000" w:rsidRPr="00000000">
        <w:rPr>
          <w:rtl w:val="0"/>
        </w:rPr>
        <w:t xml:space="preserve">High-performing ML diagnostic systems often act as "black boxes," producing outputs without being able to understand how they got there. The lack of transparency is bad for audits and client trust. Especially in a high-stakes field like healthcare, not being able to understand how the model got to its conclusion can add stress to an already stressful situation. Clinicians who cannot interpret a model's rationale cannot have independent judgment or anticipate failure conditions (Frontiers in Digital Health, 2025). Patients have a right to understand when algorithms influence their care. We can see this in GDPR's right-to-explanation provisions and evolving FDA guidance on Software as a Medical Device. Explainable AI techniques such as SHAP and LIME give an opportunity to understand the results from a model, but their use requires institutional governance mandates (IntechOpen, 2024).</w:t>
      </w:r>
    </w:p>
    <w:p w:rsidR="00000000" w:rsidDel="00000000" w:rsidP="00000000" w:rsidRDefault="00000000" w:rsidRPr="00000000" w14:paraId="0000005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24"/>
          <w:szCs w:val="24"/>
        </w:rPr>
      </w:pPr>
      <w:bookmarkStart w:colFirst="0" w:colLast="0" w:name="_ay2ea43pyc3" w:id="18"/>
      <w:bookmarkEnd w:id="18"/>
      <w:r w:rsidDel="00000000" w:rsidR="00000000" w:rsidRPr="00000000">
        <w:rPr>
          <w:rtl w:val="0"/>
        </w:rPr>
      </w:r>
    </w:p>
    <w:p w:rsidR="00000000" w:rsidDel="00000000" w:rsidP="00000000" w:rsidRDefault="00000000" w:rsidRPr="00000000" w14:paraId="0000005E">
      <w:pPr>
        <w:spacing w:line="360" w:lineRule="auto"/>
        <w:rPr>
          <w:color w:val="ff0000"/>
        </w:rPr>
      </w:pPr>
      <w:r w:rsidDel="00000000" w:rsidR="00000000" w:rsidRPr="00000000">
        <w:rPr>
          <w:rtl w:val="0"/>
        </w:rPr>
        <w:t xml:space="preserve">Governance Response: As models get riskier, there should be a higher and higher expectation of explainability. High-risk systems require prediction-level explanation outputs for use. Moderate-risk systems require global model behavior documentation. All ML diagnostic outputs must be logged with input data, active model version, and any explanation artifacts, retained per HIPAA record-keeping requirements. Vendor contracts must specify and explain deliverables. We should expect clinicians to go through some training to help in interpreting models. T</w:t>
      </w:r>
      <w:r w:rsidDel="00000000" w:rsidR="00000000" w:rsidRPr="00000000">
        <w:rPr>
          <w:color w:val="0000ff"/>
          <w:rtl w:val="0"/>
        </w:rPr>
        <w:t xml:space="preserve">hese controls reflect COBIT 2019's Managed IT Services principle</w:t>
      </w:r>
      <w:r w:rsidDel="00000000" w:rsidR="00000000" w:rsidRPr="00000000">
        <w:rPr>
          <w:rtl w:val="0"/>
        </w:rPr>
        <w:t xml:space="preserve"> and the </w:t>
      </w:r>
      <w:r w:rsidDel="00000000" w:rsidR="00000000" w:rsidRPr="00000000">
        <w:rPr>
          <w:color w:val="ff0000"/>
          <w:rtl w:val="0"/>
        </w:rPr>
        <w:t xml:space="preserve">NIST AI RMF's transparency mandate.</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pStyle w:val="Heading2"/>
        <w:spacing w:line="360" w:lineRule="auto"/>
        <w:rPr/>
      </w:pPr>
      <w:bookmarkStart w:colFirst="0" w:colLast="0" w:name="_71hncljc4ya7" w:id="19"/>
      <w:bookmarkEnd w:id="19"/>
      <w:r w:rsidDel="00000000" w:rsidR="00000000" w:rsidRPr="00000000">
        <w:rPr>
          <w:rtl w:val="0"/>
        </w:rPr>
        <w:t xml:space="preserve">3.4 Automation Bias</w:t>
      </w:r>
    </w:p>
    <w:p w:rsidR="00000000" w:rsidDel="00000000" w:rsidP="00000000" w:rsidRDefault="00000000" w:rsidRPr="00000000" w14:paraId="00000061">
      <w:pPr>
        <w:spacing w:line="360" w:lineRule="auto"/>
        <w:rPr/>
      </w:pPr>
      <w:r w:rsidDel="00000000" w:rsidR="00000000" w:rsidRPr="00000000">
        <w:rPr>
          <w:rtl w:val="0"/>
        </w:rPr>
        <w:t xml:space="preserve">Automation bias in healthcare occurs when clinicians lean too heavily on AI output and stop critically evaluating its recommendations. Bond et al. showed that exposure to incorrect automated ECG interpretations reduced clinicians’ own diagnostic accuracy by roughly 43–59%, underscoring how strongly an automated suggestion can pull judgment (Bond et al., 2018). In this framework, clinicians remain accountable decision‑makers, with AI positioned explicitly as decision support. Practical safeguards include embedding AI into existing tools (for example, radiology viewers) while exposing confidence levels or basic explanations so providers can sanity‑check outputs, plus explicit human‑in‑the‑loop review for higher‑risk use cases (Abdelwanis et al., 2024; Obuchowicz et al., 2026). Training, second reads for critical cases, and documenting how AI influenced decisions are used to counter over‑reliance and keep responsibility clearly with the clinician (Abdelwanis et al., 2024; Obuchowicz et al., 2026).</w:t>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pStyle w:val="Heading2"/>
        <w:spacing w:line="360" w:lineRule="auto"/>
        <w:rPr/>
      </w:pPr>
      <w:bookmarkStart w:colFirst="0" w:colLast="0" w:name="_ixrk2tc83wmp" w:id="20"/>
      <w:bookmarkEnd w:id="20"/>
      <w:r w:rsidDel="00000000" w:rsidR="00000000" w:rsidRPr="00000000">
        <w:rPr>
          <w:rtl w:val="0"/>
        </w:rPr>
        <w:t xml:space="preserve">3.5 Model Drift</w:t>
      </w:r>
    </w:p>
    <w:p w:rsidR="00000000" w:rsidDel="00000000" w:rsidP="00000000" w:rsidRDefault="00000000" w:rsidRPr="00000000" w14:paraId="00000064">
      <w:pPr>
        <w:spacing w:line="360" w:lineRule="auto"/>
        <w:rPr/>
      </w:pPr>
      <w:r w:rsidDel="00000000" w:rsidR="00000000" w:rsidRPr="00000000">
        <w:rPr>
          <w:rtl w:val="0"/>
        </w:rPr>
        <w:t xml:space="preserve">Model drift arises when clinical practice, patient populations, or data pipelines change but the model does not, so performance and fairness erode silently over time (Bodnari &amp; Travis, 2025). This framework treats drift monitoring as a core operational duty rather than an optional extra: each ML diagnostic system should have at least a basic dashboard tracking performance trends and, where feasible, stratified results by key demographic groups (Bodnari &amp; Travis, 2025). For higher‑risk tools, scheduled revalidation with recent local data—checking discrimination, calibration, and net clinical benefit—is required at defined intervals (Bodnari &amp; Travis, 2025). Clear “stop rules” specify when a model must be retrained, restricted, or decommissioned, using triggers such as performance falling below thresholds, clusters of safety events, or systematic errors in particular patient groups (Binkley et al., 2025; Obuchowicz et al., 2026).</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pStyle w:val="Heading2"/>
        <w:spacing w:line="360" w:lineRule="auto"/>
        <w:rPr/>
      </w:pPr>
      <w:bookmarkStart w:colFirst="0" w:colLast="0" w:name="_uqtiytguxzlv" w:id="21"/>
      <w:bookmarkEnd w:id="21"/>
      <w:r w:rsidDel="00000000" w:rsidR="00000000" w:rsidRPr="00000000">
        <w:rPr>
          <w:rtl w:val="0"/>
        </w:rPr>
        <w:t xml:space="preserve">3.6 Clinical Accountability and Liability</w:t>
      </w:r>
    </w:p>
    <w:p w:rsidR="00000000" w:rsidDel="00000000" w:rsidP="00000000" w:rsidRDefault="00000000" w:rsidRPr="00000000" w14:paraId="00000067">
      <w:pPr>
        <w:spacing w:line="360" w:lineRule="auto"/>
        <w:rPr/>
      </w:pPr>
      <w:r w:rsidDel="00000000" w:rsidR="00000000" w:rsidRPr="00000000">
        <w:rPr>
          <w:rtl w:val="0"/>
        </w:rPr>
        <w:t xml:space="preserve">Clinical accountability becomes more complicated once ML systems are involved. When something goes wrong, it is rarely just “the model’s fault” or “the clinician’s fault”; issues can arise from how the model was developed, how the data were collected, how the vendor maintains and updates it, and how clinicians actually use it in day‑to‑day practice (Bodnari &amp; Travis, 2025). In this framework, we start from a clear position: the treating clinician remains responsible for the final diagnostic decision, and the ML system is treated as structured decision support rather than an autonomous decision‑maker. Policies and training emphasize that AI output is one input among the patient history, physical exam, labs, imaging, and clinical guidelines, and that regulatory approval does not automatically mean robust, real‑world evidence or error‑free performance (Abdelwanis et al., 2024; Abulibdeh et al., 2025; Obuchowicz et al., 2026).</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To make that principle operational, we build documentation and escalation into normal workflow. For cases where ML tools are used, clinicians should record that the AI was consulted, what it recommended, and whether they followed or deviated from that recommendation (Bodnari &amp; Travis, 2025). Patterns where the model and clinical judgment consistently diverge, or where similar errors recur, are routed to a designated governance group that can decide whether the model needs retraining, tighter indications, or removal from the workflow (Bodnari &amp; Travis, 2025). Over time, this creates a traceable record of how ML systems influence care, supports organizational learning, and gives the health system a clearer footing for analyzing adverse events and addressing liability questions.</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pStyle w:val="Heading2"/>
        <w:spacing w:line="360" w:lineRule="auto"/>
        <w:rPr/>
      </w:pPr>
      <w:bookmarkStart w:colFirst="0" w:colLast="0" w:name="_ryfk7nvarzer" w:id="22"/>
      <w:bookmarkEnd w:id="22"/>
      <w:r w:rsidDel="00000000" w:rsidR="00000000" w:rsidRPr="00000000">
        <w:rPr>
          <w:rtl w:val="0"/>
        </w:rPr>
        <w:t xml:space="preserve">3.7 Privacy &amp; Cybersecurity</w:t>
      </w:r>
    </w:p>
    <w:p w:rsidR="00000000" w:rsidDel="00000000" w:rsidP="00000000" w:rsidRDefault="00000000" w:rsidRPr="00000000" w14:paraId="0000006C">
      <w:pPr>
        <w:spacing w:line="360" w:lineRule="auto"/>
        <w:rPr/>
      </w:pPr>
      <w:r w:rsidDel="00000000" w:rsidR="00000000" w:rsidRPr="00000000">
        <w:rPr>
          <w:rtl w:val="0"/>
        </w:rPr>
        <w:t xml:space="preserve">Machine learning diagnostic systems digest large volumes of PHI in interconnected systems, making them attractive targets for data breaches and system-level cybersecurity attacks. Such attacks can disrupt clinical operations, consequently leading to potential patient care impacts (</w:t>
      </w:r>
      <w:r w:rsidDel="00000000" w:rsidR="00000000" w:rsidRPr="00000000">
        <w:rPr>
          <w:rtl w:val="0"/>
        </w:rPr>
        <w:t xml:space="preserve">Di Palma et al., 2025). Beyond conventional breaches, recent security research shows that healthcare AI architectures are vulnerable to data poisoning attacks, where as few as 100-500 created training examples can corrupt an entire diagnostic system’s behavior, while HIPAA and GDPR regulations can unintentionally delay cross-institutional detection (Abtahi et al., 2026). At the model layer, black-box medical imaging services have shown susceptibility to model-stealing attacks, where adversaries replicate proprietary diagnostic models and reuse them for further adversarial or privacy-invasive activities (Raj et al., 2024). Accordingly, ML governance must treat all diagnostic AI components as ePHI systems subject to HIPAA safeguards (e.g., encryption, least-privilege access, audit trails), require AI-specific security assessments that resist model-stealing and data poisoning adversarial techniques, and extend vendor management to enforce evidence of robust technical controls and incident response processes from third-parties which interact with these systems (Abtahi et al., 2026; Di Palma et al., 2025; Raj et al., 2024).</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pStyle w:val="Heading2"/>
        <w:spacing w:line="360" w:lineRule="auto"/>
        <w:rPr/>
      </w:pPr>
      <w:bookmarkStart w:colFirst="0" w:colLast="0" w:name="_3sxwk1ivfjbn" w:id="23"/>
      <w:bookmarkEnd w:id="23"/>
      <w:r w:rsidDel="00000000" w:rsidR="00000000" w:rsidRPr="00000000">
        <w:rPr>
          <w:rtl w:val="0"/>
        </w:rPr>
        <w:t xml:space="preserve">3.8 Regulatory Compliance</w:t>
      </w:r>
    </w:p>
    <w:p w:rsidR="00000000" w:rsidDel="00000000" w:rsidP="00000000" w:rsidRDefault="00000000" w:rsidRPr="00000000" w14:paraId="0000006F">
      <w:pPr>
        <w:spacing w:line="360" w:lineRule="auto"/>
        <w:rPr/>
      </w:pPr>
      <w:r w:rsidDel="00000000" w:rsidR="00000000" w:rsidRPr="00000000">
        <w:rPr>
          <w:rtl w:val="0"/>
        </w:rPr>
        <w:t xml:space="preserve">Regulatory oversight for ML-based diagnostic tools is evolving but remains disconnected across jurisdictions, creating compliance risks for health systems that deploy these systems without a structured review process. Most diagnostics AI is classified as software as a medical device (SaMD) and inherently subject to risk-based controls that scrutinize lifecycle management, post‑market performance, and algorithm change control. Still, differences between the FDA, EU AI Act, and other regulations cause uncertainty for developers and healthcare providers (Reddy, 2024). Recent FDA approvals show that many AI products reach the market with limited evidence of clinical benefit, minimal transparency about training data, illustrating the danger of treating regulatory clearance as testimony to real-world safety (Abulibdeh et al., 2025). Therefore, diagnostic machine learning governance, as a subset of enterprise AI governance, needs a formal regulatory review process to classify ML systems against applicable device and AI regulations and centralize compliance tracking across FDA, privacy, and emerging AI-specific obligations (Bodnari &amp; Travis, 2025).</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pStyle w:val="Heading2"/>
        <w:spacing w:line="360" w:lineRule="auto"/>
        <w:rPr/>
      </w:pPr>
      <w:bookmarkStart w:colFirst="0" w:colLast="0" w:name="_1a41bluy8bjf" w:id="24"/>
      <w:bookmarkEnd w:id="24"/>
      <w:r w:rsidDel="00000000" w:rsidR="00000000" w:rsidRPr="00000000">
        <w:rPr>
          <w:rtl w:val="0"/>
        </w:rPr>
        <w:t xml:space="preserve">3.9 Vendor Risk</w:t>
      </w:r>
    </w:p>
    <w:p w:rsidR="00000000" w:rsidDel="00000000" w:rsidP="00000000" w:rsidRDefault="00000000" w:rsidRPr="00000000" w14:paraId="00000072">
      <w:pPr>
        <w:spacing w:line="360" w:lineRule="auto"/>
        <w:rPr/>
      </w:pPr>
      <w:r w:rsidDel="00000000" w:rsidR="00000000" w:rsidRPr="00000000">
        <w:rPr>
          <w:rtl w:val="0"/>
        </w:rPr>
        <w:t xml:space="preserve">Vendor-managed AI further complicates the challenges of managing diagnostic AI because health systems remain clinically and legally accountable, while often lacking visibility into model development, data governance, and change management. Externally sourced tools are often supplied with opaque training pipelines and vendor-reported performance metrics that may not apply to populations that a given healthcare provider services, thus requiring independent validation on the provider’s data and ongoing monitoring by the customer organization (Bodnari &amp; Travis, 2025). Vendor-focused sources propose shifting governance further left in the development pipeline to evaluate candidate AI products on strategic fit, value, and multi-domain risk assessments before procurement decisions are finalized (Binkley et al., 2025). This perspective informs robust vendor governance through standardized vendor due diligence, contractual requirements for transparency, audit rights, and frequent tooling reviews for internal and vendor enterprise AI tools alike (Bodnari &amp; Travis, 2025; Binkley et al., 2025).</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pStyle w:val="Heading1"/>
        <w:spacing w:line="360" w:lineRule="auto"/>
        <w:rPr/>
      </w:pPr>
      <w:bookmarkStart w:colFirst="0" w:colLast="0" w:name="_gu2znjuhgoo5" w:id="25"/>
      <w:bookmarkEnd w:id="25"/>
      <w:r w:rsidDel="00000000" w:rsidR="00000000" w:rsidRPr="00000000">
        <w:rPr>
          <w:rtl w:val="0"/>
        </w:rPr>
        <w:t xml:space="preserve">4. Integrated ML Governance Framework</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sz w:val="24"/>
          <w:szCs w:val="24"/>
        </w:rPr>
      </w:pPr>
      <w:r w:rsidDel="00000000" w:rsidR="00000000" w:rsidRPr="00000000">
        <w:rPr>
          <w:b w:val="1"/>
          <w:bCs w:val="1"/>
          <w:sz w:val="28"/>
          <w:szCs w:val="28"/>
          <w:rtl w:val="0"/>
        </w:rPr>
        <w:t xml:space="preserve">4.1 Governance Structure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ff0000"/>
        </w:rPr>
      </w:pPr>
      <w:r w:rsidDel="00000000" w:rsidR="00000000" w:rsidRPr="00000000">
        <w:rPr>
          <w:rtl w:val="0"/>
        </w:rPr>
        <w:t xml:space="preserve">We believe an effective governance of machine learning diagnostic systems would benefit from a three-tier organizational structure with defined decision rights at each level. We want to use </w:t>
      </w:r>
      <w:r w:rsidDel="00000000" w:rsidR="00000000" w:rsidRPr="00000000">
        <w:rPr>
          <w:color w:val="6aa84f"/>
          <w:rtl w:val="0"/>
        </w:rPr>
        <w:t xml:space="preserve">Weill's (2004) decision-rights model,</w:t>
      </w:r>
      <w:r w:rsidDel="00000000" w:rsidR="00000000" w:rsidRPr="00000000">
        <w:rPr>
          <w:rtl w:val="0"/>
        </w:rPr>
        <w:t xml:space="preserve"> </w:t>
      </w:r>
      <w:r w:rsidDel="00000000" w:rsidR="00000000" w:rsidRPr="00000000">
        <w:rPr>
          <w:color w:val="0000ff"/>
          <w:rtl w:val="0"/>
        </w:rPr>
        <w:t xml:space="preserve">COBIT 2019 governance domains</w:t>
      </w:r>
      <w:r w:rsidDel="00000000" w:rsidR="00000000" w:rsidRPr="00000000">
        <w:rPr>
          <w:rtl w:val="0"/>
        </w:rPr>
        <w:t xml:space="preserve">, and </w:t>
      </w:r>
      <w:r w:rsidDel="00000000" w:rsidR="00000000" w:rsidRPr="00000000">
        <w:rPr>
          <w:color w:val="ff0000"/>
          <w:rtl w:val="0"/>
        </w:rPr>
        <w:t xml:space="preserve">COSO ERM risk alignment principles.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B">
      <w:pPr>
        <w:pStyle w:val="Heading3"/>
        <w:keepNext w:val="0"/>
        <w:keepLines w:val="0"/>
        <w:spacing w:after="100" w:before="200" w:line="360" w:lineRule="auto"/>
        <w:rPr>
          <w:b w:val="1"/>
          <w:bCs w:val="1"/>
          <w:color w:val="000000"/>
          <w:sz w:val="24"/>
          <w:szCs w:val="24"/>
        </w:rPr>
      </w:pPr>
      <w:r w:rsidDel="00000000" w:rsidR="00000000" w:rsidRPr="00000000">
        <w:rPr>
          <w:b w:val="1"/>
          <w:bCs w:val="1"/>
          <w:color w:val="000000"/>
          <w:sz w:val="24"/>
          <w:szCs w:val="24"/>
          <w:rtl w:val="0"/>
        </w:rPr>
        <w:t xml:space="preserve">Tier 1: AI Governance Strategy Committee (Strategic)</w:t>
      </w:r>
    </w:p>
    <w:p w:rsidR="00000000" w:rsidDel="00000000" w:rsidP="00000000" w:rsidRDefault="00000000" w:rsidRPr="00000000" w14:paraId="0000007C">
      <w:pPr>
        <w:spacing w:after="160" w:before="160" w:line="360" w:lineRule="auto"/>
        <w:rPr>
          <w:color w:val="0000ff"/>
        </w:rPr>
      </w:pPr>
      <w:r w:rsidDel="00000000" w:rsidR="00000000" w:rsidRPr="00000000">
        <w:rPr>
          <w:rtl w:val="0"/>
        </w:rPr>
        <w:t xml:space="preserve">The AGSC would have the CIO, CMO, CCO, CRO, and an independent board representative. These people would be able to approve high-risk ML diagnostic systems, set company policy, allocate governance resources, and suspend any system they deem too risky. </w:t>
      </w:r>
      <w:r w:rsidDel="00000000" w:rsidR="00000000" w:rsidRPr="00000000">
        <w:rPr>
          <w:color w:val="0000ff"/>
          <w:rtl w:val="0"/>
        </w:rPr>
        <w:t xml:space="preserve">This would pull from COBIT’s Evaluate, Direct, and Monitor (EDM) governance domain.</w:t>
      </w:r>
    </w:p>
    <w:p w:rsidR="00000000" w:rsidDel="00000000" w:rsidP="00000000" w:rsidRDefault="00000000" w:rsidRPr="00000000" w14:paraId="0000007D">
      <w:pPr>
        <w:pStyle w:val="Heading3"/>
        <w:keepNext w:val="0"/>
        <w:keepLines w:val="0"/>
        <w:spacing w:after="100" w:before="200" w:line="360" w:lineRule="auto"/>
        <w:rPr>
          <w:color w:val="000000"/>
          <w:sz w:val="24"/>
          <w:szCs w:val="24"/>
        </w:rPr>
      </w:pPr>
      <w:r w:rsidDel="00000000" w:rsidR="00000000" w:rsidRPr="00000000">
        <w:rPr>
          <w:b w:val="1"/>
          <w:bCs w:val="1"/>
          <w:color w:val="000000"/>
          <w:sz w:val="24"/>
          <w:szCs w:val="24"/>
          <w:rtl w:val="0"/>
        </w:rPr>
        <w:t xml:space="preserve">Tier 2: ML Diagnostic Review Committee (Operational)</w:t>
      </w:r>
      <w:r w:rsidDel="00000000" w:rsidR="00000000" w:rsidRPr="00000000">
        <w:rPr>
          <w:rtl w:val="0"/>
        </w:rPr>
      </w:r>
    </w:p>
    <w:p w:rsidR="00000000" w:rsidDel="00000000" w:rsidP="00000000" w:rsidRDefault="00000000" w:rsidRPr="00000000" w14:paraId="0000007E">
      <w:pPr>
        <w:spacing w:after="160" w:before="160" w:line="360" w:lineRule="auto"/>
        <w:rPr/>
      </w:pPr>
      <w:r w:rsidDel="00000000" w:rsidR="00000000" w:rsidRPr="00000000">
        <w:rPr>
          <w:rtl w:val="0"/>
        </w:rPr>
        <w:t xml:space="preserve">The MLRC evaluates in depth any machine learning system. It would look to approve systems where the risk matches the enterprise's risk appetite, review performance and bias monitoring data, coordinate revalidation studies, and maintain the active system registry. </w:t>
      </w:r>
    </w:p>
    <w:p w:rsidR="00000000" w:rsidDel="00000000" w:rsidP="00000000" w:rsidRDefault="00000000" w:rsidRPr="00000000" w14:paraId="0000007F">
      <w:pPr>
        <w:spacing w:after="160" w:before="160" w:line="360" w:lineRule="auto"/>
        <w:rPr>
          <w:color w:val="000000"/>
          <w:sz w:val="24"/>
          <w:szCs w:val="24"/>
        </w:rPr>
      </w:pPr>
      <w:r w:rsidDel="00000000" w:rsidR="00000000" w:rsidRPr="00000000">
        <w:rPr>
          <w:b w:val="1"/>
          <w:bCs w:val="1"/>
          <w:color w:val="000000"/>
          <w:sz w:val="24"/>
          <w:szCs w:val="24"/>
          <w:rtl w:val="0"/>
        </w:rPr>
        <w:t xml:space="preserve">Tier 3: Clinical AI Implementation Teams (Departmental)</w:t>
      </w:r>
      <w:r w:rsidDel="00000000" w:rsidR="00000000" w:rsidRPr="00000000">
        <w:rPr>
          <w:rtl w:val="0"/>
        </w:rPr>
      </w:r>
    </w:p>
    <w:p w:rsidR="00000000" w:rsidDel="00000000" w:rsidP="00000000" w:rsidRDefault="00000000" w:rsidRPr="00000000" w14:paraId="00000080">
      <w:pPr>
        <w:spacing w:after="160" w:before="160" w:line="360" w:lineRule="auto"/>
        <w:rPr>
          <w:color w:val="6aa84f"/>
        </w:rPr>
      </w:pPr>
      <w:r w:rsidDel="00000000" w:rsidR="00000000" w:rsidRPr="00000000">
        <w:rPr>
          <w:rtl w:val="0"/>
        </w:rPr>
        <w:t xml:space="preserve">CAIT will be involved in each clinical department. They will help to manage workflow integration, deliver clinician training, and get performance feedback to send to the MLRC. </w:t>
      </w:r>
      <w:r w:rsidDel="00000000" w:rsidR="00000000" w:rsidRPr="00000000">
        <w:rPr>
          <w:color w:val="6aa84f"/>
          <w:rtl w:val="0"/>
        </w:rPr>
        <w:t xml:space="preserve">This departmental layer references Weill (2004), where he believed that governance must operate at the level where clinical decisions are made, not only in central committees.</w:t>
      </w:r>
    </w:p>
    <w:p w:rsidR="00000000" w:rsidDel="00000000" w:rsidP="00000000" w:rsidRDefault="00000000" w:rsidRPr="00000000" w14:paraId="00000081">
      <w:pPr>
        <w:pStyle w:val="Heading2"/>
        <w:spacing w:line="360" w:lineRule="auto"/>
        <w:rPr/>
      </w:pPr>
      <w:bookmarkStart w:colFirst="0" w:colLast="0" w:name="_pkbw3q29vqyh" w:id="26"/>
      <w:bookmarkEnd w:id="26"/>
      <w:r w:rsidDel="00000000" w:rsidR="00000000" w:rsidRPr="00000000">
        <w:rPr>
          <w:rtl w:val="0"/>
        </w:rPr>
        <w:t xml:space="preserve">4.2 Risk Classification </w:t>
      </w:r>
      <w:r w:rsidDel="00000000" w:rsidR="00000000" w:rsidRPr="00000000">
        <w:rPr>
          <w:rtl w:val="0"/>
        </w:rPr>
        <w:t xml:space="preserve">Model </w:t>
      </w: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t xml:space="preserve">A simple way to handle diagnostic ML risk is to sort tools into clear buckets instead of treating everything the same. In our framework, systems are labeled high, moderate, or lower risk based on things like how serious the clinical use case is, how much autonomy the model has, and how much harm a bad recommendation could cause (Bodnari &amp; Travis, 2025). High‑risk tools—like models that drive time‑sensitive decisions or heavily influence a diagnosis—should go through the strictest checks, including approval from the central steering committee, deeper pre‑deployment review, and tighter post‑deployment monitoring than lower‑risk tools that just support an existing workflow (Abulibdeh et al., 2025; Reddy, 2024).</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t xml:space="preserve">This “match the effort to the risk” idea lines up with enterprise frameworks like FAIR‑AI and similar governance models, which directly link risk tiers to how much documentation, transparency, and review effort is required (Bodnari &amp; Travis, 2025; Binkley et al., 2025). That way, the organization can put more governance time into the tools that could do the most damage if they fail. Lower‑risk tools can move through a lighter review track, but anything classified as high‑risk diagnostic AI has to go through centralized steering committee review before it goes live, with its risk tier and required controls logged in the AI registry (Bodnari &amp; Travis, 2025).</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pStyle w:val="Heading2"/>
        <w:spacing w:line="360" w:lineRule="auto"/>
        <w:rPr/>
      </w:pPr>
      <w:bookmarkStart w:colFirst="0" w:colLast="0" w:name="_o0kkckp6xt9a" w:id="27"/>
      <w:bookmarkEnd w:id="27"/>
      <w:r w:rsidDel="00000000" w:rsidR="00000000" w:rsidRPr="00000000">
        <w:rPr>
          <w:rtl w:val="0"/>
        </w:rPr>
        <w:t xml:space="preserve">4.3 Lifecycle Governance</w:t>
      </w:r>
    </w:p>
    <w:p w:rsidR="00000000" w:rsidDel="00000000" w:rsidP="00000000" w:rsidRDefault="00000000" w:rsidRPr="00000000" w14:paraId="00000087">
      <w:pPr>
        <w:spacing w:line="360" w:lineRule="auto"/>
        <w:rPr/>
      </w:pPr>
      <w:r w:rsidDel="00000000" w:rsidR="00000000" w:rsidRPr="00000000">
        <w:rPr>
          <w:rtl w:val="0"/>
        </w:rPr>
        <w:t xml:space="preserve">Lifecycle governance treats ML diagnostic systems as core clinical infrastructure that must be directed and monitored from initial problem definition through retirement, not just as one-off projects that “end” at go-live (Bodnari &amp; Travis, 2025; Solaiman et al., 2025). In the pre-deployment phase, robust enterprise frameworks such as FAIR-AI require structured intake, local validation, bias and equity assessment, and risk categorization before any clinical use. These requirements aim to assess models against acceptable benefit-risk profiles and clear oversight plans before advancing to model implementation (Wells et al., 2025).</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During deployment, lifecycle-oriented governance emphasizes phased rollouts, explicit human-in-the-loop workflows, and user-centered evaluations of system quality, information quality, and benefit. These processes focus on clinician acceptance as a key to determining whether ML tools improve or disrupt patient care (Ji et al., 2021). Post-deployment, models should undergo continuous performance and equity monitoring, incident reporting, and periodic reviews to identify and remediate changes in models' behavior, including drift, ethical considerations, or other risks (Solaiman et al., 2025; Bodnari &amp; Travis, 2025; Wells et al., 2025).</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pStyle w:val="Heading2"/>
        <w:spacing w:line="360" w:lineRule="auto"/>
        <w:rPr/>
      </w:pPr>
      <w:bookmarkStart w:colFirst="0" w:colLast="0" w:name="_uy3ioqp5u395" w:id="28"/>
      <w:bookmarkEnd w:id="28"/>
      <w:r w:rsidDel="00000000" w:rsidR="00000000" w:rsidRPr="00000000">
        <w:rPr>
          <w:rtl w:val="0"/>
        </w:rPr>
        <w:t xml:space="preserve">4.4 Cross-Cutting </w:t>
      </w:r>
      <w:r w:rsidDel="00000000" w:rsidR="00000000" w:rsidRPr="00000000">
        <w:rPr>
          <w:rtl w:val="0"/>
        </w:rPr>
        <w:t xml:space="preserve">Functions </w:t>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t xml:space="preserve">Cross-cutting governance is what ties everything together, so our controls for diagnostic ML aren’t just checklists that get checked off. Policy work is the first step. Big-picture ideas about automation bias, security, and who is responsible need to be written into straightforward policies that apply to all AI tools, and those policies need to be updated as regulations and technology evolve (Abdelwanis et al., 2024; Di Palma et al., 2025). Regulatory oversight then makes sure we keep up with new SaMD and AI rules and remember that approval by a regulator does not automatically mean the tool is safe in everyday use. We still need local safeguards and post‑deployment monitoring to catch problems once the tool is live (Abulibdeh et al., 2025; Reddy, 2024).</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t xml:space="preserve">Vendors also have to fit into this structure. Before a third‑party AI product is brought in, there should be an early review of its clinical value, risk, and transparency so outside tools are held to the same bar as anything built in‑house (Binkley et al., 2025). An ethics group that includes clinicians, technical staff, and ethics or legal input can help the organization think through fairness, explainability, and how AI affects clinician autonomy and patient trust (Abdelwanis et al., 2024; Obuchowicz et al., 2026). On top of that, ongoing education and AI literacy for both clinicians and leaders, plus occasional check‑ins on whether the governance approach is actually working, are important for pushing back on automation bias, keeping people thoughtfully skeptical, and adjusting the framework as the technology and risks change over time (Bond et al., 2018; Obuchowicz et al., 2026).</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pStyle w:val="Heading1"/>
        <w:spacing w:line="360" w:lineRule="auto"/>
        <w:rPr/>
      </w:pPr>
      <w:bookmarkStart w:colFirst="0" w:colLast="0" w:name="_b4ahvtuqhzb8" w:id="29"/>
      <w:bookmarkEnd w:id="29"/>
      <w:r w:rsidDel="00000000" w:rsidR="00000000" w:rsidRPr="00000000">
        <w:rPr>
          <w:rtl w:val="0"/>
        </w:rPr>
        <w:t xml:space="preserve">5. Implementation Guidance</w:t>
      </w:r>
    </w:p>
    <w:p w:rsidR="00000000" w:rsidDel="00000000" w:rsidP="00000000" w:rsidRDefault="00000000" w:rsidRPr="00000000" w14:paraId="00000091">
      <w:pPr>
        <w:spacing w:line="360" w:lineRule="auto"/>
        <w:rPr/>
      </w:pPr>
      <w:r w:rsidDel="00000000" w:rsidR="00000000" w:rsidRPr="00000000">
        <w:rPr>
          <w:rtl w:val="0"/>
        </w:rPr>
        <w:t xml:space="preserve">Translating an ML governance framework from paper to operation requires a deliberate, phased implementation plan that progresses the organization’s capability over time, rather than attempting a “big band” rollout. Implementation research argues that successful AI adoption relies on preparatory work to align innovation with local context, clarified roles, and anticipated barriers before model deployment (Nilson et al., 2023).</w:t>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pStyle w:val="Heading2"/>
        <w:spacing w:line="360" w:lineRule="auto"/>
        <w:rPr/>
      </w:pPr>
      <w:bookmarkStart w:colFirst="0" w:colLast="0" w:name="_lrvq0hl4oyz0" w:id="30"/>
      <w:bookmarkEnd w:id="30"/>
      <w:r w:rsidDel="00000000" w:rsidR="00000000" w:rsidRPr="00000000">
        <w:rPr>
          <w:rtl w:val="0"/>
        </w:rPr>
        <w:t xml:space="preserve">5.1 Phase 1: Governance Foundation</w:t>
      </w:r>
    </w:p>
    <w:p w:rsidR="00000000" w:rsidDel="00000000" w:rsidP="00000000" w:rsidRDefault="00000000" w:rsidRPr="00000000" w14:paraId="00000094">
      <w:pPr>
        <w:spacing w:line="360" w:lineRule="auto"/>
        <w:rPr/>
      </w:pPr>
      <w:r w:rsidDel="00000000" w:rsidR="00000000" w:rsidRPr="00000000">
        <w:rPr>
          <w:rtl w:val="0"/>
        </w:rPr>
        <w:t xml:space="preserve">In Phase 1 (Governance Foundation), the organization should establish cross-functional AI governance bodies, create an enterprise-wide inventory of existing and proposed ML tools, and adopt standard intake templates to capture clinical care uses, data dependencies, and risk profiles. The foundation phase should also include a baseline assessment against AI governance models such as HAIRA, which describes sequential levels of capability across domains such as leadership, risk management, and monitoring (Hussein et al., 2026).</w:t>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pStyle w:val="Heading2"/>
        <w:spacing w:line="360" w:lineRule="auto"/>
        <w:rPr/>
      </w:pPr>
      <w:bookmarkStart w:colFirst="0" w:colLast="0" w:name="_bj04u3pvthno" w:id="31"/>
      <w:bookmarkEnd w:id="31"/>
      <w:r w:rsidDel="00000000" w:rsidR="00000000" w:rsidRPr="00000000">
        <w:rPr>
          <w:rtl w:val="0"/>
        </w:rPr>
        <w:t xml:space="preserve">5.1 Phase 2: Core Lifecycle Controls</w:t>
      </w:r>
    </w:p>
    <w:p w:rsidR="00000000" w:rsidDel="00000000" w:rsidP="00000000" w:rsidRDefault="00000000" w:rsidRPr="00000000" w14:paraId="00000097">
      <w:pPr>
        <w:spacing w:line="360" w:lineRule="auto"/>
        <w:rPr/>
      </w:pPr>
      <w:r w:rsidDel="00000000" w:rsidR="00000000" w:rsidRPr="00000000">
        <w:rPr>
          <w:rtl w:val="0"/>
        </w:rPr>
        <w:t xml:space="preserve">Phase 2 (Core Lifecycle Controls) focuses on operationalizing the framework’s pre-deployment, deployment, and post-deployment safeguards for a first wave of high-priority diagnostic applications. FAIR-AI illustrates a pattern here: structured pre-deployment reviews that holistically assess models to determine a solution’s approval, conditional approval, or rejection (Wells et al., 2025). At this stage, governance committees should pilot standardized checklists and documentation templates, test template usability with stakeholders, and refine criteria for risk determination. Enterprise-level analyses emphasize that this phase is where organizations begin to move from ad hoc, project-specific decisionmaking toward repeatable processes that can scale in proportion to AI and ML adoption (Bodnari &amp; Travis, 2025).</w:t>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pStyle w:val="Heading2"/>
        <w:spacing w:line="360" w:lineRule="auto"/>
        <w:rPr/>
      </w:pPr>
      <w:bookmarkStart w:colFirst="0" w:colLast="0" w:name="_v2f2aifqf6bp" w:id="32"/>
      <w:bookmarkEnd w:id="32"/>
      <w:r w:rsidDel="00000000" w:rsidR="00000000" w:rsidRPr="00000000">
        <w:rPr>
          <w:rtl w:val="0"/>
        </w:rPr>
        <w:t xml:space="preserve">5.2 Phase 3: Advanced Monitoring and Bias Surveillance</w:t>
      </w:r>
    </w:p>
    <w:p w:rsidR="00000000" w:rsidDel="00000000" w:rsidP="00000000" w:rsidRDefault="00000000" w:rsidRPr="00000000" w14:paraId="0000009A">
      <w:pPr>
        <w:spacing w:line="360" w:lineRule="auto"/>
        <w:rPr/>
      </w:pPr>
      <w:r w:rsidDel="00000000" w:rsidR="00000000" w:rsidRPr="00000000">
        <w:rPr>
          <w:rtl w:val="0"/>
        </w:rPr>
        <w:t xml:space="preserve">Phase 3 (Advanced Monitoring and Bias Surveillance) deepens post-deployment governance once initial processes are formalized. A “true lifecycle” approach requires continuous monitoring of model performance, safety events, and equity impacts rather than periodic audits (Solaiman et al., 2025). Building on evaluation work for AI-enabled clinical decisionmaking, health systems should implement monitoring dashboards and analytics to illustrate technical performance, clinical outcomes, workflow integration, and user experience (Ji et al., 2021). In this phase, organizations formalize feedback loops to trigger reviews and model retraining or retirement when incidents, near misses, and observed bias patterns emerge. Maturity models at institutions should increasingly integrate these monitoring practices into existing quality-improvement and patient-safety programs, rather than managing ML in a silo (Hussein et al., 2026).</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pStyle w:val="Heading2"/>
        <w:spacing w:line="360" w:lineRule="auto"/>
        <w:rPr/>
      </w:pPr>
      <w:bookmarkStart w:colFirst="0" w:colLast="0" w:name="_sj4dn1go7can" w:id="33"/>
      <w:bookmarkEnd w:id="33"/>
      <w:r w:rsidDel="00000000" w:rsidR="00000000" w:rsidRPr="00000000">
        <w:rPr>
          <w:rtl w:val="0"/>
        </w:rPr>
        <w:t xml:space="preserve">5.3 Phase 4: Optimization and Benchmarking</w:t>
      </w:r>
    </w:p>
    <w:p w:rsidR="00000000" w:rsidDel="00000000" w:rsidP="00000000" w:rsidRDefault="00000000" w:rsidRPr="00000000" w14:paraId="0000009D">
      <w:pPr>
        <w:spacing w:line="360" w:lineRule="auto"/>
        <w:rPr/>
      </w:pPr>
      <w:r w:rsidDel="00000000" w:rsidR="00000000" w:rsidRPr="00000000">
        <w:rPr>
          <w:rtl w:val="0"/>
        </w:rPr>
        <w:t xml:space="preserve">Phase 4 (Optimization and Benchmarking) shifts emphasis from “making AI safe enough to use” to “continuously improving both AI and its governance.” FAIR‑AI and related frameworks recommend that mature organizations regularly benchmark their AI portfolio against external standards and peer institutions and streamline processes that have become bottlenecks (Wells et al., 2025). In this phase, ML governance becomes the target for improvement: committees review their own effectiveness, simplify documentation where appropriate, and experiment with faster review cycles for low‑risk changes. These improvements should occur while maintaining robust controls for high‑risk diagnostic systems (Bodnari &amp; Travis, 2025; Solaiman et al., 2025).</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pStyle w:val="Heading2"/>
        <w:spacing w:line="360" w:lineRule="auto"/>
        <w:rPr/>
      </w:pPr>
      <w:bookmarkStart w:colFirst="0" w:colLast="0" w:name="_jvgczay8ijhi" w:id="34"/>
      <w:bookmarkEnd w:id="34"/>
      <w:r w:rsidDel="00000000" w:rsidR="00000000" w:rsidRPr="00000000">
        <w:rPr>
          <w:rtl w:val="0"/>
        </w:rPr>
        <w:t xml:space="preserve">5.4 Success Metrics</w:t>
      </w:r>
    </w:p>
    <w:p w:rsidR="00000000" w:rsidDel="00000000" w:rsidP="00000000" w:rsidRDefault="00000000" w:rsidRPr="00000000" w14:paraId="000000A0">
      <w:pPr>
        <w:spacing w:line="360" w:lineRule="auto"/>
        <w:rPr/>
      </w:pPr>
      <w:r w:rsidDel="00000000" w:rsidR="00000000" w:rsidRPr="00000000">
        <w:rPr>
          <w:rtl w:val="0"/>
        </w:rPr>
        <w:t xml:space="preserve">Success metrics for this phased roadmap should reflect both implementation progress and clinical impact. Implementation frameworks highlight process indicators, such as the proportion of AI projects that underwent formal intake, median time from submission to decision, percentage of deployed systems covered by active monitoring, and training completion rates for clinicians using AI (Nilsen et al., 2023; Wells et al., 2025). Evaluation research of AI-enabled decision support emphasizes comprehensive outcome metrics including: changes in diagnostic accuracy, treatment timeliness, adverse event rates, clinician trust measurements, and alert fatigue (Ji et al., 2021). Monitoring should also stratify performance by key demographic groups and track reduction, or emergence, of disparities over time (Hussein et al., 2026). Finally, strategic metrics such as realized return on AI investments, AI alignment with enterprise priorities, and proportion of AI systems at higher levels of HAIRA maturity help senior leadership make informed decisions surrounding further AI investments and applications which need scaled or decommissioned (Bodnari &amp; Travis, 2025; Hussein et al., 2026). Together, these metrics support healthcare providers adopt a learning approach within the ML governance program to evolve the organization’s AI capabilities.</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pStyle w:val="Heading1"/>
        <w:spacing w:line="360" w:lineRule="auto"/>
        <w:rPr/>
      </w:pPr>
      <w:bookmarkStart w:colFirst="0" w:colLast="0" w:name="_pctj8rfi1mdu" w:id="35"/>
      <w:bookmarkEnd w:id="35"/>
      <w:r w:rsidDel="00000000" w:rsidR="00000000" w:rsidRPr="00000000">
        <w:rPr>
          <w:rtl w:val="0"/>
        </w:rPr>
        <w:t xml:space="preserve">Conclusion</w:t>
      </w:r>
    </w:p>
    <w:p w:rsidR="00000000" w:rsidDel="00000000" w:rsidP="00000000" w:rsidRDefault="00000000" w:rsidRPr="00000000" w14:paraId="000000A3">
      <w:pPr>
        <w:spacing w:line="360" w:lineRule="auto"/>
        <w:rPr/>
      </w:pPr>
      <w:r w:rsidDel="00000000" w:rsidR="00000000" w:rsidRPr="00000000">
        <w:rPr>
          <w:rtl w:val="0"/>
        </w:rPr>
        <w:t xml:space="preserve">Machine learning-enabled diagnostics sit at an intersection of transformational clinical potential and systemic risk. These systems are capable of improving accuracy and access while also amplifying bias, fragility, and regulatory exposure if left unmanaged (Abulideh et al., 2025; Reddy, 2024). Empirical reviews of health-system deployments show that governance structures have lagged behind adoption, with many AI tools introduced by single attestations or vendor initiatives rather than enterprise-wide approval structures (Bodnari &amp; Travis, 2025; Hussein et al., 2026).</w:t>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t xml:space="preserve">This framework responds to that gap by treating ML diagnostics as lifecycle assets that require risk-proportionate oversight, continuous monitoring, and deliberate integration into clinical workflows. These processes are supported by phased implementation guidance and measurable success criteria (Solaiman et al., 2025; Wells et al., 2025). Evidence from evaluation studies suggest that when AI governance pairs technical validation with user-centered design, equity monitoring, and organizational learning, AI-enabled clinical decisionmaking can improve patient care without dissolving patient trust or impairing clinician judgement (Ji et al., 2021; Hussein et al., 2026). In high-stakes healthcare environments, ML governance is not an option, but a critical component to preserving patient safety, equity, and compliance obligation.</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360" w:lineRule="auto"/>
        <w:rPr/>
      </w:pPr>
      <w:bookmarkStart w:colFirst="0" w:colLast="0" w:name="_5z4w4u7gt817" w:id="36"/>
      <w:bookmarkEnd w:id="36"/>
      <w:r w:rsidDel="00000000" w:rsidR="00000000" w:rsidRPr="00000000">
        <w:rPr>
          <w:rtl w:val="0"/>
        </w:rPr>
        <w:t xml:space="preserve">Appendix A. </w:t>
      </w:r>
      <w:r w:rsidDel="00000000" w:rsidR="00000000" w:rsidRPr="00000000">
        <w:rPr>
          <w:rtl w:val="0"/>
        </w:rPr>
        <w:t xml:space="preserve">References</w:t>
      </w:r>
    </w:p>
    <w:p w:rsidR="00000000" w:rsidDel="00000000" w:rsidP="00000000" w:rsidRDefault="00000000" w:rsidRPr="00000000" w14:paraId="000000A7">
      <w:pPr>
        <w:spacing w:line="360" w:lineRule="auto"/>
        <w:rPr/>
      </w:pPr>
      <w:r w:rsidDel="00000000" w:rsidR="00000000" w:rsidRPr="00000000">
        <w:rPr>
          <w:rtl w:val="0"/>
        </w:rPr>
        <w:t xml:space="preserve">Abdelwanis, M., Alarafati, H. K., Tammam, M. M. S., &amp; Simsekler, M. C. E. (2024). Exploring the risks of automation bias in healthcare artificial intelligence applications: A Bowtie analysis. Journal of Safety Science and Resilience, 5(4), 460–469. </w:t>
      </w:r>
      <w:hyperlink r:id="rId7">
        <w:r w:rsidDel="00000000" w:rsidR="00000000" w:rsidRPr="00000000">
          <w:rPr>
            <w:color w:val="1155cc"/>
            <w:u w:val="single"/>
            <w:rtl w:val="0"/>
          </w:rPr>
          <w:t xml:space="preserve">https://doi.org/10.1016/j.jnlssr.2024.06.001</w:t>
        </w:r>
      </w:hyperlink>
      <w:r w:rsidDel="00000000" w:rsidR="00000000" w:rsidRPr="00000000">
        <w:rPr>
          <w:rtl w:val="0"/>
        </w:rPr>
        <w:t xml:space="preserve"> </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AA">
      <w:pPr>
        <w:spacing w:line="360" w:lineRule="auto"/>
        <w:rPr/>
      </w:pPr>
      <w:r w:rsidDel="00000000" w:rsidR="00000000" w:rsidRPr="00000000">
        <w:rPr>
          <w:rtl w:val="0"/>
        </w:rPr>
        <w:t xml:space="preserve">We used this source to support our point that AI should stay in a decision‑support role, not replace a clinician’s judgment. We also relied on it when we decided that higher‑risk tools should always have a clear human‑in‑the‑loop review step.</w:t>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AD">
      <w:pPr>
        <w:spacing w:line="360" w:lineRule="auto"/>
        <w:rPr/>
      </w:pPr>
      <w:r w:rsidDel="00000000" w:rsidR="00000000" w:rsidRPr="00000000">
        <w:rPr>
          <w:rtl w:val="0"/>
        </w:rPr>
        <w:t xml:space="preserve">“This study conducts an in-depth review and Bowtie analysis of automation bias in AI-driven Clinical Decision Support Systems (CDSSs) within healthcare settings. Automation bias, the tendency of human operators to over-rely on automated systems, poses a critical challenge in implementing AI-driven technologies. To address this challenge, Bowtie analysis is employed to examine the causes and consequences of automation bias affected by over-reliance on AI-driven systems in healthcare. Furthermore, this study proposes preventive measures to address automation bias during the design phase of AI model development for CDSSs, along with effective mitigation strategies post-deployment. The findings highlight the imperative role of a systems approach, integrating technological advancements, regulatory frameworks, and collaborative endeavors between AI developers and healthcare practitioners to diminish automation bias in AI-driven CDSSs. We further identify future research directions, proposing quantitative evaluations of the mitigation and preventative measures.”</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Abtahi, F., Seoane, F., Pau, I., &amp; Vega-Barbas, M. (2026). Data poisoning vulnerabilities across health care artificial intelligence architectures: Analytical security framework and defense strategies. Journal of Medical Internet Research, 28, e87969. https://doi.org/10.2196/87969</w:t>
      </w:r>
    </w:p>
    <w:p w:rsidR="00000000" w:rsidDel="00000000" w:rsidP="00000000" w:rsidRDefault="00000000" w:rsidRPr="00000000" w14:paraId="000000B0">
      <w:pPr>
        <w:spacing w:line="360" w:lineRule="auto"/>
        <w:rPr/>
      </w:pPr>
      <w:r w:rsidDel="00000000" w:rsidR="00000000" w:rsidRPr="00000000">
        <w:rPr>
          <w:rtl w:val="0"/>
        </w:rPr>
        <w:t xml:space="preserve">​</w:t>
      </w:r>
    </w:p>
    <w:p w:rsidR="00000000" w:rsidDel="00000000" w:rsidP="00000000" w:rsidRDefault="00000000" w:rsidRPr="00000000" w14:paraId="000000B1">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B2">
      <w:pPr>
        <w:spacing w:line="360" w:lineRule="auto"/>
        <w:rPr/>
      </w:pPr>
      <w:r w:rsidDel="00000000" w:rsidR="00000000" w:rsidRPr="00000000">
        <w:rPr>
          <w:rtl w:val="0"/>
        </w:rPr>
        <w:t xml:space="preserve">This article informed the discussion of data‑poisoning attacks and how small numbers of corrupted samples can systematically distort diagnostic model behavior. It was used to justify including AI‑specific security assessments in the privacy and cybersecurity section of the framework. The paper also supported the recommendation that health systems develop explicit defenses and monitoring for poisoning attempts across the ML lifecycle.</w:t>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B5">
      <w:pPr>
        <w:spacing w:line="360" w:lineRule="auto"/>
        <w:rPr/>
      </w:pPr>
      <w:r w:rsidDel="00000000" w:rsidR="00000000" w:rsidRPr="00000000">
        <w:rPr>
          <w:rtl w:val="0"/>
        </w:rPr>
        <w:t xml:space="preserve">“Background:</w:t>
      </w:r>
    </w:p>
    <w:p w:rsidR="00000000" w:rsidDel="00000000" w:rsidP="00000000" w:rsidRDefault="00000000" w:rsidRPr="00000000" w14:paraId="000000B6">
      <w:pPr>
        <w:spacing w:line="360" w:lineRule="auto"/>
        <w:rPr/>
      </w:pPr>
      <w:r w:rsidDel="00000000" w:rsidR="00000000" w:rsidRPr="00000000">
        <w:rPr>
          <w:rtl w:val="0"/>
        </w:rPr>
        <w:t xml:space="preserve">Health care artificial intelligence (AI) systems are increasingly integrated into clinical workflows, yet remain vulnerable to data-poisoning attacks. A small number of manipulated training samples can compromise AI models used for diagnosis, documentation, and resource allocation. Existing privacy regulations, including the Health Insurance Portability and Accountability Act and the General Data Protection Regulation, may inadvertently complicate anomaly detection and cross-institutional auditing, thereby limiting visibility into adversarial activity.</w:t>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t xml:space="preserve">Objective:</w:t>
      </w:r>
    </w:p>
    <w:p w:rsidR="00000000" w:rsidDel="00000000" w:rsidP="00000000" w:rsidRDefault="00000000" w:rsidRPr="00000000" w14:paraId="000000B9">
      <w:pPr>
        <w:spacing w:line="360" w:lineRule="auto"/>
        <w:rPr/>
      </w:pPr>
      <w:r w:rsidDel="00000000" w:rsidR="00000000" w:rsidRPr="00000000">
        <w:rPr>
          <w:rtl w:val="0"/>
        </w:rPr>
        <w:t xml:space="preserve">This study provides a comprehensive threat analysis of data poisoning vulnerabilities across major health care AI architectures. The goals are to (1) identify attack surfaces in clinical AI systems, (2) evaluate the feasibility and detectability of poisoning attacks analytically modeled in prior security research, and (3) propose a multilayered defense framework appropriate for health care settings.</w:t>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t xml:space="preserve">Methods:</w:t>
      </w:r>
    </w:p>
    <w:p w:rsidR="00000000" w:rsidDel="00000000" w:rsidP="00000000" w:rsidRDefault="00000000" w:rsidRPr="00000000" w14:paraId="000000BC">
      <w:pPr>
        <w:spacing w:line="360" w:lineRule="auto"/>
        <w:rPr/>
      </w:pPr>
      <w:r w:rsidDel="00000000" w:rsidR="00000000" w:rsidRPr="00000000">
        <w:rPr>
          <w:rtl w:val="0"/>
        </w:rPr>
        <w:t xml:space="preserve">We synthesized empirical findings from 41 key security studies published between 2019 and 2025 and integrated them into an analytical threat-modeling framework specific to health care. We constructed 8 hypothetical yet technically grounded attack scenarios across 4 categories: (1) architecture-specific attacks on convolutional neural networks, large language models, and reinforcement learning agents (scenario A); (2) infrastructure exploitation in federated learning and clinical documentation pipelines (scenario B); (3) poisoning of critical resource allocation systems (scenario C); and (4) supply chain attacks affecting commercial foundation models (scenario D). Scenarios were aligned with realistic insider-access threat models and current clinical deployment practices.</w:t>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Results:</w:t>
      </w:r>
    </w:p>
    <w:p w:rsidR="00000000" w:rsidDel="00000000" w:rsidP="00000000" w:rsidRDefault="00000000" w:rsidRPr="00000000" w14:paraId="000000BF">
      <w:pPr>
        <w:spacing w:line="360" w:lineRule="auto"/>
        <w:rPr/>
      </w:pPr>
      <w:r w:rsidDel="00000000" w:rsidR="00000000" w:rsidRPr="00000000">
        <w:rPr>
          <w:rFonts w:ascii="Gungsuh" w:cs="Gungsuh" w:eastAsia="Gungsuh" w:hAnsi="Gungsuh"/>
          <w:rtl w:val="0"/>
        </w:rPr>
        <w:t xml:space="preserve">Multiple empirical studies demonstrate that attackers with access to as few as 100-500 poisoned samples can compromise health care AI systems, with attack success rates typically ≥60%. Critically, attack success depends on the absolute number of poisoned samples rather than their proportion of the training corpus, a finding that fundamentally challenges assumptions that larger datasets provide inherent protection. We estimate that detection delays commonly range from 6 to 12 months and may extend to years in distributed or privacy-constrained environments. Analytical scenarios highlight that (1) routine insider access creates numerous injection points across health care data infrastructure, (2) federated learning amplifies risks by obscuring attribution, and (3) supply chain compromises can simultaneously affect dozens to hundreds of institutions. Privacy regulations further complicate cross-patient correlation and model audit processes, substantially delaying the detection of subtle poisoning campaigns.</w:t>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t xml:space="preserve">Conclusions:</w:t>
      </w:r>
    </w:p>
    <w:p w:rsidR="00000000" w:rsidDel="00000000" w:rsidP="00000000" w:rsidRDefault="00000000" w:rsidRPr="00000000" w14:paraId="000000C2">
      <w:pPr>
        <w:spacing w:line="360" w:lineRule="auto"/>
        <w:rPr/>
      </w:pPr>
      <w:r w:rsidDel="00000000" w:rsidR="00000000" w:rsidRPr="00000000">
        <w:rPr>
          <w:rtl w:val="0"/>
        </w:rPr>
        <w:t xml:space="preserve">Health care AI systems face significant security challenges that current regulatory frameworks and validation practices do not adequately address. We propose a multilayered defense strategy that combines ensemble disagreement monitoring, adversarial testing, privacy-preserving yet auditable mechanisms, and strengthened governance requirements. Ensuring patient safety may require a shift from opaque, high-performance models toward more interpretable and constraint-driven architectures with verifiable robustness guarantees.”</w:t>
      </w: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t xml:space="preserve">Abulibdeh, R., Celi, L. A., &amp; Sejdić, E. (2025). The illusion of safety: A report to the FDA on AI healthcare product approvals. PLOS Digital Health, 4(6), e0000866. </w:t>
      </w:r>
      <w:hyperlink r:id="rId8">
        <w:r w:rsidDel="00000000" w:rsidR="00000000" w:rsidRPr="00000000">
          <w:rPr>
            <w:color w:val="1155cc"/>
            <w:u w:val="single"/>
            <w:rtl w:val="0"/>
          </w:rPr>
          <w:t xml:space="preserve">https://doi.org/10.1371/journal.pdig.0000866</w:t>
        </w:r>
      </w:hyperlink>
      <w:r w:rsidDel="00000000" w:rsidR="00000000" w:rsidRPr="00000000">
        <w:rPr>
          <w:rtl w:val="0"/>
        </w:rPr>
        <w:t xml:space="preserve"> </w:t>
      </w:r>
    </w:p>
    <w:p w:rsidR="00000000" w:rsidDel="00000000" w:rsidP="00000000" w:rsidRDefault="00000000" w:rsidRPr="00000000" w14:paraId="000000C5">
      <w:pPr>
        <w:spacing w:line="360" w:lineRule="auto"/>
        <w:rPr/>
      </w:pPr>
      <w:r w:rsidDel="00000000" w:rsidR="00000000" w:rsidRPr="00000000">
        <w:rPr>
          <w:rtl w:val="0"/>
        </w:rPr>
        <w:t xml:space="preserve">​</w:t>
      </w:r>
    </w:p>
    <w:p w:rsidR="00000000" w:rsidDel="00000000" w:rsidP="00000000" w:rsidRDefault="00000000" w:rsidRPr="00000000" w14:paraId="000000C6">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C7">
      <w:pPr>
        <w:spacing w:line="360" w:lineRule="auto"/>
        <w:rPr/>
      </w:pPr>
      <w:r w:rsidDel="00000000" w:rsidR="00000000" w:rsidRPr="00000000">
        <w:rPr>
          <w:rtl w:val="0"/>
        </w:rPr>
        <w:t xml:space="preserve">This report provided evidence that many FDA‑cleared AI tools reach the market with limited clinical validation and inconsistent post‑market surveillance. It was used in the regulatory compliance and conclusion sections to argue that clearance alone is not sufficient assurance of safety. The findings supported the project’s emphasis on internal governance, continuous monitoring, and local validation even for regulated products.</w:t>
      </w:r>
    </w:p>
    <w:p w:rsidR="00000000" w:rsidDel="00000000" w:rsidP="00000000" w:rsidRDefault="00000000" w:rsidRPr="00000000" w14:paraId="000000C8">
      <w:pPr>
        <w:spacing w:line="360" w:lineRule="auto"/>
        <w:rPr/>
      </w:pPr>
      <w:r w:rsidDel="00000000" w:rsidR="00000000" w:rsidRPr="00000000">
        <w:rPr>
          <w:rtl w:val="0"/>
        </w:rPr>
        <w:t xml:space="preserve">​</w:t>
      </w:r>
    </w:p>
    <w:p w:rsidR="00000000" w:rsidDel="00000000" w:rsidP="00000000" w:rsidRDefault="00000000" w:rsidRPr="00000000" w14:paraId="000000C9">
      <w:pPr>
        <w:spacing w:line="3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t xml:space="preserve">“Artificial intelligence is rapidly transforming healthcare, offering promising advancements in diagnosis, treatment, and patient outcomes. However, concerns regarding the regulatory oversight of artificial intelligence driven medical technologies have emerged, particularly with the U.S. Food and Drug Administration’s current approval processes. This paper critically examines the U.S. Food and Drug Administration’s regulatory framework for artificial intelligence powered healthcare products, highlighting gaps in safety evaluations, post-market surveillance, and ethical considerations. Artificial intelligence’s continuous learning capabilities introduce unique risks, as algorithms evolve beyond their initial validation, potentially leading to performance degradation and biased outcomes. Although the U.S. Food and Drug Administration has taken steps to address these challenges, such as artificial intelligence/machine learning-based software as a medical device action plan and proposed regulatory adjustments, significant weaknesses remain, particularly in real-time monitoring, transparency and bias mitigation. This paper argues for a more adaptive, community-engaged regulatory approach that mandates extensive post-market evaluations, requires artificial intelligence developers to disclose training data sources, and establishes enforceable standards for fairness, equity, and accountability. A patient-centered regulatory framework must also integrate diverse perspectives to ensure artificial intelligence technologies serve all populations equitably. By fostering an agile, transparent, and ethics-driven oversight system, the U.S. Food and Drug Administration can balance innovation with patient safety, ensuring that artificial intelligence-driven medical technologies enhance, rather than compromise, healthcare outcomes.”</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t xml:space="preserve">Binkley, C. E., Bouslov, D., Zaidi, A., Kaye, L., Whalen, R., Sethi, S., &amp; Azar, J. (2025). An early pipeline framework for assessing vendor AI solutions to support return on investment. NPJ Digital Medicine, 8(1), 368. </w:t>
      </w:r>
      <w:hyperlink r:id="rId9">
        <w:r w:rsidDel="00000000" w:rsidR="00000000" w:rsidRPr="00000000">
          <w:rPr>
            <w:color w:val="1155cc"/>
            <w:u w:val="single"/>
            <w:rtl w:val="0"/>
          </w:rPr>
          <w:t xml:space="preserve">https://doi.org/10.1038/s41746-025-01767-z</w:t>
        </w:r>
      </w:hyperlink>
      <w:r w:rsidDel="00000000" w:rsidR="00000000" w:rsidRPr="00000000">
        <w:rPr>
          <w:rtl w:val="0"/>
        </w:rPr>
        <w:t xml:space="preserve"> </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CF">
      <w:pPr>
        <w:spacing w:line="360" w:lineRule="auto"/>
        <w:rPr/>
      </w:pPr>
      <w:r w:rsidDel="00000000" w:rsidR="00000000" w:rsidRPr="00000000">
        <w:rPr>
          <w:rtl w:val="0"/>
        </w:rPr>
        <w:t xml:space="preserve">We used this reference while we were building our risk classification model and vendor governance section. This paper guided how the project framed early‑stage evaluation of vendor AI tools before procurement. It was particularly valuable for shaping the vendor risk section and the idea of structured, multi‑domain assessments covering clinical value, risk, and ROI. The framework’s recommendations for standardized due diligence and early pipeline decision points were adapted into the project’s vendor governance controls.</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D2">
      <w:pPr>
        <w:spacing w:line="360" w:lineRule="auto"/>
        <w:rPr/>
      </w:pPr>
      <w:r w:rsidDel="00000000" w:rsidR="00000000" w:rsidRPr="00000000">
        <w:rPr>
          <w:rtl w:val="0"/>
        </w:rPr>
        <w:t xml:space="preserve">“The success of AI solutions in health systems depends on governance from use case inception through deployment and auditing. This proposed early pipeline governance framework for vendor AI solutions highlights a four-pronged approach: strategic alignment, executive sponsorship, impact and value case assessment, and risk assessment. Each component can be scaled to health systems of any size and the risk and impact assessments can take place simultaneously or sequentially.”</w:t>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t xml:space="preserve">Bodnari, A., &amp; Travis, J. (2025). Scaling enterprise AI in healthcare: The role of governance in risk mitigation frameworks. NPJ Digital Medicine, 8, 272. </w:t>
      </w:r>
      <w:hyperlink r:id="rId10">
        <w:r w:rsidDel="00000000" w:rsidR="00000000" w:rsidRPr="00000000">
          <w:rPr>
            <w:color w:val="1155cc"/>
            <w:u w:val="single"/>
            <w:rtl w:val="0"/>
          </w:rPr>
          <w:t xml:space="preserve">https://doi.org/10.1038/s41746-025-01700-4</w:t>
        </w:r>
      </w:hyperlink>
      <w:r w:rsidDel="00000000" w:rsidR="00000000" w:rsidRPr="00000000">
        <w:rPr>
          <w:rtl w:val="0"/>
        </w:rPr>
        <w:t xml:space="preserve"> </w:t>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D7">
      <w:pPr>
        <w:spacing w:line="360" w:lineRule="auto"/>
        <w:rPr/>
      </w:pPr>
      <w:r w:rsidDel="00000000" w:rsidR="00000000" w:rsidRPr="00000000">
        <w:rPr>
          <w:rtl w:val="0"/>
        </w:rPr>
        <w:t xml:space="preserve">We used this source throughout the paper to frame ML tools as something that needs governance over its whole lifecycle. This article underpinned the project’s view of AI governance as an enterprise function that enables safe scaling rather than isolated, project‑by‑project oversight. It informed the design of the integrated governance structure and lifecycle controls across pre‑deployment, deployment, and post‑deployment. The paper was also used in the implementation and conclusion sections to connect governance maturity with risk mitigation and strategic value. Their work also helped us shape our model drift section, our escalation and “stop rule” ideas, and our overall risk‑tiered structure.</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b w:val="1"/>
          <w:bCs w:val="1"/>
          <w:rtl w:val="0"/>
        </w:rPr>
        <w:t xml:space="preserve">Abstract</w:t>
      </w:r>
      <w:r w:rsidDel="00000000" w:rsidR="00000000" w:rsidRPr="00000000">
        <w:rPr>
          <w:rtl w:val="0"/>
        </w:rPr>
        <w:t xml:space="preserve"> </w:t>
      </w:r>
    </w:p>
    <w:p w:rsidR="00000000" w:rsidDel="00000000" w:rsidP="00000000" w:rsidRDefault="00000000" w:rsidRPr="00000000" w14:paraId="000000DA">
      <w:pPr>
        <w:spacing w:line="360" w:lineRule="auto"/>
        <w:rPr/>
      </w:pPr>
      <w:r w:rsidDel="00000000" w:rsidR="00000000" w:rsidRPr="00000000">
        <w:rPr>
          <w:rtl w:val="0"/>
        </w:rPr>
        <w:t xml:space="preserve">“This perspective article examines the role of governance frameworks in mitigating risks and building trust in AI implementations within healthcare organizations. As AI technologies rapidly evolve, robust governance is essential to manage potential adverse incidents and ensure fair, equitable, and effective innovation. This article highlights key risks associated with AI deployments and proposes enhancements to enterprise AI governance to better address these challenges posed by AI and digital health innovations.”</w:t>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t xml:space="preserve">Bond, R. R., Novotny, T., Andršová, I., Koc, L., Sisáková, M., Finlay, D., Guldenring, D., McLaughlin, J., Peace, A., McGilligan, V. E., Leslie, S., Wang, H., &amp; Malik, M. (2018). Automation bias in medicine: The influence of automated diagnoses on interpreter accuracy and uncertainty when reading electrocardiograms. Journal of Electrocardiology, 51(6 Suppl), S6–S11. </w:t>
      </w:r>
      <w:hyperlink r:id="rId11">
        <w:r w:rsidDel="00000000" w:rsidR="00000000" w:rsidRPr="00000000">
          <w:rPr>
            <w:color w:val="1155cc"/>
            <w:u w:val="single"/>
            <w:rtl w:val="0"/>
          </w:rPr>
          <w:t xml:space="preserve">https://doi.org/10.1016/j.jelectrocard.2018.08.007</w:t>
        </w:r>
      </w:hyperlink>
      <w:r w:rsidDel="00000000" w:rsidR="00000000" w:rsidRPr="00000000">
        <w:rPr>
          <w:rtl w:val="0"/>
        </w:rPr>
        <w:t xml:space="preserve"> </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DF">
      <w:pPr>
        <w:spacing w:line="360" w:lineRule="auto"/>
        <w:rPr/>
      </w:pPr>
      <w:r w:rsidDel="00000000" w:rsidR="00000000" w:rsidRPr="00000000">
        <w:rPr>
          <w:rtl w:val="0"/>
        </w:rPr>
        <w:t xml:space="preserve">We used this to give our automation bias section a concrete example, pulling their ECG results to show how wrong AI output can lower clinician accuracy and create a real safety concern. We also used it to reinforce that we needed specific controls around how clinicians interact with AI tools.</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E2">
      <w:pPr>
        <w:spacing w:line="360" w:lineRule="auto"/>
        <w:rPr/>
      </w:pPr>
      <w:r w:rsidDel="00000000" w:rsidR="00000000" w:rsidRPr="00000000">
        <w:rPr>
          <w:rtl w:val="0"/>
        </w:rPr>
        <w:t xml:space="preserve">“Introduction: Interpretation of the 12‑lead Electrocardiogram (ECG) is normally assisted with an automated diagnosis (AD), which can facilitate an ‘automation bias’ where interpreters can be anchored. In this paper, we studied, 1) the effect of an incorrect AD on interpretation accuracy and interpreter confidence (a proxy for uncertainty), and 2) whether confidence and other interpreter features can predict interpretation accuracy using machine learning.</w:t>
      </w:r>
    </w:p>
    <w:p w:rsidR="00000000" w:rsidDel="00000000" w:rsidP="00000000" w:rsidRDefault="00000000" w:rsidRPr="00000000" w14:paraId="000000E3">
      <w:pPr>
        <w:spacing w:line="360" w:lineRule="auto"/>
        <w:rPr/>
      </w:pPr>
      <w:r w:rsidDel="00000000" w:rsidR="00000000" w:rsidRPr="00000000">
        <w:rPr>
          <w:rtl w:val="0"/>
        </w:rPr>
        <w:t xml:space="preserve">Methods: This study analysed 9000 ECG interpretations from cardiology and non-cardiology fellows (CFs and non-CFs). One third of the ECGs involved no ADs, one third with ADs (half as incorrect) and one third had multiple ADs. Interpretations were scored and interpreter confidence was recorded for each interpretation and subsequently standardised using sigma scaling. Spearman coefficients were used for correlation analysis and C5.0 decision trees were used for predicting interpretation accuracy using basic interpreter features such as confidence, age, experience and designation.</w:t>
      </w:r>
    </w:p>
    <w:p w:rsidR="00000000" w:rsidDel="00000000" w:rsidP="00000000" w:rsidRDefault="00000000" w:rsidRPr="00000000" w14:paraId="000000E4">
      <w:pPr>
        <w:spacing w:line="360" w:lineRule="auto"/>
        <w:rPr/>
      </w:pPr>
      <w:r w:rsidDel="00000000" w:rsidR="00000000" w:rsidRPr="00000000">
        <w:rPr>
          <w:rtl w:val="0"/>
        </w:rPr>
        <w:t xml:space="preserve">Results: Interpretation accuracies achieved by CFs and non-CFs dropped by 43.20% and 58.95% respectively when an incorrect AD was presented (p &lt; 0.001). Overall correlation between scaled confidence and interpretation accuracy was higher amongst CFs. However, correlation between confidence and interpretation accuracy decreased for both groups when an incorrect AD was presented. We found that an incorrect AD disturbs the reliability of interpreter confidence in predicting accuracy. An incorrect AD has a greater effect on the confidence of non-CFs (although this is not statistically significant it is close to the threshold, p = 0.065). The best C5.0 decision tree achieved an accuracy rate of 64.67% (p &lt; 0.001), however this is only 6.56% greater than the no-information-rate.</w:t>
      </w:r>
    </w:p>
    <w:p w:rsidR="00000000" w:rsidDel="00000000" w:rsidP="00000000" w:rsidRDefault="00000000" w:rsidRPr="00000000" w14:paraId="000000E5">
      <w:pPr>
        <w:spacing w:line="360" w:lineRule="auto"/>
        <w:rPr/>
      </w:pPr>
      <w:r w:rsidDel="00000000" w:rsidR="00000000" w:rsidRPr="00000000">
        <w:rPr>
          <w:rtl w:val="0"/>
        </w:rPr>
        <w:t xml:space="preserve">Conclusion: Incorrect ADs reduce the interpreter's diagnostic accuracy indicating an automation bias. Non-CFs tend to agree more with the ADs in comparison to CFs, hence less expert physicians are more effected by automation bias. Incorrect ADs reduce the interpreter's confidence and also reduces the predictive power of confidence for predicting accuracy (even more so for non-CFs). Whilst a statistically significant model was developed, it is difficult to predict interpretation accuracy using machine learning on basic features such as interpreter confidence, age, reader experience and designation.” </w:t>
      </w:r>
    </w:p>
    <w:p w:rsidR="00000000" w:rsidDel="00000000" w:rsidP="00000000" w:rsidRDefault="00000000" w:rsidRPr="00000000" w14:paraId="000000E6">
      <w:pPr>
        <w:spacing w:before="320" w:line="360" w:lineRule="auto"/>
        <w:rPr/>
      </w:pPr>
      <w:r w:rsidDel="00000000" w:rsidR="00000000" w:rsidRPr="00000000">
        <w:rPr>
          <w:rtl w:val="0"/>
        </w:rPr>
        <w:t xml:space="preserve">Celi, L. A., Cellini, J., Charpignon, M.-L., Dee, E. C., Dernoncourt, F., Eber, R., Mitchell, W. G., Moukheiber, L., Schirmer, J., Situ, J., Paguio, J., Park, J., Wawira Gichoya, J., &amp; Loreaux, E. (2022). Sources of bias in artificial intelligence that perpetuate healthcare disparities: A global review. PLOS Digital Health, 1(3), e0000022.</w:t>
      </w:r>
    </w:p>
    <w:p w:rsidR="00000000" w:rsidDel="00000000" w:rsidP="00000000" w:rsidRDefault="00000000" w:rsidRPr="00000000" w14:paraId="000000E7">
      <w:pPr>
        <w:spacing w:line="360" w:lineRule="auto"/>
        <w:rPr>
          <w:color w:val="1155cc"/>
          <w:u w:val="single"/>
        </w:rPr>
      </w:pPr>
      <w:hyperlink r:id="rId12">
        <w:r w:rsidDel="00000000" w:rsidR="00000000" w:rsidRPr="00000000">
          <w:rPr>
            <w:color w:val="1155cc"/>
            <w:u w:val="single"/>
            <w:rtl w:val="0"/>
          </w:rPr>
          <w:t xml:space="preserve">https://doi.org/10.1371/journal.pdig.0000022</w:t>
        </w:r>
      </w:hyperlink>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 </w:t>
      </w:r>
    </w:p>
    <w:p w:rsidR="00000000" w:rsidDel="00000000" w:rsidP="00000000" w:rsidRDefault="00000000" w:rsidRPr="00000000" w14:paraId="000000E9">
      <w:pPr>
        <w:spacing w:after="60" w:before="160"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EA">
      <w:pPr>
        <w:spacing w:line="360" w:lineRule="auto"/>
        <w:rPr/>
      </w:pPr>
      <w:r w:rsidDel="00000000" w:rsidR="00000000" w:rsidRPr="00000000">
        <w:rPr>
          <w:rtl w:val="0"/>
        </w:rPr>
        <w:t xml:space="preserve">This source provided the foundational evidence for the dermatology and skin lesion example used in the algorithmic bias section, illustrating how models trained on majority-demographic data perform poorly for underrepresented patient populations. It supported the governance response requiring pre-deployment bias audits and ongoing demographic performance monitoring.</w:t>
      </w:r>
    </w:p>
    <w:p w:rsidR="00000000" w:rsidDel="00000000" w:rsidP="00000000" w:rsidRDefault="00000000" w:rsidRPr="00000000" w14:paraId="000000EB">
      <w:pPr>
        <w:spacing w:line="360" w:lineRule="auto"/>
        <w:rPr/>
      </w:pPr>
      <w:r w:rsidDel="00000000" w:rsidR="00000000" w:rsidRPr="00000000">
        <w:rPr>
          <w:rtl w:val="0"/>
        </w:rPr>
        <w:t xml:space="preserve"> </w:t>
      </w:r>
    </w:p>
    <w:p w:rsidR="00000000" w:rsidDel="00000000" w:rsidP="00000000" w:rsidRDefault="00000000" w:rsidRPr="00000000" w14:paraId="000000EC">
      <w:pPr>
        <w:spacing w:after="60" w:before="16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ED">
      <w:pPr>
        <w:spacing w:line="360" w:lineRule="auto"/>
        <w:rPr/>
      </w:pPr>
      <w:r w:rsidDel="00000000" w:rsidR="00000000" w:rsidRPr="00000000">
        <w:rPr>
          <w:rtl w:val="0"/>
        </w:rPr>
        <w:t xml:space="preserve">"Artificial intelligence (AI) tools are increasingly being developed and implemented in clinical care, but they are not immune to systemic biases that can perpetuate healthcare disparities. We review sources of bias throughout the AI development lifecycle, including biased training data, biased model development practices, and implementation gaps, with examples drawn from dermatology, radiology, and other clinical domains. We highlight how underrepresentation of minority populations in training datasets produces tools that perform worse for those same groups in practice. The review calls for greater diversity in data collection, transparent reporting of model performance across demographic subgroups, and structural changes to how AI tools are validated and monitored after deployment."</w:t>
      </w:r>
    </w:p>
    <w:p w:rsidR="00000000" w:rsidDel="00000000" w:rsidP="00000000" w:rsidRDefault="00000000" w:rsidRPr="00000000" w14:paraId="000000EE">
      <w:pPr>
        <w:spacing w:before="320" w:line="360" w:lineRule="auto"/>
        <w:rPr/>
      </w:pPr>
      <w:r w:rsidDel="00000000" w:rsidR="00000000" w:rsidRPr="00000000">
        <w:rPr>
          <w:rtl w:val="0"/>
        </w:rPr>
        <w:t xml:space="preserve">Cross, J. L., Choma, M. A., &amp; Onofrey, J. A. (2024). Bias in medical AI: Implications for clinical decision-making. PLOS Digital Health, 3(11), e0000651.</w:t>
      </w:r>
    </w:p>
    <w:p w:rsidR="00000000" w:rsidDel="00000000" w:rsidP="00000000" w:rsidRDefault="00000000" w:rsidRPr="00000000" w14:paraId="000000EF">
      <w:pPr>
        <w:spacing w:line="360" w:lineRule="auto"/>
        <w:rPr>
          <w:color w:val="1155cc"/>
          <w:u w:val="single"/>
        </w:rPr>
      </w:pPr>
      <w:hyperlink r:id="rId13">
        <w:r w:rsidDel="00000000" w:rsidR="00000000" w:rsidRPr="00000000">
          <w:rPr>
            <w:color w:val="1155cc"/>
            <w:u w:val="single"/>
            <w:rtl w:val="0"/>
          </w:rPr>
          <w:t xml:space="preserve">https://doi.org/10.1371/journal.pdig.0000651</w:t>
        </w:r>
      </w:hyperlink>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t xml:space="preserve"> </w:t>
      </w:r>
    </w:p>
    <w:p w:rsidR="00000000" w:rsidDel="00000000" w:rsidP="00000000" w:rsidRDefault="00000000" w:rsidRPr="00000000" w14:paraId="000000F1">
      <w:pPr>
        <w:spacing w:after="60" w:before="160"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F2">
      <w:pPr>
        <w:spacing w:line="360" w:lineRule="auto"/>
        <w:rPr/>
      </w:pPr>
      <w:r w:rsidDel="00000000" w:rsidR="00000000" w:rsidRPr="00000000">
        <w:rPr>
          <w:rtl w:val="0"/>
        </w:rPr>
        <w:t xml:space="preserve">This source was used in the algorithmic bias section to support the argument that bias enters ML systems across the entire development pipeline, not just during data collection. It helped frame bias as a lifecycle-wide governance concern and reinforced the need for independent audits and stratified validation studies before deployment.</w:t>
      </w:r>
    </w:p>
    <w:p w:rsidR="00000000" w:rsidDel="00000000" w:rsidP="00000000" w:rsidRDefault="00000000" w:rsidRPr="00000000" w14:paraId="000000F3">
      <w:pPr>
        <w:spacing w:line="360" w:lineRule="auto"/>
        <w:rPr/>
      </w:pPr>
      <w:r w:rsidDel="00000000" w:rsidR="00000000" w:rsidRPr="00000000">
        <w:rPr>
          <w:rtl w:val="0"/>
        </w:rPr>
        <w:t xml:space="preserve"> </w:t>
      </w:r>
    </w:p>
    <w:p w:rsidR="00000000" w:rsidDel="00000000" w:rsidP="00000000" w:rsidRDefault="00000000" w:rsidRPr="00000000" w14:paraId="000000F4">
      <w:pPr>
        <w:spacing w:after="60" w:before="16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F5">
      <w:pPr>
        <w:spacing w:line="360" w:lineRule="auto"/>
        <w:rPr/>
      </w:pPr>
      <w:r w:rsidDel="00000000" w:rsidR="00000000" w:rsidRPr="00000000">
        <w:rPr>
          <w:rtl w:val="0"/>
        </w:rPr>
        <w:t xml:space="preserve">"Biases in medical artificial intelligence (AI) arise and compound throughout the AI lifecycle. These biases can have significant clinical consequences, especially in applications that involve clinical decision-making. Left unaddressed, biased medical AI can lead to substandard clinical decisions and the perpetuation and exacerbation of longstanding healthcare disparities. We discuss potential biases that can arise at different stages in the AI development pipeline and how they can affect AI algorithms and clinical decision-making. Bias can occur in data features and labels, model development and evaluation, deployment, and publication. Our review stresses the importance of diverse and comprehensive data sets, sophisticated statistical methods to remove biases, and clear reporting standards, which are key components of a future where medical AI works equitably and supports high-quality clinical care for everyone."</w:t>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t xml:space="preserve">Di Palma, G., Scendoni, R., Ferorelli, D., De Benedictis, A., Tambone, V., &amp; De Micco, F. (2025). AI-induced cybersecurity risks in healthcare: A narrative review of blockchain-based solutions within a clinical risk management framework. Risk Management and Healthcare Policy, 18, 3479–3497. </w:t>
      </w:r>
      <w:hyperlink r:id="rId14">
        <w:r w:rsidDel="00000000" w:rsidR="00000000" w:rsidRPr="00000000">
          <w:rPr>
            <w:color w:val="1155cc"/>
            <w:u w:val="single"/>
            <w:rtl w:val="0"/>
          </w:rPr>
          <w:t xml:space="preserve">https://doi.org/10.2147/RMHP.S544523</w:t>
        </w:r>
      </w:hyperlink>
      <w:r w:rsidDel="00000000" w:rsidR="00000000" w:rsidRPr="00000000">
        <w:rPr>
          <w:rtl w:val="0"/>
        </w:rPr>
        <w:t xml:space="preserve"> </w:t>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0FA">
      <w:pPr>
        <w:spacing w:line="360" w:lineRule="auto"/>
        <w:rPr/>
      </w:pPr>
      <w:r w:rsidDel="00000000" w:rsidR="00000000" w:rsidRPr="00000000">
        <w:rPr>
          <w:rtl w:val="0"/>
        </w:rPr>
        <w:t xml:space="preserve">We used this source in our cross‑cutting functions section to connect AI governance with cybersecurity and clinical risk. Their work helped us argue for updated AI policies, security checks, and clear incident‑response plans. The paper provided a broad overview of AI‑related cybersecurity threats in healthcare and positioned them within clinical risk management. It helped justify treating ML systems as high‑value cyber targets and integrating security into overall governance rather than as a separate IT concern. The discussion of potential technical mitigations informed the project’s call for HIPAA‑aligned safeguards and robust incident‑response planning.</w:t>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FD">
      <w:pPr>
        <w:spacing w:line="360" w:lineRule="auto"/>
        <w:rPr/>
      </w:pPr>
      <w:r w:rsidDel="00000000" w:rsidR="00000000" w:rsidRPr="00000000">
        <w:rPr>
          <w:rtl w:val="0"/>
        </w:rPr>
        <w:t xml:space="preserve">“Background/Objectives: Artificial intelligence (AI) is revolutionizing the healthcare industry, improving diagnoses, treatments, and clinical processes. However, its integration poses significant cybersecurity risks, including data breaches, algorithmic opacity, and vulnerabilities in AI-controlled medical devices. This narrative review analyzes these threats and evaluates blockchain technology as a potential mitigation strategy within a Clinical Risk Management framework.</w:t>
      </w:r>
    </w:p>
    <w:p w:rsidR="00000000" w:rsidDel="00000000" w:rsidP="00000000" w:rsidRDefault="00000000" w:rsidRPr="00000000" w14:paraId="000000FE">
      <w:pPr>
        <w:spacing w:line="360" w:lineRule="auto"/>
        <w:rPr/>
      </w:pPr>
      <w:r w:rsidDel="00000000" w:rsidR="00000000" w:rsidRPr="00000000">
        <w:rPr>
          <w:rtl w:val="0"/>
        </w:rPr>
        <w:t xml:space="preserve">Methods: The literature search was conducted on PubMed, Scopus, and Web of Science, considering peer-reviewed publications from 2000 to January 2025. 1,204 articles were identified. Inclusion criteria included studies on cybersecurity risks in healthcare, blockchain applications in the clinical setting, and regulatory references (eg, General Data Protection Regulation). Conference abstracts, non-English articles, and non-peer-reviewed contributions were excluded. To ensure methodological rigor, the Scale for the Assessment of Narrative Review Articles criteria were applied.</w:t>
      </w:r>
    </w:p>
    <w:p w:rsidR="00000000" w:rsidDel="00000000" w:rsidP="00000000" w:rsidRDefault="00000000" w:rsidRPr="00000000" w14:paraId="000000FF">
      <w:pPr>
        <w:spacing w:line="360" w:lineRule="auto"/>
        <w:rPr/>
      </w:pPr>
      <w:r w:rsidDel="00000000" w:rsidR="00000000" w:rsidRPr="00000000">
        <w:rPr>
          <w:rtl w:val="0"/>
        </w:rPr>
        <w:t xml:space="preserve">Results: The thematic analysis highlighted recurring critical issues: difficulties with informed consent, unauthorized access to sensitive data, and systemic vulnerabilities in hospital digital infrastructures. Blockchain presents a promising solution thanks to its decentralization, immutability, and transparency. Integration with smart contracts enables dynamic consent management, secure data sharing, and real-time monitoring of medical devices. Permissioned networks improve traceability and regulatory compliance, while Layer 2 solutions and optimized consent protocols address scalability challenges.</w:t>
      </w:r>
    </w:p>
    <w:p w:rsidR="00000000" w:rsidDel="00000000" w:rsidP="00000000" w:rsidRDefault="00000000" w:rsidRPr="00000000" w14:paraId="00000100">
      <w:pPr>
        <w:spacing w:line="360" w:lineRule="auto"/>
        <w:rPr/>
      </w:pPr>
      <w:r w:rsidDel="00000000" w:rsidR="00000000" w:rsidRPr="00000000">
        <w:rPr>
          <w:rtl w:val="0"/>
        </w:rPr>
        <w:t xml:space="preserve">Conclusion: Despite its potential, blockchain adoption faces obstacles: high costs, regulatory rigidity, and poor acceptance among healthcare professionals. The review highlights the need for pilot projects, interdisciplinary collaboration, and regulatory updates for effective integration. Combining AI and blockchain in Clinical Risk Management can transform clinical risk management from reactive to proactive, improving patient safety, data governance, and accountability.” </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t xml:space="preserve">Hussein, R., Zink, A., Ramadan, B., Howard, F. M., Hightower, M., Shah, S., &amp; Beaulieu-Jones, B. K. (2026). Advancing healthcare AI governance through a comprehensive maturity model based on systematic review. NPJ Digital Medicine. Advance online publication. </w:t>
      </w:r>
      <w:hyperlink r:id="rId15">
        <w:r w:rsidDel="00000000" w:rsidR="00000000" w:rsidRPr="00000000">
          <w:rPr>
            <w:color w:val="1155cc"/>
            <w:u w:val="single"/>
            <w:rtl w:val="0"/>
          </w:rPr>
          <w:t xml:space="preserve">https://doi.org/10.1038/s41746-026-02418-7</w:t>
        </w:r>
      </w:hyperlink>
      <w:r w:rsidDel="00000000" w:rsidR="00000000" w:rsidRPr="00000000">
        <w:rPr>
          <w:rtl w:val="0"/>
        </w:rPr>
        <w:t xml:space="preserve"> </w:t>
      </w:r>
    </w:p>
    <w:p w:rsidR="00000000" w:rsidDel="00000000" w:rsidP="00000000" w:rsidRDefault="00000000" w:rsidRPr="00000000" w14:paraId="00000103">
      <w:pPr>
        <w:spacing w:line="360" w:lineRule="auto"/>
        <w:rPr/>
      </w:pPr>
      <w:r w:rsidDel="00000000" w:rsidR="00000000" w:rsidRPr="00000000">
        <w:rPr>
          <w:rtl w:val="0"/>
        </w:rPr>
        <w:t xml:space="preserve">​</w:t>
      </w:r>
    </w:p>
    <w:p w:rsidR="00000000" w:rsidDel="00000000" w:rsidP="00000000" w:rsidRDefault="00000000" w:rsidRPr="00000000" w14:paraId="00000104">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05">
      <w:pPr>
        <w:spacing w:line="360" w:lineRule="auto"/>
        <w:rPr/>
      </w:pPr>
      <w:r w:rsidDel="00000000" w:rsidR="00000000" w:rsidRPr="00000000">
        <w:rPr>
          <w:rtl w:val="0"/>
        </w:rPr>
        <w:t xml:space="preserve">This maturity model was central to articulating how AI governance capabilities evolve over time in healthcare organizations. It was used to structure the phased implementation roadmap and to motivate the use of maturity levels as strategic success metrics. The source also strengthened the conclusion’s argument that governance is a progressive, organization‑wide transformation rather than a one‑time policy exercise.</w:t>
      </w:r>
    </w:p>
    <w:p w:rsidR="00000000" w:rsidDel="00000000" w:rsidP="00000000" w:rsidRDefault="00000000" w:rsidRPr="00000000" w14:paraId="00000106">
      <w:pPr>
        <w:spacing w:line="360" w:lineRule="auto"/>
        <w:rPr/>
      </w:pPr>
      <w:r w:rsidDel="00000000" w:rsidR="00000000" w:rsidRPr="00000000">
        <w:rPr>
          <w:rtl w:val="0"/>
        </w:rPr>
        <w:t xml:space="preserve">​</w:t>
      </w:r>
    </w:p>
    <w:p w:rsidR="00000000" w:rsidDel="00000000" w:rsidP="00000000" w:rsidRDefault="00000000" w:rsidRPr="00000000" w14:paraId="00000107">
      <w:pPr>
        <w:spacing w:line="3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t xml:space="preserve">“Artificial Intelligence (AI) deployment in healthcare is accelerating, yet governance frameworks remain fragmented and often assume extensive resources. Through a systematic review of 35 frameworks for AI implementation in healthcare (published 2019–2024), we identified seven critical domains of healthcare AI governance. While existing frameworks provide valuable guidance, the resource requirements create barriers for smaller healthcare organizations. To address this gap, we organized key findings from the review to create the Healthcare AI Governance Readiness Assessment (HAIRA), a five-level maturity model that provides actionable governance pathways based on organizational resources. HAIRA spans from Level 1 (Initial/Ad Hoc) to Level 5 (Leading), with specific benchmarks across all seven governance domains. This tiered approach enables healthcare organizations to assess their current AI governance capabilities and establish appropriate advancement targets. Our framework addresses a critical need for adaptive governance strategies that ensure that AI implementation delivers tangible benefits to systems of varying resource levels.”</w:t>
      </w:r>
    </w:p>
    <w:p w:rsidR="00000000" w:rsidDel="00000000" w:rsidP="00000000" w:rsidRDefault="00000000" w:rsidRPr="00000000" w14:paraId="00000109">
      <w:pPr>
        <w:spacing w:before="0" w:line="360" w:lineRule="auto"/>
        <w:rPr/>
      </w:pPr>
      <w:r w:rsidDel="00000000" w:rsidR="00000000" w:rsidRPr="00000000">
        <w:rPr>
          <w:rtl w:val="0"/>
        </w:rPr>
      </w:r>
    </w:p>
    <w:p w:rsidR="00000000" w:rsidDel="00000000" w:rsidP="00000000" w:rsidRDefault="00000000" w:rsidRPr="00000000" w14:paraId="0000010A">
      <w:pPr>
        <w:spacing w:before="0" w:line="360" w:lineRule="auto"/>
        <w:rPr/>
      </w:pPr>
      <w:r w:rsidDel="00000000" w:rsidR="00000000" w:rsidRPr="00000000">
        <w:rPr>
          <w:rtl w:val="0"/>
        </w:rPr>
        <w:t xml:space="preserve">ISACA. (2019). COBIT 2019 framework: Introduction and methodology. ISACA.</w:t>
      </w:r>
    </w:p>
    <w:p w:rsidR="00000000" w:rsidDel="00000000" w:rsidP="00000000" w:rsidRDefault="00000000" w:rsidRPr="00000000" w14:paraId="0000010B">
      <w:pPr>
        <w:spacing w:before="0" w:line="360" w:lineRule="auto"/>
        <w:rPr/>
      </w:pPr>
      <w:r w:rsidDel="00000000" w:rsidR="00000000" w:rsidRPr="00000000">
        <w:rPr>
          <w:rtl w:val="0"/>
        </w:rPr>
        <w:t xml:space="preserve"> </w:t>
      </w:r>
    </w:p>
    <w:p w:rsidR="00000000" w:rsidDel="00000000" w:rsidP="00000000" w:rsidRDefault="00000000" w:rsidRPr="00000000" w14:paraId="0000010C">
      <w:pPr>
        <w:spacing w:after="60" w:before="0"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0D">
      <w:pPr>
        <w:spacing w:before="0" w:line="360" w:lineRule="auto"/>
        <w:rPr/>
      </w:pPr>
      <w:r w:rsidDel="00000000" w:rsidR="00000000" w:rsidRPr="00000000">
        <w:rPr>
          <w:rtl w:val="0"/>
        </w:rPr>
        <w:t xml:space="preserve">COBIT 2019 was one of the primary governance frameworks used to structure the three-tier governance model in section 4.1. It helped with the design of the AI Governance Steering Committee's Evaluate, Direct, and Monitor (EDM) functions and the ML Diagnostic Review Committee's Build, Acquire, Implement (BAI) and Deliver, Service, Support (DSS) responsibilities.</w:t>
      </w:r>
    </w:p>
    <w:p w:rsidR="00000000" w:rsidDel="00000000" w:rsidP="00000000" w:rsidRDefault="00000000" w:rsidRPr="00000000" w14:paraId="0000010E">
      <w:pPr>
        <w:spacing w:before="0" w:line="360" w:lineRule="auto"/>
        <w:rPr/>
      </w:pPr>
      <w:r w:rsidDel="00000000" w:rsidR="00000000" w:rsidRPr="00000000">
        <w:rPr>
          <w:rtl w:val="0"/>
        </w:rPr>
        <w:t xml:space="preserve"> </w:t>
      </w:r>
    </w:p>
    <w:p w:rsidR="00000000" w:rsidDel="00000000" w:rsidP="00000000" w:rsidRDefault="00000000" w:rsidRPr="00000000" w14:paraId="0000010F">
      <w:pPr>
        <w:spacing w:after="60" w:before="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10">
      <w:pPr>
        <w:spacing w:before="0" w:line="360" w:lineRule="auto"/>
        <w:rPr/>
      </w:pPr>
      <w:r w:rsidDel="00000000" w:rsidR="00000000" w:rsidRPr="00000000">
        <w:rPr>
          <w:rtl w:val="0"/>
        </w:rPr>
        <w:t xml:space="preserve">"COBIT 2019 is ISACA's leading framework for the governance and management of enterprise information and technology. It provides a comprehensive set of globally accepted practices, analytical tools, and models to help organizations maximize value from their IT investments while managing risk and optimizing resources. The framework is organized around six governance and management objective domains: Evaluate, Direct, and Monitor (EDM); Align, Plan, and Organize (APO); Build, Acquire, and Implement (BAI); Deliver, Service, and Support (DSS); Monitor, Evaluate, and Assess (MEA); and Risk (RK). COBIT 2019 introduces a more flexible, customizable structure compared to its predecessors, allowing organizations to tailor the framework to their specific governance needs and risk profiles."</w:t>
      </w:r>
    </w:p>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spacing w:line="360" w:lineRule="auto"/>
        <w:rPr>
          <w:b w:val="1"/>
          <w:bCs w:val="1"/>
        </w:rPr>
      </w:pPr>
      <w:r w:rsidDel="00000000" w:rsidR="00000000" w:rsidRPr="00000000">
        <w:rPr>
          <w:rtl w:val="0"/>
        </w:rPr>
        <w:t xml:space="preserve">Jarmakovica, A. (2025). Machine learning-based strategies for improving healthcare data quality: An evaluation of accuracy, completeness, and reusability. Frontiers in Artificial Intelligence, 8, 1621514. https://doi.org/10.3389/frai.2025.1621514</w:t>
      </w:r>
      <w:r w:rsidDel="00000000" w:rsidR="00000000" w:rsidRPr="00000000">
        <w:rPr>
          <w:rtl w:val="0"/>
        </w:rPr>
      </w:r>
    </w:p>
    <w:p w:rsidR="00000000" w:rsidDel="00000000" w:rsidP="00000000" w:rsidRDefault="00000000" w:rsidRPr="00000000" w14:paraId="00000113">
      <w:pPr>
        <w:spacing w:line="360" w:lineRule="auto"/>
        <w:rPr>
          <w:b w:val="1"/>
          <w:bCs w:val="1"/>
        </w:rPr>
      </w:pPr>
      <w:r w:rsidDel="00000000" w:rsidR="00000000" w:rsidRPr="00000000">
        <w:rPr>
          <w:rtl w:val="0"/>
        </w:rPr>
      </w:r>
    </w:p>
    <w:p w:rsidR="00000000" w:rsidDel="00000000" w:rsidP="00000000" w:rsidRDefault="00000000" w:rsidRPr="00000000" w14:paraId="00000114">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15">
      <w:pPr>
        <w:spacing w:line="360" w:lineRule="auto"/>
        <w:rPr/>
      </w:pPr>
      <w:r w:rsidDel="00000000" w:rsidR="00000000" w:rsidRPr="00000000">
        <w:rPr>
          <w:rtl w:val="0"/>
        </w:rPr>
        <w:t xml:space="preserve">This source was used in the data quality and integrity risk section to support the argument that healthcare data quality is a patient safety issue, not just a technical one. It provided evidence that models trained on data from large academic centers may underperform in community or rural settings, and that data drift poses a continuous risk to model reliability after deployment.</w:t>
      </w:r>
    </w:p>
    <w:p w:rsidR="00000000" w:rsidDel="00000000" w:rsidP="00000000" w:rsidRDefault="00000000" w:rsidRPr="00000000" w14:paraId="00000116">
      <w:pPr>
        <w:spacing w:line="360" w:lineRule="auto"/>
        <w:rPr/>
      </w:pPr>
      <w:r w:rsidDel="00000000" w:rsidR="00000000" w:rsidRPr="00000000">
        <w:rPr>
          <w:rtl w:val="0"/>
        </w:rPr>
        <w:t xml:space="preserve"> </w:t>
      </w:r>
    </w:p>
    <w:p w:rsidR="00000000" w:rsidDel="00000000" w:rsidP="00000000" w:rsidRDefault="00000000" w:rsidRPr="00000000" w14:paraId="00000117">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18">
      <w:pPr>
        <w:spacing w:line="360" w:lineRule="auto"/>
        <w:rPr/>
      </w:pPr>
      <w:r w:rsidDel="00000000" w:rsidR="00000000" w:rsidRPr="00000000">
        <w:rPr>
          <w:rtl w:val="0"/>
        </w:rPr>
        <w:t xml:space="preserve">"Healthcare data quality is a critical factor in clinical decision-making, diagnostic accuracy, and the overall efficacy of healthcare systems. This study addresses key challenges such as missing values and anomalies in healthcare datasets, which can result in misdiagnoses and inefficient resource use. The objective is to develop and evaluate a machine learning-based strategy to improve healthcare data quality, with a focus on three core dimensions: accuracy, completeness, and reusability. Findings illustrate how ML techniques can standardize disparate data sources, address missing values, and detect anomalies. The study also discusses how data drift and non-representative training sets can degrade model performance over time, reinforcing the need for continuous monitoring and governance controls tied to data quality standards."</w:t>
      </w:r>
    </w:p>
    <w:p w:rsidR="00000000" w:rsidDel="00000000" w:rsidP="00000000" w:rsidRDefault="00000000" w:rsidRPr="00000000" w14:paraId="00000119">
      <w:pPr>
        <w:spacing w:line="360" w:lineRule="auto"/>
        <w:rPr/>
      </w:pP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rtl w:val="0"/>
        </w:rPr>
        <w:t xml:space="preserve">Ji, M., Genchev, G. Z., Huang, H., Xu, T., Lu, H., &amp; Yu, G. (2021). Evaluation framework for successful artificial intelligence–enabled clinical decision support systems: Development and validation study. Journal of Medical Internet Research, 23(6), e25929. </w:t>
      </w:r>
      <w:hyperlink r:id="rId16">
        <w:r w:rsidDel="00000000" w:rsidR="00000000" w:rsidRPr="00000000">
          <w:rPr>
            <w:color w:val="1155cc"/>
            <w:u w:val="single"/>
            <w:rtl w:val="0"/>
          </w:rPr>
          <w:t xml:space="preserve">https://doi.org/10.2196/25929</w:t>
        </w:r>
      </w:hyperlink>
      <w:r w:rsidDel="00000000" w:rsidR="00000000" w:rsidRPr="00000000">
        <w:rPr>
          <w:rtl w:val="0"/>
        </w:rPr>
        <w:t xml:space="preserve"> </w:t>
      </w:r>
    </w:p>
    <w:p w:rsidR="00000000" w:rsidDel="00000000" w:rsidP="00000000" w:rsidRDefault="00000000" w:rsidRPr="00000000" w14:paraId="0000011B">
      <w:pPr>
        <w:spacing w:line="360" w:lineRule="auto"/>
        <w:rPr/>
      </w:pPr>
      <w:r w:rsidDel="00000000" w:rsidR="00000000" w:rsidRPr="00000000">
        <w:rPr>
          <w:rtl w:val="0"/>
        </w:rPr>
        <w:t xml:space="preserve">​</w:t>
      </w:r>
    </w:p>
    <w:p w:rsidR="00000000" w:rsidDel="00000000" w:rsidP="00000000" w:rsidRDefault="00000000" w:rsidRPr="00000000" w14:paraId="0000011C">
      <w:pPr>
        <w:spacing w:line="360" w:lineRule="auto"/>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11D">
      <w:pPr>
        <w:spacing w:line="360" w:lineRule="auto"/>
        <w:rPr/>
      </w:pPr>
      <w:r w:rsidDel="00000000" w:rsidR="00000000" w:rsidRPr="00000000">
        <w:rPr>
          <w:rtl w:val="0"/>
        </w:rPr>
        <w:t xml:space="preserve">This study provided a detailed evaluation framework for AI‑enabled clinical decision support that linked technical performance with usability and perceived benefit. It informed the project’s success metrics, especially around clinician acceptance, workflow fit, and user‑centred evaluation during deployment. The work also reinforced the need to monitor human–AI interaction outcomes, not just model accuracy, in lifecycle governance.</w:t>
      </w:r>
    </w:p>
    <w:p w:rsidR="00000000" w:rsidDel="00000000" w:rsidP="00000000" w:rsidRDefault="00000000" w:rsidRPr="00000000" w14:paraId="0000011E">
      <w:pPr>
        <w:spacing w:line="360" w:lineRule="auto"/>
        <w:rPr/>
      </w:pPr>
      <w:r w:rsidDel="00000000" w:rsidR="00000000" w:rsidRPr="00000000">
        <w:rPr>
          <w:rtl w:val="0"/>
        </w:rPr>
        <w:t xml:space="preserve">​</w:t>
      </w:r>
    </w:p>
    <w:p w:rsidR="00000000" w:rsidDel="00000000" w:rsidP="00000000" w:rsidRDefault="00000000" w:rsidRPr="00000000" w14:paraId="0000011F">
      <w:pPr>
        <w:spacing w:line="3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t xml:space="preserve">“Background:</w:t>
      </w:r>
    </w:p>
    <w:p w:rsidR="00000000" w:rsidDel="00000000" w:rsidP="00000000" w:rsidRDefault="00000000" w:rsidRPr="00000000" w14:paraId="00000121">
      <w:pPr>
        <w:spacing w:line="360" w:lineRule="auto"/>
        <w:rPr/>
      </w:pPr>
      <w:r w:rsidDel="00000000" w:rsidR="00000000" w:rsidRPr="00000000">
        <w:rPr>
          <w:rtl w:val="0"/>
        </w:rPr>
        <w:t xml:space="preserve">Clinical decision support systems are designed to utilize medical data, knowledge, and analysis engines and to generate patient-specific assessments or recommendations to health professionals in order to assist decision making. Artificial intelligence–enabled clinical decision support systems aid the decision-making process through an intelligent component. Well-defined evaluation methods are essential to ensure the seamless integration and contribution of these systems to clinical practice.</w:t>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rtl w:val="0"/>
        </w:rPr>
        <w:t xml:space="preserve">Objective:</w:t>
      </w:r>
    </w:p>
    <w:p w:rsidR="00000000" w:rsidDel="00000000" w:rsidP="00000000" w:rsidRDefault="00000000" w:rsidRPr="00000000" w14:paraId="00000124">
      <w:pPr>
        <w:spacing w:line="360" w:lineRule="auto"/>
        <w:rPr/>
      </w:pPr>
      <w:r w:rsidDel="00000000" w:rsidR="00000000" w:rsidRPr="00000000">
        <w:rPr>
          <w:rtl w:val="0"/>
        </w:rPr>
        <w:t xml:space="preserve">The purpose of this study was to develop and validate a measurement instrument and test the interrelationships of evaluation variables for an artificial intelligence–enabled clinical decision support system evaluation framework.</w:t>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t xml:space="preserve">Methods:</w:t>
      </w:r>
    </w:p>
    <w:p w:rsidR="00000000" w:rsidDel="00000000" w:rsidP="00000000" w:rsidRDefault="00000000" w:rsidRPr="00000000" w14:paraId="00000127">
      <w:pPr>
        <w:spacing w:line="360" w:lineRule="auto"/>
        <w:rPr/>
      </w:pPr>
      <w:r w:rsidDel="00000000" w:rsidR="00000000" w:rsidRPr="00000000">
        <w:rPr>
          <w:rtl w:val="0"/>
        </w:rPr>
        <w:t xml:space="preserve">An artificial intelligence–enabled clinical decision support system evaluation framework consisting of 6 variables was developed. A Delphi process was conducted to develop the measurement instrument items. Cognitive interviews and pretesting were performed to refine the questions. Web-based survey response data were analyzed to remove irrelevant questions from the measurement instrument, to test dimensional structure, and to assess reliability and validity. The interrelationships of relevant variables were tested and verified using path analysis, and a 28-item measurement instrument was developed. Measurement instrument survey responses were collected from 156 respondents.</w:t>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t xml:space="preserve">Results:</w:t>
      </w:r>
    </w:p>
    <w:p w:rsidR="00000000" w:rsidDel="00000000" w:rsidP="00000000" w:rsidRDefault="00000000" w:rsidRPr="00000000" w14:paraId="0000012A">
      <w:pPr>
        <w:spacing w:line="360" w:lineRule="auto"/>
        <w:rPr/>
      </w:pPr>
      <w:r w:rsidDel="00000000" w:rsidR="00000000" w:rsidRPr="00000000">
        <w:rPr>
          <w:rtl w:val="0"/>
        </w:rPr>
        <w:t xml:space="preserve">The Cronbach α of the measurement instrument was 0.963, and its content validity was 0.943. Values of average variance extracted ranged from 0.582 to 0.756, and values of the heterotrait-monotrait ratio ranged from 0.376 to 0.896. The final model had a good fit (χ262=36.984; P=.08; comparative fit index 0.991; goodness-of-fit index 0.957; root mean square error of approximation 0.052; standardized root mean square residual 0.028). Variables in the final model accounted for 89% of the variance in the user acceptance dimension.</w:t>
      </w:r>
    </w:p>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spacing w:line="360" w:lineRule="auto"/>
        <w:rPr/>
      </w:pPr>
      <w:r w:rsidDel="00000000" w:rsidR="00000000" w:rsidRPr="00000000">
        <w:rPr>
          <w:rtl w:val="0"/>
        </w:rPr>
        <w:t xml:space="preserve">Conclusions:</w:t>
      </w:r>
    </w:p>
    <w:p w:rsidR="00000000" w:rsidDel="00000000" w:rsidP="00000000" w:rsidRDefault="00000000" w:rsidRPr="00000000" w14:paraId="0000012D">
      <w:pPr>
        <w:spacing w:line="360" w:lineRule="auto"/>
        <w:rPr/>
      </w:pPr>
      <w:r w:rsidDel="00000000" w:rsidR="00000000" w:rsidRPr="00000000">
        <w:rPr>
          <w:rtl w:val="0"/>
        </w:rPr>
        <w:t xml:space="preserve">User acceptance is the central dimension of artificial intelligence–enabled clinical decision support system success. Acceptance was directly influenced by perceived ease of use, information quality, service quality, and perceived benefit. Acceptance was also indirectly influenced by system quality and information quality through perceived ease of use. User acceptance and perceived benefit were interrelated.”</w:t>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t xml:space="preserve">National Institute of Standards and Technology. (2023). Artificial intelligence risk management framework (AI RMF 1.0). U.S. Department of Commerce.</w:t>
      </w:r>
    </w:p>
    <w:p w:rsidR="00000000" w:rsidDel="00000000" w:rsidP="00000000" w:rsidRDefault="00000000" w:rsidRPr="00000000" w14:paraId="00000130">
      <w:pPr>
        <w:spacing w:line="360" w:lineRule="auto"/>
        <w:rPr/>
      </w:pPr>
      <w:r w:rsidDel="00000000" w:rsidR="00000000" w:rsidRPr="00000000">
        <w:rPr>
          <w:rtl w:val="0"/>
        </w:rPr>
        <w:t xml:space="preserve">https://doi.org/10.6028/NIST.AI.100-1</w:t>
      </w:r>
    </w:p>
    <w:p w:rsidR="00000000" w:rsidDel="00000000" w:rsidP="00000000" w:rsidRDefault="00000000" w:rsidRPr="00000000" w14:paraId="00000131">
      <w:pPr>
        <w:spacing w:line="360" w:lineRule="auto"/>
        <w:rPr/>
      </w:pPr>
      <w:r w:rsidDel="00000000" w:rsidR="00000000" w:rsidRPr="00000000">
        <w:rPr>
          <w:rtl w:val="0"/>
        </w:rPr>
        <w:t xml:space="preserve"> </w:t>
      </w:r>
    </w:p>
    <w:p w:rsidR="00000000" w:rsidDel="00000000" w:rsidP="00000000" w:rsidRDefault="00000000" w:rsidRPr="00000000" w14:paraId="00000132">
      <w:pPr>
        <w:spacing w:line="360" w:lineRule="auto"/>
        <w:rPr/>
      </w:pPr>
      <w:r w:rsidDel="00000000" w:rsidR="00000000" w:rsidRPr="00000000">
        <w:rPr>
          <w:rtl w:val="0"/>
        </w:rPr>
        <w:t xml:space="preserve">Usage</w:t>
      </w:r>
    </w:p>
    <w:p w:rsidR="00000000" w:rsidDel="00000000" w:rsidP="00000000" w:rsidRDefault="00000000" w:rsidRPr="00000000" w14:paraId="00000133">
      <w:pPr>
        <w:spacing w:line="360" w:lineRule="auto"/>
        <w:rPr/>
      </w:pPr>
      <w:r w:rsidDel="00000000" w:rsidR="00000000" w:rsidRPr="00000000">
        <w:rPr>
          <w:rtl w:val="0"/>
        </w:rPr>
        <w:t xml:space="preserve">The NIST AI RMF was used as a governance reference. Its four core functions, Govern, Map, Measure, and Manage, helped with overseeing the models. It was specifically cited in the data quality and algorithmic bias governance responses.</w:t>
      </w:r>
    </w:p>
    <w:p w:rsidR="00000000" w:rsidDel="00000000" w:rsidP="00000000" w:rsidRDefault="00000000" w:rsidRPr="00000000" w14:paraId="00000134">
      <w:pPr>
        <w:spacing w:line="360" w:lineRule="auto"/>
        <w:rPr/>
      </w:pPr>
      <w:r w:rsidDel="00000000" w:rsidR="00000000" w:rsidRPr="00000000">
        <w:rPr>
          <w:rtl w:val="0"/>
        </w:rPr>
        <w:t xml:space="preserve"> </w:t>
      </w:r>
    </w:p>
    <w:p w:rsidR="00000000" w:rsidDel="00000000" w:rsidP="00000000" w:rsidRDefault="00000000" w:rsidRPr="00000000" w14:paraId="00000135">
      <w:pPr>
        <w:spacing w:line="360" w:lineRule="auto"/>
        <w:rPr/>
      </w:pPr>
      <w:r w:rsidDel="00000000" w:rsidR="00000000" w:rsidRPr="00000000">
        <w:rPr>
          <w:rtl w:val="0"/>
        </w:rPr>
        <w:t xml:space="preserve">Abstract</w:t>
      </w:r>
    </w:p>
    <w:p w:rsidR="00000000" w:rsidDel="00000000" w:rsidP="00000000" w:rsidRDefault="00000000" w:rsidRPr="00000000" w14:paraId="00000136">
      <w:pPr>
        <w:spacing w:line="360" w:lineRule="auto"/>
        <w:rPr/>
      </w:pPr>
      <w:r w:rsidDel="00000000" w:rsidR="00000000" w:rsidRPr="00000000">
        <w:rPr>
          <w:rtl w:val="0"/>
        </w:rPr>
        <w:t xml:space="preserve">"The NIST AI Risk Management Framework (AI RMF 1.0) is a voluntary guidance document developed to help organizations better manage the risks associated with AI systems across their lifecycle. It is organized around four core functions: Govern, which establishes organizational policies and culture for AI risk management; Map, which identifies and categorizes AI risks; Measure, which analyzes and assesses those risks; and Manage, which prioritizes and addresses them. The framework is designed to be flexible and applicable across sectors and AI use cases, and it emphasizes ongoing monitoring, transparency, explainability, and accountability as core principles of responsible AI deployment."</w:t>
      </w:r>
    </w:p>
    <w:p w:rsidR="00000000" w:rsidDel="00000000" w:rsidP="00000000" w:rsidRDefault="00000000" w:rsidRPr="00000000" w14:paraId="00000137">
      <w:pPr>
        <w:spacing w:line="360" w:lineRule="auto"/>
        <w:rPr/>
      </w:pP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t xml:space="preserve">Nilsen, P., Svedberg, P., Neher, M., Nair, M., Larsson, I., Petersson, L., &amp; Nygren, J. (2023). A framework to guide implementation of AI in health care: Protocol for a cocreation research project. JMIR Research Protocols, 12, e50216. https://doi.org/10.2196/50216 </w:t>
      </w:r>
    </w:p>
    <w:p w:rsidR="00000000" w:rsidDel="00000000" w:rsidP="00000000" w:rsidRDefault="00000000" w:rsidRPr="00000000" w14:paraId="00000139">
      <w:pPr>
        <w:spacing w:line="360" w:lineRule="auto"/>
        <w:rPr/>
      </w:pPr>
      <w:r w:rsidDel="00000000" w:rsidR="00000000" w:rsidRPr="00000000">
        <w:rPr>
          <w:rtl w:val="0"/>
        </w:rPr>
        <w:t xml:space="preserve">​</w:t>
      </w:r>
    </w:p>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3B">
      <w:pPr>
        <w:spacing w:line="360" w:lineRule="auto"/>
        <w:rPr/>
      </w:pPr>
      <w:r w:rsidDel="00000000" w:rsidR="00000000" w:rsidRPr="00000000">
        <w:rPr>
          <w:rtl w:val="0"/>
        </w:rPr>
        <w:t xml:space="preserve">This implementation‑science protocol was used to ground the project’s phased roadmap in established change‑management thinking. It emphasized preparatory work, stakeholder engagement, and context fit, which shaped Phase 1 of the implementation guidance. The source also supported using process indicators like review coverage and training completion as early markers of implementation success.</w:t>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3E">
      <w:pPr>
        <w:spacing w:line="360" w:lineRule="auto"/>
        <w:rPr/>
      </w:pPr>
      <w:r w:rsidDel="00000000" w:rsidR="00000000" w:rsidRPr="00000000">
        <w:rPr>
          <w:rtl w:val="0"/>
        </w:rPr>
        <w:t xml:space="preserve">“Background:</w:t>
      </w:r>
    </w:p>
    <w:p w:rsidR="00000000" w:rsidDel="00000000" w:rsidP="00000000" w:rsidRDefault="00000000" w:rsidRPr="00000000" w14:paraId="0000013F">
      <w:pPr>
        <w:spacing w:line="360" w:lineRule="auto"/>
        <w:rPr/>
      </w:pPr>
      <w:r w:rsidDel="00000000" w:rsidR="00000000" w:rsidRPr="00000000">
        <w:rPr>
          <w:rtl w:val="0"/>
        </w:rPr>
        <w:t xml:space="preserve">Artificial intelligence (AI) has the potential in health care to transform patient care and administrative processes, yet health care has been slow to adopt AI due to many types of barriers. Implementation science has shown the importance of structured implementation processes to overcome implementation barriers. However, there is a lack of knowledge and tools to guide such processes when implementing AI-based applications in health care.</w:t>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t xml:space="preserve">Objective:</w:t>
      </w:r>
    </w:p>
    <w:p w:rsidR="00000000" w:rsidDel="00000000" w:rsidP="00000000" w:rsidRDefault="00000000" w:rsidRPr="00000000" w14:paraId="00000142">
      <w:pPr>
        <w:spacing w:line="360" w:lineRule="auto"/>
        <w:rPr/>
      </w:pPr>
      <w:r w:rsidDel="00000000" w:rsidR="00000000" w:rsidRPr="00000000">
        <w:rPr>
          <w:rtl w:val="0"/>
        </w:rPr>
        <w:t xml:space="preserve">The aim of this protocol is to describe the development, testing, and evaluation of a framework, “Artificial Intelligence-Quality Implementation Framework” (AI-QIF), intended to guide decisions and activities related to the implementation of various AI-based applications in health care.</w:t>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spacing w:line="360" w:lineRule="auto"/>
        <w:rPr/>
      </w:pPr>
      <w:r w:rsidDel="00000000" w:rsidR="00000000" w:rsidRPr="00000000">
        <w:rPr>
          <w:rtl w:val="0"/>
        </w:rPr>
        <w:t xml:space="preserve">Methods:</w:t>
      </w:r>
    </w:p>
    <w:p w:rsidR="00000000" w:rsidDel="00000000" w:rsidP="00000000" w:rsidRDefault="00000000" w:rsidRPr="00000000" w14:paraId="00000145">
      <w:pPr>
        <w:spacing w:line="360" w:lineRule="auto"/>
        <w:rPr/>
      </w:pPr>
      <w:r w:rsidDel="00000000" w:rsidR="00000000" w:rsidRPr="00000000">
        <w:rPr>
          <w:rtl w:val="0"/>
        </w:rPr>
        <w:t xml:space="preserve">The paper outlines the development of an AI implementation framework for broad use in health care based on the Quality Implementation Framework (QIF). QIF is a process model developed in implementation science. The model guides the user to consider implementation-related issues in a step-by-step design and plan and perform activities that support implementation. This framework was chosen for its adaptability, usability, broad scope, and detailed guidance concerning important activities and considerations for successful implementation. The development will proceed in 5 phases with primarily qualitative methods being used. The process starts with phase I, in which an AI-adapted version of QIF is created (AI-QIF). Phase II will produce a digital mockup of the AI-QIF. Phase III will involve the development of a prototype of the AI-QIF with an intuitive user interface. Phase IV is dedicated to usability testing of the prototype in health care environments. Phase V will focus on evaluating the usability and effectiveness of the AI-QIF. Cocreation is a guiding principle for the project and is an important aspect in 4 of the 5 development phases. The cocreation process will enable the use of both on research-based and practice-based knowledge.</w:t>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t xml:space="preserve">Results:</w:t>
      </w:r>
    </w:p>
    <w:p w:rsidR="00000000" w:rsidDel="00000000" w:rsidP="00000000" w:rsidRDefault="00000000" w:rsidRPr="00000000" w14:paraId="00000148">
      <w:pPr>
        <w:spacing w:line="360" w:lineRule="auto"/>
        <w:rPr/>
      </w:pPr>
      <w:r w:rsidDel="00000000" w:rsidR="00000000" w:rsidRPr="00000000">
        <w:rPr>
          <w:rtl w:val="0"/>
        </w:rPr>
        <w:t xml:space="preserve">The project is being conducted within the frame of a larger research program, with the overall objective of developing theoretically and empirically informed frameworks to support AI implementation in routine health care. The program was launched in 2021 and has carried out numerous research activities. The development of AI-QIF as a tool to guide the implementation of AI-based applications in health care will draw on knowledge and experience acquired from these activities. The framework is being developed over 2 years, from January 2023 to December 2024. It is under continuous development and refinement.</w:t>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spacing w:line="360" w:lineRule="auto"/>
        <w:rPr/>
      </w:pPr>
      <w:r w:rsidDel="00000000" w:rsidR="00000000" w:rsidRPr="00000000">
        <w:rPr>
          <w:rtl w:val="0"/>
        </w:rPr>
        <w:t xml:space="preserve">Conclusions:</w:t>
      </w:r>
    </w:p>
    <w:p w:rsidR="00000000" w:rsidDel="00000000" w:rsidP="00000000" w:rsidRDefault="00000000" w:rsidRPr="00000000" w14:paraId="0000014B">
      <w:pPr>
        <w:spacing w:line="360" w:lineRule="auto"/>
        <w:rPr/>
      </w:pPr>
      <w:r w:rsidDel="00000000" w:rsidR="00000000" w:rsidRPr="00000000">
        <w:rPr>
          <w:rtl w:val="0"/>
        </w:rPr>
        <w:t xml:space="preserve">The development of the AI implementation framework, AI-QIF, described in this study protocol aims to facilitate the implementation of AI-based applications in health care based on the premise that implementation processes benefit from being well-prepared and structured. The framework will be coproduced to enhance its relevance, validity, usefulness, and potential value for application in practice.”</w:t>
      </w:r>
    </w:p>
    <w:p w:rsidR="00000000" w:rsidDel="00000000" w:rsidP="00000000" w:rsidRDefault="00000000" w:rsidRPr="00000000" w14:paraId="0000014C">
      <w:pPr>
        <w:spacing w:line="360" w:lineRule="auto"/>
        <w:rPr/>
      </w:pPr>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t xml:space="preserve">Obuchowicz, R., Piórkowski, A., Nurzyńska, K., Obuchowicz, B., Strzelecki, M., &amp; Bielecka, M. (2026). Will AI replace physicians in the near future? AI adoption barriers in medicine. Diagnostics, 16(3), 396. </w:t>
      </w:r>
      <w:hyperlink r:id="rId17">
        <w:r w:rsidDel="00000000" w:rsidR="00000000" w:rsidRPr="00000000">
          <w:rPr>
            <w:color w:val="1155cc"/>
            <w:u w:val="single"/>
            <w:rtl w:val="0"/>
          </w:rPr>
          <w:t xml:space="preserve">https://doi.org/10.3390/diagnostics16030396</w:t>
        </w:r>
      </w:hyperlink>
      <w:r w:rsidDel="00000000" w:rsidR="00000000" w:rsidRPr="00000000">
        <w:rPr>
          <w:rtl w:val="0"/>
        </w:rPr>
        <w:t xml:space="preserve"> </w:t>
      </w:r>
    </w:p>
    <w:p w:rsidR="00000000" w:rsidDel="00000000" w:rsidP="00000000" w:rsidRDefault="00000000" w:rsidRPr="00000000" w14:paraId="0000014E">
      <w:pPr>
        <w:spacing w:line="360" w:lineRule="auto"/>
        <w:rPr/>
      </w:pPr>
      <w:r w:rsidDel="00000000" w:rsidR="00000000" w:rsidRPr="00000000">
        <w:rPr>
          <w:rtl w:val="0"/>
        </w:rPr>
      </w:r>
    </w:p>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50">
      <w:pPr>
        <w:spacing w:line="360" w:lineRule="auto"/>
        <w:rPr/>
      </w:pPr>
      <w:r w:rsidDel="00000000" w:rsidR="00000000" w:rsidRPr="00000000">
        <w:rPr>
          <w:rtl w:val="0"/>
        </w:rPr>
        <w:t xml:space="preserve">We used this reference to guide our ideas about explainability, confidence scores, and training around AI limitations. We also drew on it for our suggestions about second reads, blinded reviews, and documenting how much the AI influenced a decision.</w:t>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53">
      <w:pPr>
        <w:spacing w:line="360" w:lineRule="auto"/>
        <w:rPr/>
      </w:pPr>
      <w:r w:rsidDel="00000000" w:rsidR="00000000" w:rsidRPr="00000000">
        <w:rPr>
          <w:rtl w:val="0"/>
        </w:rPr>
        <w:t xml:space="preserve">“Objectives: This study aims to evaluate whether contemporary artificial intelligence (AI), including convolutional neural networks (CNNs) for medical imaging and large language models (LLMs) for language processing, could replace physicians in the near future and to identify the principal clinical, technical, and regulatory barriers. Methods: A narrative review is conducted on the scientific literature addressing AI performance and reproducibility in medical imaging, LLM competence in medical knowledge assessment and patient communication, limitations in out-of-distribution generalization, absence of physical examination and sensory inputs, and current regulatory and legal frameworks, particularly within the European Union. Results: AI systems demonstrate high accuracy and reproducibility in narrowly defined tasks, such as image interpretation, lesion measurement, triage, documentation support, and written communication. These capabilities reduce interobserver variability and support workflow efficiency. However, major obstacles to physician replacement persist, including limited generalization beyond training distributions, inability to perform physical examination or procedural tasks, susceptibility of LLMs to hallucinations and overconfidence, unresolved issues of legal liability at higher levels of autonomy, and the continued requirement for clinician oversight. Conclusions: In the foreseeable future, AI will augment rather than replace physicians. The most realistic trajectory involves automation of well-defined tasks under human supervision, while clinical integration, physical examination, procedural performance, ethical judgment, and accountability remain physician-dependent. Future adoption should prioritize robust clinical validation, uncertainty management, escalation pathways to clinicians, and clear regulatory and legal frameworks.” </w:t>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spacing w:before="0" w:line="360" w:lineRule="auto"/>
        <w:rPr/>
      </w:pPr>
      <w:r w:rsidDel="00000000" w:rsidR="00000000" w:rsidRPr="00000000">
        <w:rPr>
          <w:rtl w:val="0"/>
        </w:rPr>
        <w:t xml:space="preserve">Oei, S. P., Bakkes, T. H. G. F., Mischi, M., Bouwman, R. A., van Sloun, R. J. G., &amp; Turco, S. (2025). Artificial intelligence in clinical decision support and the prediction of adverse events. Frontiers in Digital Health, 7, 1403047.</w:t>
      </w:r>
    </w:p>
    <w:p w:rsidR="00000000" w:rsidDel="00000000" w:rsidP="00000000" w:rsidRDefault="00000000" w:rsidRPr="00000000" w14:paraId="00000156">
      <w:pPr>
        <w:spacing w:before="0" w:line="360" w:lineRule="auto"/>
        <w:rPr>
          <w:color w:val="1155cc"/>
          <w:u w:val="single"/>
        </w:rPr>
      </w:pPr>
      <w:hyperlink r:id="rId18">
        <w:r w:rsidDel="00000000" w:rsidR="00000000" w:rsidRPr="00000000">
          <w:rPr>
            <w:color w:val="1155cc"/>
            <w:u w:val="single"/>
            <w:rtl w:val="0"/>
          </w:rPr>
          <w:t xml:space="preserve">https://doi.org/10.3389/fdgth.2025.1403047</w:t>
        </w:r>
      </w:hyperlink>
      <w:r w:rsidDel="00000000" w:rsidR="00000000" w:rsidRPr="00000000">
        <w:rPr>
          <w:rtl w:val="0"/>
        </w:rPr>
      </w:r>
    </w:p>
    <w:p w:rsidR="00000000" w:rsidDel="00000000" w:rsidP="00000000" w:rsidRDefault="00000000" w:rsidRPr="00000000" w14:paraId="00000157">
      <w:pPr>
        <w:spacing w:before="0" w:line="360" w:lineRule="auto"/>
        <w:rPr/>
      </w:pPr>
      <w:r w:rsidDel="00000000" w:rsidR="00000000" w:rsidRPr="00000000">
        <w:rPr>
          <w:rtl w:val="0"/>
        </w:rPr>
        <w:t xml:space="preserve"> </w:t>
      </w:r>
    </w:p>
    <w:p w:rsidR="00000000" w:rsidDel="00000000" w:rsidP="00000000" w:rsidRDefault="00000000" w:rsidRPr="00000000" w14:paraId="00000158">
      <w:pPr>
        <w:spacing w:after="60" w:before="0"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59">
      <w:pPr>
        <w:spacing w:before="0" w:line="360" w:lineRule="auto"/>
        <w:rPr/>
      </w:pPr>
      <w:r w:rsidDel="00000000" w:rsidR="00000000" w:rsidRPr="00000000">
        <w:rPr>
          <w:rtl w:val="0"/>
        </w:rPr>
        <w:t xml:space="preserve">This source was used in the transparency and explainability section to support the argument that black-box ML models create trust and safety risks when doctors cannot understand how the model arrived at its output. It showed how important explainability is for models.</w:t>
      </w:r>
    </w:p>
    <w:p w:rsidR="00000000" w:rsidDel="00000000" w:rsidP="00000000" w:rsidRDefault="00000000" w:rsidRPr="00000000" w14:paraId="0000015A">
      <w:pPr>
        <w:spacing w:before="0" w:line="360" w:lineRule="auto"/>
        <w:rPr/>
      </w:pPr>
      <w:r w:rsidDel="00000000" w:rsidR="00000000" w:rsidRPr="00000000">
        <w:rPr>
          <w:rtl w:val="0"/>
        </w:rPr>
        <w:t xml:space="preserve"> </w:t>
      </w:r>
    </w:p>
    <w:p w:rsidR="00000000" w:rsidDel="00000000" w:rsidP="00000000" w:rsidRDefault="00000000" w:rsidRPr="00000000" w14:paraId="0000015B">
      <w:pPr>
        <w:spacing w:after="60" w:before="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5C">
      <w:pPr>
        <w:spacing w:before="0" w:line="360" w:lineRule="auto"/>
        <w:rPr/>
      </w:pPr>
      <w:r w:rsidDel="00000000" w:rsidR="00000000" w:rsidRPr="00000000">
        <w:rPr>
          <w:rtl w:val="0"/>
        </w:rPr>
        <w:t xml:space="preserve">"This review focuses on integrating artificial intelligence (AI) into healthcare, particularly for predicting adverse events, which holds potential in clinical decision support (CDS) but also presents significant challenges. Biases in data acquisition, such as population shifts and data scarcity, threaten the generalizability of AI-based CDS algorithms across different healthcare centers. The lack of interpretability in AI models poses trust and transparency issues, advocating for transparent algorithms and requiring rigorous testing on specific hospital populations before implementation. Additionally, emphasizing human judgment alongside AI integration is essential to mitigate the risks of deskilling healthcare practitioners. Ongoing evaluation processes and adjustments to regulatory frameworks are crucial for ensuring the ethical, safe, and effective use of AI in CDS."</w:t>
      </w:r>
    </w:p>
    <w:p w:rsidR="00000000" w:rsidDel="00000000" w:rsidP="00000000" w:rsidRDefault="00000000" w:rsidRPr="00000000" w14:paraId="0000015D">
      <w:pPr>
        <w:spacing w:before="0" w:line="360" w:lineRule="auto"/>
        <w:rPr/>
      </w:pPr>
      <w:r w:rsidDel="00000000" w:rsidR="00000000" w:rsidRPr="00000000">
        <w:rPr>
          <w:rtl w:val="0"/>
        </w:rPr>
      </w:r>
    </w:p>
    <w:p w:rsidR="00000000" w:rsidDel="00000000" w:rsidP="00000000" w:rsidRDefault="00000000" w:rsidRPr="00000000" w14:paraId="0000015E">
      <w:pPr>
        <w:spacing w:before="0" w:line="360" w:lineRule="auto"/>
        <w:rPr/>
      </w:pPr>
      <w:r w:rsidDel="00000000" w:rsidR="00000000" w:rsidRPr="00000000">
        <w:rPr>
          <w:rtl w:val="0"/>
        </w:rPr>
        <w:t xml:space="preserve">Osarogiagbon, A. U., Khan, F., Venkatesan, R., &amp; Gillard, J. (2024). Explainable AI in health care: Trust and transparency in AI-powered medical diagnosis. IntechOpen.</w:t>
      </w:r>
    </w:p>
    <w:p w:rsidR="00000000" w:rsidDel="00000000" w:rsidP="00000000" w:rsidRDefault="00000000" w:rsidRPr="00000000" w14:paraId="0000015F">
      <w:pPr>
        <w:spacing w:before="0" w:line="360" w:lineRule="auto"/>
        <w:rPr>
          <w:color w:val="1155cc"/>
          <w:u w:val="single"/>
        </w:rPr>
      </w:pPr>
      <w:r w:rsidDel="00000000" w:rsidR="00000000" w:rsidRPr="00000000">
        <w:rPr>
          <w:color w:val="1155cc"/>
          <w:u w:val="single"/>
          <w:rtl w:val="0"/>
        </w:rPr>
        <w:t xml:space="preserve">https://www.intechopen.com/chapters/1217963#</w:t>
      </w:r>
    </w:p>
    <w:p w:rsidR="00000000" w:rsidDel="00000000" w:rsidP="00000000" w:rsidRDefault="00000000" w:rsidRPr="00000000" w14:paraId="00000160">
      <w:pPr>
        <w:spacing w:before="0" w:line="360" w:lineRule="auto"/>
        <w:rPr/>
      </w:pPr>
      <w:r w:rsidDel="00000000" w:rsidR="00000000" w:rsidRPr="00000000">
        <w:rPr>
          <w:rtl w:val="0"/>
        </w:rPr>
        <w:t xml:space="preserve"> </w:t>
      </w:r>
    </w:p>
    <w:p w:rsidR="00000000" w:rsidDel="00000000" w:rsidP="00000000" w:rsidRDefault="00000000" w:rsidRPr="00000000" w14:paraId="00000161">
      <w:pPr>
        <w:spacing w:after="60" w:before="0"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62">
      <w:pPr>
        <w:spacing w:before="0" w:line="360" w:lineRule="auto"/>
        <w:rPr/>
      </w:pPr>
      <w:r w:rsidDel="00000000" w:rsidR="00000000" w:rsidRPr="00000000">
        <w:rPr>
          <w:rtl w:val="0"/>
        </w:rPr>
        <w:t xml:space="preserve">This source was used in the transparency and explainability section to introduce SHAP and LIME. It supported the argument that technical tools for explainability exist and that the governance gap lies in organizational mandates, not technical capability.</w:t>
      </w:r>
    </w:p>
    <w:p w:rsidR="00000000" w:rsidDel="00000000" w:rsidP="00000000" w:rsidRDefault="00000000" w:rsidRPr="00000000" w14:paraId="00000163">
      <w:pPr>
        <w:spacing w:before="0" w:line="360" w:lineRule="auto"/>
        <w:rPr/>
      </w:pPr>
      <w:r w:rsidDel="00000000" w:rsidR="00000000" w:rsidRPr="00000000">
        <w:rPr>
          <w:rtl w:val="0"/>
        </w:rPr>
        <w:t xml:space="preserve"> </w:t>
      </w:r>
    </w:p>
    <w:p w:rsidR="00000000" w:rsidDel="00000000" w:rsidP="00000000" w:rsidRDefault="00000000" w:rsidRPr="00000000" w14:paraId="00000164">
      <w:pPr>
        <w:spacing w:after="60" w:before="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65">
      <w:pPr>
        <w:spacing w:before="0" w:line="360" w:lineRule="auto"/>
        <w:rPr/>
      </w:pPr>
      <w:r w:rsidDel="00000000" w:rsidR="00000000" w:rsidRPr="00000000">
        <w:rPr>
          <w:rtl w:val="0"/>
        </w:rPr>
        <w:t xml:space="preserve">"The integration of artificial intelligence (AI) in medical diagnostics has the potential to revolutionize healthcare by improving accuracy, efficiency, and decision-making. However, the adoption of AI-powered diagnostic systems is challenged by their inherent black-box nature, making it difficult to understand how they generate predictions. This chapter explores the role of explainable AI (XAI) in enhancing trust and transparency in AI-driven medical diagnosis. It examines key challenges, including the lack of interpretability in complex models and the risks of bias, which can undermine clinical reliability and patient confidence. To address these concerns, the chapter discusses various XAI techniques, including LIME and SHAP, as well as model-specific methods for deep learning systems. Ethical frameworks for governing XAI in healthcare are also discussed, covering data governance, transparency, bias and fairness, and accountability."</w:t>
      </w:r>
    </w:p>
    <w:p w:rsidR="00000000" w:rsidDel="00000000" w:rsidP="00000000" w:rsidRDefault="00000000" w:rsidRPr="00000000" w14:paraId="00000166">
      <w:pPr>
        <w:spacing w:line="360" w:lineRule="auto"/>
        <w:rPr/>
      </w:pPr>
      <w:r w:rsidDel="00000000" w:rsidR="00000000" w:rsidRPr="00000000">
        <w:rPr>
          <w:rtl w:val="0"/>
        </w:rPr>
      </w:r>
    </w:p>
    <w:p w:rsidR="00000000" w:rsidDel="00000000" w:rsidP="00000000" w:rsidRDefault="00000000" w:rsidRPr="00000000" w14:paraId="00000167">
      <w:pPr>
        <w:spacing w:line="360" w:lineRule="auto"/>
        <w:rPr/>
      </w:pPr>
      <w:r w:rsidDel="00000000" w:rsidR="00000000" w:rsidRPr="00000000">
        <w:rPr>
          <w:rtl w:val="0"/>
        </w:rPr>
        <w:t xml:space="preserve">Raj, A., Swaika, H., Varma, D., &amp; Arora, C. (2024). Assessing risk of stealing proprietary models for medical imaging tasks. In Proceedings of Medical Image Computing and Computer Assisted Intervention – MICCAI 2024 (LNCS 15011, pp. 102–112). Springer Nature Switzerland. </w:t>
      </w:r>
      <w:hyperlink r:id="rId19">
        <w:r w:rsidDel="00000000" w:rsidR="00000000" w:rsidRPr="00000000">
          <w:rPr>
            <w:color w:val="1155cc"/>
            <w:u w:val="single"/>
            <w:rtl w:val="0"/>
          </w:rPr>
          <w:t xml:space="preserve">https://doi.org/10.1007/978-3-031-72120-5_10</w:t>
        </w:r>
      </w:hyperlink>
      <w:r w:rsidDel="00000000" w:rsidR="00000000" w:rsidRPr="00000000">
        <w:rPr>
          <w:rtl w:val="0"/>
        </w:rPr>
        <w:t xml:space="preserve"> </w:t>
      </w:r>
    </w:p>
    <w:p w:rsidR="00000000" w:rsidDel="00000000" w:rsidP="00000000" w:rsidRDefault="00000000" w:rsidRPr="00000000" w14:paraId="00000168">
      <w:pPr>
        <w:spacing w:line="360" w:lineRule="auto"/>
        <w:rPr/>
      </w:pPr>
      <w:r w:rsidDel="00000000" w:rsidR="00000000" w:rsidRPr="00000000">
        <w:rPr>
          <w:rtl w:val="0"/>
        </w:rPr>
        <w:t xml:space="preserve">​</w:t>
      </w:r>
    </w:p>
    <w:p w:rsidR="00000000" w:rsidDel="00000000" w:rsidP="00000000" w:rsidRDefault="00000000" w:rsidRPr="00000000" w14:paraId="00000169">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6A">
      <w:pPr>
        <w:spacing w:line="360" w:lineRule="auto"/>
        <w:rPr/>
      </w:pPr>
      <w:r w:rsidDel="00000000" w:rsidR="00000000" w:rsidRPr="00000000">
        <w:rPr>
          <w:rtl w:val="0"/>
        </w:rPr>
        <w:t xml:space="preserve">This conference paper demonstrated the effects </w:t>
      </w:r>
      <w:r w:rsidDel="00000000" w:rsidR="00000000" w:rsidRPr="00000000">
        <w:rPr>
          <w:rtl w:val="0"/>
        </w:rPr>
        <w:t xml:space="preserve">of </w:t>
      </w:r>
      <w:r w:rsidDel="00000000" w:rsidR="00000000" w:rsidRPr="00000000">
        <w:rPr>
          <w:rtl w:val="0"/>
        </w:rPr>
        <w:t xml:space="preserve">model‑stealing attacks against medical imaging AI systems. It was used in the privacy and cybersecurity section to justify treating model extraction as a concrete risk requiring technical and contractual protections. The findings informed vendor controls around model protection and API hardening in the governance framework.</w:t>
      </w:r>
    </w:p>
    <w:p w:rsidR="00000000" w:rsidDel="00000000" w:rsidP="00000000" w:rsidRDefault="00000000" w:rsidRPr="00000000" w14:paraId="0000016B">
      <w:pPr>
        <w:spacing w:line="360" w:lineRule="auto"/>
        <w:rPr/>
      </w:pPr>
      <w:r w:rsidDel="00000000" w:rsidR="00000000" w:rsidRPr="00000000">
        <w:rPr>
          <w:rtl w:val="0"/>
        </w:rPr>
        <w:t xml:space="preserve">​</w:t>
      </w:r>
    </w:p>
    <w:p w:rsidR="00000000" w:rsidDel="00000000" w:rsidP="00000000" w:rsidRDefault="00000000" w:rsidRPr="00000000" w14:paraId="0000016C">
      <w:pPr>
        <w:spacing w:line="3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16D">
      <w:pPr>
        <w:spacing w:line="360" w:lineRule="auto"/>
        <w:rPr/>
      </w:pPr>
      <w:r w:rsidDel="00000000" w:rsidR="00000000" w:rsidRPr="00000000">
        <w:rPr>
          <w:rtl w:val="0"/>
        </w:rPr>
        <w:t xml:space="preserve">“The success of deep learning in medical imaging applications has led several companies to deploy proprietary models in diagnostic workflows, offering monetized services. Even though model weights are hidden to protect the intellectual property of the service provider, these models are exposed to model stealing (MS) attacks, where adversaries can clone the model’s functionality by querying it with a proxy dataset and training a thief model on the acquired predictions. While extensively studied on general vision tasks, the susceptibility of medical imaging models to MS attacks remains inadequately explored. This paper investigates the vulnerability of black-box medical imaging models to MS attacks under realistic conditions where the adversary lacks access to the victim model’s training data and operates with limited query budgets. We demonstrate that adversaries can effectively execute MS attacks by using publicly available datasets. To further enhance MS capabilities with limited query budgets, we propose a two-step model stealing approach termed QueryWise. This method capitalizes on unlabeled data obtained from a proxy distribution to train the thief model without incurring additional queries. Evaluation on two medical imaging models for Gallbladder Cancer and COVID-19 classification substantiate the effectiveness of the proposed attack.”</w:t>
      </w:r>
    </w:p>
    <w:p w:rsidR="00000000" w:rsidDel="00000000" w:rsidP="00000000" w:rsidRDefault="00000000" w:rsidRPr="00000000" w14:paraId="0000016E">
      <w:pPr>
        <w:spacing w:line="360" w:lineRule="auto"/>
        <w:rPr/>
      </w:pPr>
      <w:r w:rsidDel="00000000" w:rsidR="00000000" w:rsidRPr="00000000">
        <w:rPr>
          <w:rtl w:val="0"/>
        </w:rPr>
      </w:r>
    </w:p>
    <w:p w:rsidR="00000000" w:rsidDel="00000000" w:rsidP="00000000" w:rsidRDefault="00000000" w:rsidRPr="00000000" w14:paraId="0000016F">
      <w:pPr>
        <w:spacing w:line="360" w:lineRule="auto"/>
        <w:rPr/>
      </w:pPr>
      <w:r w:rsidDel="00000000" w:rsidR="00000000" w:rsidRPr="00000000">
        <w:rPr>
          <w:rtl w:val="0"/>
        </w:rPr>
        <w:t xml:space="preserve">Reddy, S. (2024). Global harmonization of artificial intelligence‑enabled software as a medical device regulation: Addressing challenges and unifying standards. Mayo Clinic Proceedings: Digital Health, 3(1), 100191. </w:t>
      </w:r>
      <w:hyperlink r:id="rId20">
        <w:r w:rsidDel="00000000" w:rsidR="00000000" w:rsidRPr="00000000">
          <w:rPr>
            <w:color w:val="1155cc"/>
            <w:u w:val="single"/>
            <w:rtl w:val="0"/>
          </w:rPr>
          <w:t xml:space="preserve">https://doi.org/10.1016/j.mcpdig.2024.100191</w:t>
        </w:r>
      </w:hyperlink>
      <w:r w:rsidDel="00000000" w:rsidR="00000000" w:rsidRPr="00000000">
        <w:rPr>
          <w:rtl w:val="0"/>
        </w:rPr>
        <w:t xml:space="preserve"> </w:t>
      </w:r>
    </w:p>
    <w:p w:rsidR="00000000" w:rsidDel="00000000" w:rsidP="00000000" w:rsidRDefault="00000000" w:rsidRPr="00000000" w14:paraId="00000170">
      <w:pPr>
        <w:spacing w:line="360" w:lineRule="auto"/>
        <w:rPr/>
      </w:pPr>
      <w:r w:rsidDel="00000000" w:rsidR="00000000" w:rsidRPr="00000000">
        <w:rPr>
          <w:rtl w:val="0"/>
        </w:rPr>
      </w:r>
    </w:p>
    <w:p w:rsidR="00000000" w:rsidDel="00000000" w:rsidP="00000000" w:rsidRDefault="00000000" w:rsidRPr="00000000" w14:paraId="00000171">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72">
      <w:pPr>
        <w:spacing w:line="360" w:lineRule="auto"/>
        <w:rPr/>
      </w:pPr>
      <w:r w:rsidDel="00000000" w:rsidR="00000000" w:rsidRPr="00000000">
        <w:rPr>
          <w:rtl w:val="0"/>
        </w:rPr>
        <w:t xml:space="preserve">We used this to explain why AI‑enabled SaMD regulation is still fragmented and changing. That source backed up our decision to include local risk‑based classification, regulatory tracking, and post‑deployment safeguards in the framework. Further, it informed the regulatory compliance section by highlighting fragmentation between jurisdictions and the need for internal processes that can adapt to changing rules. The paper also supported the conclusion’s claim that harmonization challenges increase the importance of robust, organization‑level governance.</w:t>
      </w:r>
    </w:p>
    <w:p w:rsidR="00000000" w:rsidDel="00000000" w:rsidP="00000000" w:rsidRDefault="00000000" w:rsidRPr="00000000" w14:paraId="00000173">
      <w:pPr>
        <w:spacing w:line="360" w:lineRule="auto"/>
        <w:rPr/>
      </w:pPr>
      <w:r w:rsidDel="00000000" w:rsidR="00000000" w:rsidRPr="00000000">
        <w:rPr>
          <w:rtl w:val="0"/>
        </w:rPr>
      </w:r>
    </w:p>
    <w:p w:rsidR="00000000" w:rsidDel="00000000" w:rsidP="00000000" w:rsidRDefault="00000000" w:rsidRPr="00000000" w14:paraId="00000174">
      <w:pPr>
        <w:spacing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75">
      <w:pPr>
        <w:spacing w:line="360" w:lineRule="auto"/>
        <w:rPr/>
      </w:pPr>
      <w:r w:rsidDel="00000000" w:rsidR="00000000" w:rsidRPr="00000000">
        <w:rPr>
          <w:rtl w:val="0"/>
        </w:rPr>
        <w:t xml:space="preserve">“The growing incorporation of artificial intelligence (AI) into medical device software offers substantial prospects and regulatory hurdles. As AI software as a medical device (AI-SaMD) continues to advance, ensuring its safety, effectiveness, and security is paramount. Nevertheless, the regulatory environment needs more cohesion, with various regions implementing diverse strategies. This paper underscores the necessity for globally harmonized AI-SaMD regulations by examining key regulatory frameworks from the United States, the European Union, China, and Australia. The article also explores crucial elements for harmonization, including algorithm transparency, risk management, data security, and clinical evaluation. Furthermore, the paper advocates for implementing international standards and global data security protocols, emphasizing the significance of cross-border cooperation to ensure the worldwide safety and efficacy of AI-SaMD.” </w:t>
      </w:r>
    </w:p>
    <w:p w:rsidR="00000000" w:rsidDel="00000000" w:rsidP="00000000" w:rsidRDefault="00000000" w:rsidRPr="00000000" w14:paraId="00000176">
      <w:pPr>
        <w:spacing w:line="360" w:lineRule="auto"/>
        <w:rPr/>
      </w:pPr>
      <w:r w:rsidDel="00000000" w:rsidR="00000000" w:rsidRPr="00000000">
        <w:rPr>
          <w:rtl w:val="0"/>
        </w:rPr>
        <w:t xml:space="preserve">Solaiman, B., Mekki, Y. M., Qadir, J., Ghaly, M., Abdelkareem, M., &amp; Al‑Ansari, A. (2025). A “True Lifecycle Approach” towards governing healthcare AI with the GCC as a global governance model. NPJ Digital Medicine, 8(1), 337. </w:t>
      </w:r>
      <w:hyperlink r:id="rId21">
        <w:r w:rsidDel="00000000" w:rsidR="00000000" w:rsidRPr="00000000">
          <w:rPr>
            <w:color w:val="1155cc"/>
            <w:u w:val="single"/>
            <w:rtl w:val="0"/>
          </w:rPr>
          <w:t xml:space="preserve">https://doi.org/10.1038/s41746-025-01614-1</w:t>
        </w:r>
      </w:hyperlink>
      <w:r w:rsidDel="00000000" w:rsidR="00000000" w:rsidRPr="00000000">
        <w:rPr>
          <w:rtl w:val="0"/>
        </w:rPr>
        <w:t xml:space="preserve"> </w:t>
      </w:r>
    </w:p>
    <w:p w:rsidR="00000000" w:rsidDel="00000000" w:rsidP="00000000" w:rsidRDefault="00000000" w:rsidRPr="00000000" w14:paraId="00000177">
      <w:pPr>
        <w:spacing w:line="360" w:lineRule="auto"/>
        <w:rPr/>
      </w:pPr>
      <w:r w:rsidDel="00000000" w:rsidR="00000000" w:rsidRPr="00000000">
        <w:rPr>
          <w:rtl w:val="0"/>
        </w:rPr>
        <w:t xml:space="preserve">​</w:t>
      </w:r>
    </w:p>
    <w:p w:rsidR="00000000" w:rsidDel="00000000" w:rsidP="00000000" w:rsidRDefault="00000000" w:rsidRPr="00000000" w14:paraId="00000178">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79">
      <w:pPr>
        <w:spacing w:line="360" w:lineRule="auto"/>
        <w:rPr/>
      </w:pPr>
      <w:r w:rsidDel="00000000" w:rsidR="00000000" w:rsidRPr="00000000">
        <w:rPr>
          <w:rtl w:val="0"/>
        </w:rPr>
        <w:t xml:space="preserve">This paper was foundational for framing governance as a “true lifecycle” process spanning pre‑deployment through decommissioning. It informed the lifecycle governance section and reinforced the need for continuous monitoring, re‑review, and adaptive decision‑making. The paper also informed the conclusion’s emphasis that responsible AI use requires governance over time, not just strong upfront validation.</w:t>
      </w:r>
    </w:p>
    <w:p w:rsidR="00000000" w:rsidDel="00000000" w:rsidP="00000000" w:rsidRDefault="00000000" w:rsidRPr="00000000" w14:paraId="0000017A">
      <w:pPr>
        <w:spacing w:line="360" w:lineRule="auto"/>
        <w:rPr/>
      </w:pPr>
      <w:r w:rsidDel="00000000" w:rsidR="00000000" w:rsidRPr="00000000">
        <w:rPr>
          <w:rtl w:val="0"/>
        </w:rPr>
        <w:t xml:space="preserve">​</w:t>
      </w:r>
    </w:p>
    <w:p w:rsidR="00000000" w:rsidDel="00000000" w:rsidP="00000000" w:rsidRDefault="00000000" w:rsidRPr="00000000" w14:paraId="0000017B">
      <w:pPr>
        <w:spacing w:line="3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17C">
      <w:pPr>
        <w:spacing w:line="360" w:lineRule="auto"/>
        <w:rPr/>
      </w:pPr>
      <w:r w:rsidDel="00000000" w:rsidR="00000000" w:rsidRPr="00000000">
        <w:rPr>
          <w:rtl w:val="0"/>
        </w:rPr>
        <w:t xml:space="preserve">“This paper proposes a “True Lifecycle Approach” (TLA) towards governing healthcare AI. The TLA governance model embeds core healthcare law principles throughout AI’s development, deployment, and use. Unlike narrow risk-based frameworks, the TLA seeks to ensure accountability and trust by aligning with foundational healthcare standards. Using Gulf Cooperation Council (GCC) countries as examples, the paper shows how integrating law and ethics across the entire AI lifecycle offers a more robust, patient-centered model of governance than existing approaches.”</w:t>
      </w:r>
    </w:p>
    <w:p w:rsidR="00000000" w:rsidDel="00000000" w:rsidP="00000000" w:rsidRDefault="00000000" w:rsidRPr="00000000" w14:paraId="0000017D">
      <w:pPr>
        <w:spacing w:before="0" w:line="360" w:lineRule="auto"/>
        <w:rPr/>
      </w:pPr>
      <w:r w:rsidDel="00000000" w:rsidR="00000000" w:rsidRPr="00000000">
        <w:rPr>
          <w:rtl w:val="0"/>
        </w:rPr>
        <w:t xml:space="preserve">Weill, P. (2004). Don't just lead, govern: How top-performing firms govern IT. MIS Quarterly Executive, 3(1), 1-17.</w:t>
      </w:r>
    </w:p>
    <w:p w:rsidR="00000000" w:rsidDel="00000000" w:rsidP="00000000" w:rsidRDefault="00000000" w:rsidRPr="00000000" w14:paraId="0000017E">
      <w:pPr>
        <w:spacing w:before="0" w:line="360" w:lineRule="auto"/>
        <w:rPr/>
      </w:pPr>
      <w:r w:rsidDel="00000000" w:rsidR="00000000" w:rsidRPr="00000000">
        <w:rPr>
          <w:rtl w:val="0"/>
        </w:rPr>
        <w:t xml:space="preserve"> </w:t>
      </w:r>
    </w:p>
    <w:p w:rsidR="00000000" w:rsidDel="00000000" w:rsidP="00000000" w:rsidRDefault="00000000" w:rsidRPr="00000000" w14:paraId="0000017F">
      <w:pPr>
        <w:spacing w:after="60" w:before="0"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80">
      <w:pPr>
        <w:spacing w:before="0" w:line="360" w:lineRule="auto"/>
        <w:rPr/>
      </w:pPr>
      <w:r w:rsidDel="00000000" w:rsidR="00000000" w:rsidRPr="00000000">
        <w:rPr>
          <w:rtl w:val="0"/>
        </w:rPr>
        <w:t xml:space="preserve">Weill's decision-rights model was used for the three-tier governance structure in section 4.1. His argument that governance must specify who makes key IT decisions and who is accountable for outcomes influenced the authority and accountability design of the AI Governance Steering Committee, the ML Diagnostic Review Committee, and the Clinical AI Implementation Teams. It was also used in the working definition of IT governance in section 2.</w:t>
      </w:r>
    </w:p>
    <w:p w:rsidR="00000000" w:rsidDel="00000000" w:rsidP="00000000" w:rsidRDefault="00000000" w:rsidRPr="00000000" w14:paraId="00000181">
      <w:pPr>
        <w:spacing w:before="0" w:line="360" w:lineRule="auto"/>
        <w:rPr/>
      </w:pPr>
      <w:r w:rsidDel="00000000" w:rsidR="00000000" w:rsidRPr="00000000">
        <w:rPr>
          <w:rtl w:val="0"/>
        </w:rPr>
        <w:t xml:space="preserve"> </w:t>
      </w:r>
    </w:p>
    <w:p w:rsidR="00000000" w:rsidDel="00000000" w:rsidP="00000000" w:rsidRDefault="00000000" w:rsidRPr="00000000" w14:paraId="00000182">
      <w:pPr>
        <w:spacing w:after="60" w:before="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183">
      <w:pPr>
        <w:spacing w:before="0" w:line="360" w:lineRule="auto"/>
        <w:rPr/>
      </w:pPr>
      <w:r w:rsidDel="00000000" w:rsidR="00000000" w:rsidRPr="00000000">
        <w:rPr>
          <w:rtl w:val="0"/>
        </w:rPr>
        <w:t xml:space="preserve">"This article presents findings from a large-scale study of how top-performing firms govern their IT investments. Weill argues that IT governance is fundamentally about decision rights: specifying who in the organization makes key IT decisions and who is accountable for the outcomes of those decisions. The article identifies five major categories of IT decisions and proposes a governance framework that maps decision rights to appropriate organizational levels based on the strategic nature and risk profile of each decision type. Firms with effective IT governance consistently outperform peers on both financial and IT performance metrics. The article advocates for governance that is actively designed by senior leadership rather than allowed to emerge informally."</w:t>
      </w:r>
    </w:p>
    <w:p w:rsidR="00000000" w:rsidDel="00000000" w:rsidP="00000000" w:rsidRDefault="00000000" w:rsidRPr="00000000" w14:paraId="00000184">
      <w:pPr>
        <w:spacing w:line="360" w:lineRule="auto"/>
        <w:rPr/>
      </w:pPr>
      <w:r w:rsidDel="00000000" w:rsidR="00000000" w:rsidRPr="00000000">
        <w:rPr>
          <w:rtl w:val="0"/>
        </w:rPr>
      </w:r>
    </w:p>
    <w:p w:rsidR="00000000" w:rsidDel="00000000" w:rsidP="00000000" w:rsidRDefault="00000000" w:rsidRPr="00000000" w14:paraId="00000185">
      <w:pPr>
        <w:spacing w:line="360" w:lineRule="auto"/>
        <w:rPr/>
      </w:pPr>
      <w:r w:rsidDel="00000000" w:rsidR="00000000" w:rsidRPr="00000000">
        <w:rPr>
          <w:rtl w:val="0"/>
        </w:rPr>
        <w:t xml:space="preserve">Wells, B. J., Nguyen, H. M., McWilliams, A., Pallini, M., Bovi, A., Kuzma, A., Kramer, J., Chou, S.-H., Hetherington, T., Corn, P., Taylor, Y. J., Cuison, A., Gagen, M., Isreal, M., &amp; FAIR‑AI Consortium. (2025). A practical framework for appropriate implementation and review of artificial intelligence (FAIR‑AI) in healthcare. NPJ Digital Medicine, 8, 514. </w:t>
      </w:r>
      <w:hyperlink r:id="rId22">
        <w:r w:rsidDel="00000000" w:rsidR="00000000" w:rsidRPr="00000000">
          <w:rPr>
            <w:color w:val="1155cc"/>
            <w:u w:val="single"/>
            <w:rtl w:val="0"/>
          </w:rPr>
          <w:t xml:space="preserve">https://doi.org/10.1038/s41746-025-01900-y</w:t>
        </w:r>
      </w:hyperlink>
      <w:r w:rsidDel="00000000" w:rsidR="00000000" w:rsidRPr="00000000">
        <w:rPr>
          <w:rtl w:val="0"/>
        </w:rPr>
        <w:t xml:space="preserve"> </w:t>
      </w:r>
    </w:p>
    <w:p w:rsidR="00000000" w:rsidDel="00000000" w:rsidP="00000000" w:rsidRDefault="00000000" w:rsidRPr="00000000" w14:paraId="00000186">
      <w:pPr>
        <w:spacing w:line="360" w:lineRule="auto"/>
        <w:rPr/>
      </w:pPr>
      <w:r w:rsidDel="00000000" w:rsidR="00000000" w:rsidRPr="00000000">
        <w:rPr>
          <w:rtl w:val="0"/>
        </w:rPr>
        <w:t xml:space="preserve">​</w:t>
      </w:r>
    </w:p>
    <w:p w:rsidR="00000000" w:rsidDel="00000000" w:rsidP="00000000" w:rsidRDefault="00000000" w:rsidRPr="00000000" w14:paraId="00000187">
      <w:pPr>
        <w:spacing w:line="3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88">
      <w:pPr>
        <w:spacing w:line="360" w:lineRule="auto"/>
        <w:rPr/>
      </w:pPr>
      <w:r w:rsidDel="00000000" w:rsidR="00000000" w:rsidRPr="00000000">
        <w:rPr>
          <w:rtl w:val="0"/>
        </w:rPr>
        <w:t xml:space="preserve">FAIR‑AI served as a major template for the project’s own governance framework and implementation guidance. It directly influenced the description of pre‑deployment reviews, decision pathways, and structured documentation for AI deployments. The source also provided concrete examples of how health systems can institutionalize repeatable, scalable review processes for AI tools.</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18B">
      <w:pPr>
        <w:spacing w:line="360" w:lineRule="auto"/>
        <w:rPr/>
      </w:pPr>
      <w:r w:rsidDel="00000000" w:rsidR="00000000" w:rsidRPr="00000000">
        <w:rPr>
          <w:rtl w:val="0"/>
        </w:rPr>
        <w:t xml:space="preserve">“Health systems face the challenge of balancing innovation and safety to responsibly implement artificial intelligence (AI) solutions. The rapid proliferation, growing complexity, ethical considerations, and rising demand for these tools require timely and efficient processes for rigorous evaluation and ongoing monitoring. Current AI evaluation frameworks often lack the practical guidance for health systems to address these challenges. To fill this gap, we developed a prescriptive evaluation framework informed by a literature review, in-depth interviews with key stakeholders, including patients, and a multidisciplinary design workshop. The resulting framework provides health systems an outline of the resources, structures, criteria, and template documents to enable pre-implementation evaluation and post-implementation monitoring of AI solutions. Health systems will need to treat this or any alternative framework as a living document to maintain relevance and effectiveness as the AI landscape and regulations continue to evolve.”</w:t>
      </w:r>
    </w:p>
    <w:p w:rsidR="00000000" w:rsidDel="00000000" w:rsidP="00000000" w:rsidRDefault="00000000" w:rsidRPr="00000000" w14:paraId="0000018C">
      <w:pPr>
        <w:spacing w:line="360" w:lineRule="auto"/>
        <w:rPr/>
      </w:pPr>
      <w:r w:rsidDel="00000000" w:rsidR="00000000" w:rsidRPr="00000000">
        <w:rPr>
          <w:rtl w:val="0"/>
        </w:rPr>
      </w:r>
    </w:p>
    <w:p w:rsidR="00000000" w:rsidDel="00000000" w:rsidP="00000000" w:rsidRDefault="00000000" w:rsidRPr="00000000" w14:paraId="0000018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line="360" w:lineRule="auto"/>
        <w:rPr/>
      </w:pPr>
      <w:bookmarkStart w:colFirst="0" w:colLast="0" w:name="_tzy5lkqblw0a" w:id="37"/>
      <w:bookmarkEnd w:id="37"/>
      <w:r w:rsidDel="00000000" w:rsidR="00000000" w:rsidRPr="00000000">
        <w:rPr>
          <w:rtl w:val="0"/>
        </w:rPr>
        <w:t xml:space="preserve">Appendix B. Plagiarism Pledge</w:t>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spacing w:line="360" w:lineRule="auto"/>
        <w:rPr/>
      </w:pPr>
      <w:r w:rsidDel="00000000" w:rsidR="00000000" w:rsidRPr="00000000">
        <w:rPr>
          <w:rtl w:val="0"/>
        </w:rPr>
        <w:t xml:space="preserve">“On my honor, I have not committed plagiarism, neither explicitly or inadvertently, on this project.”</w:t>
      </w:r>
    </w:p>
    <w:p w:rsidR="00000000" w:rsidDel="00000000" w:rsidP="00000000" w:rsidRDefault="00000000" w:rsidRPr="00000000" w14:paraId="00000191">
      <w:pPr>
        <w:spacing w:line="360" w:lineRule="auto"/>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t xml:space="preserve">Athan Rodrigues</w:t>
      </w:r>
    </w:p>
    <w:p w:rsidR="00000000" w:rsidDel="00000000" w:rsidP="00000000" w:rsidRDefault="00000000" w:rsidRPr="00000000" w14:paraId="00000193">
      <w:pPr>
        <w:spacing w:line="360" w:lineRule="auto"/>
        <w:rPr/>
      </w:pPr>
      <w:r w:rsidDel="00000000" w:rsidR="00000000" w:rsidRPr="00000000">
        <w:rPr>
          <w:rtl w:val="0"/>
        </w:rPr>
        <w:t xml:space="preserve">_______________________</w:t>
      </w:r>
    </w:p>
    <w:p w:rsidR="00000000" w:rsidDel="00000000" w:rsidP="00000000" w:rsidRDefault="00000000" w:rsidRPr="00000000" w14:paraId="00000194">
      <w:pPr>
        <w:spacing w:line="360" w:lineRule="auto"/>
        <w:rPr/>
      </w:pPr>
      <w:r w:rsidDel="00000000" w:rsidR="00000000" w:rsidRPr="00000000">
        <w:rPr>
          <w:rtl w:val="0"/>
        </w:rPr>
      </w:r>
    </w:p>
    <w:p w:rsidR="00000000" w:rsidDel="00000000" w:rsidP="00000000" w:rsidRDefault="00000000" w:rsidRPr="00000000" w14:paraId="00000195">
      <w:pPr>
        <w:spacing w:line="360" w:lineRule="auto"/>
        <w:rPr/>
      </w:pPr>
      <w:r w:rsidDel="00000000" w:rsidR="00000000" w:rsidRPr="00000000">
        <w:rPr>
          <w:rtl w:val="0"/>
        </w:rPr>
        <w:t xml:space="preserve">Cole LaCamera</w:t>
      </w:r>
    </w:p>
    <w:p w:rsidR="00000000" w:rsidDel="00000000" w:rsidP="00000000" w:rsidRDefault="00000000" w:rsidRPr="00000000" w14:paraId="00000196">
      <w:pPr>
        <w:spacing w:line="360" w:lineRule="auto"/>
        <w:rPr/>
      </w:pPr>
      <w:r w:rsidDel="00000000" w:rsidR="00000000" w:rsidRPr="00000000">
        <w:rPr>
          <w:rtl w:val="0"/>
        </w:rPr>
        <w:t xml:space="preserve">_______________________</w:t>
      </w:r>
    </w:p>
    <w:p w:rsidR="00000000" w:rsidDel="00000000" w:rsidP="00000000" w:rsidRDefault="00000000" w:rsidRPr="00000000" w14:paraId="00000197">
      <w:pPr>
        <w:spacing w:line="360" w:lineRule="auto"/>
        <w:rPr/>
      </w:pPr>
      <w:r w:rsidDel="00000000" w:rsidR="00000000" w:rsidRPr="00000000">
        <w:rPr>
          <w:rtl w:val="0"/>
        </w:rPr>
      </w:r>
    </w:p>
    <w:p w:rsidR="00000000" w:rsidDel="00000000" w:rsidP="00000000" w:rsidRDefault="00000000" w:rsidRPr="00000000" w14:paraId="00000198">
      <w:pPr>
        <w:spacing w:line="360" w:lineRule="auto"/>
        <w:rPr/>
      </w:pPr>
      <w:r w:rsidDel="00000000" w:rsidR="00000000" w:rsidRPr="00000000">
        <w:rPr>
          <w:rtl w:val="0"/>
        </w:rPr>
        <w:t xml:space="preserve">Megan Watson</w:t>
      </w:r>
    </w:p>
    <w:p w:rsidR="00000000" w:rsidDel="00000000" w:rsidP="00000000" w:rsidRDefault="00000000" w:rsidRPr="00000000" w14:paraId="00000199">
      <w:pPr>
        <w:spacing w:line="360" w:lineRule="auto"/>
        <w:rPr/>
      </w:pPr>
      <w:r w:rsidDel="00000000" w:rsidR="00000000" w:rsidRPr="00000000">
        <w:rPr>
          <w:rtl w:val="0"/>
        </w:rPr>
        <w:t xml:space="preserve">_______________________</w:t>
      </w:r>
    </w:p>
    <w:p w:rsidR="00000000" w:rsidDel="00000000" w:rsidP="00000000" w:rsidRDefault="00000000" w:rsidRPr="00000000" w14:paraId="0000019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line="360" w:lineRule="auto"/>
        <w:rPr/>
      </w:pPr>
      <w:bookmarkStart w:colFirst="0" w:colLast="0" w:name="_151wmgfe9m60" w:id="38"/>
      <w:bookmarkEnd w:id="38"/>
      <w:r w:rsidDel="00000000" w:rsidR="00000000" w:rsidRPr="00000000">
        <w:rPr>
          <w:rtl w:val="0"/>
        </w:rPr>
        <w:t xml:space="preserve">Appendix C. AI Usage Statement</w:t>
      </w:r>
    </w:p>
    <w:p w:rsidR="00000000" w:rsidDel="00000000" w:rsidP="00000000" w:rsidRDefault="00000000" w:rsidRPr="00000000" w14:paraId="0000019C">
      <w:pPr>
        <w:spacing w:line="360" w:lineRule="auto"/>
        <w:rPr/>
      </w:pPr>
      <w:r w:rsidDel="00000000" w:rsidR="00000000" w:rsidRPr="00000000">
        <w:rPr>
          <w:rtl w:val="0"/>
        </w:rPr>
      </w:r>
    </w:p>
    <w:p w:rsidR="00000000" w:rsidDel="00000000" w:rsidP="00000000" w:rsidRDefault="00000000" w:rsidRPr="00000000" w14:paraId="0000019D">
      <w:pPr>
        <w:spacing w:line="360" w:lineRule="auto"/>
        <w:rPr/>
      </w:pPr>
      <w:r w:rsidDel="00000000" w:rsidR="00000000" w:rsidRPr="00000000">
        <w:rPr>
          <w:rtl w:val="0"/>
        </w:rPr>
        <w:t xml:space="preserve">For this group framework research project, we used AI tools to develop a rough project outline, which informed our research approach prior to starting our first draft. Before beginning research, we adapted the outline provided by AI to create our own framework outline, from which we began conducting research. From there, we used AI to identify media publishers which we could visit to identify individual research sources. To be clear, we did not use AI to curate single resources for research, rather to recommend scholarly journals and practitioner media publishers (e.g., CISA, NCBI, NPJ Digital Medicine) which we could visit ourselves for research.</w:t>
      </w: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line="360" w:lineRule="auto"/>
        <w:rPr/>
      </w:pPr>
      <w:bookmarkStart w:colFirst="0" w:colLast="0" w:name="_5ss0xsh8cotm" w:id="39"/>
      <w:bookmarkEnd w:id="39"/>
      <w:r w:rsidDel="00000000" w:rsidR="00000000" w:rsidRPr="00000000">
        <w:rPr>
          <w:rtl w:val="0"/>
        </w:rPr>
        <w:t xml:space="preserve">Appendix D. Team A2 Meeting Log</w:t>
      </w:r>
    </w:p>
    <w:p w:rsidR="00000000" w:rsidDel="00000000" w:rsidP="00000000" w:rsidRDefault="00000000" w:rsidRPr="00000000" w14:paraId="0000019F">
      <w:pPr>
        <w:spacing w:line="360" w:lineRule="auto"/>
        <w:rPr>
          <w:b w:val="1"/>
          <w:bCs w:val="1"/>
        </w:rPr>
      </w:pPr>
      <w:r w:rsidDel="00000000" w:rsidR="00000000" w:rsidRPr="00000000">
        <w:rPr>
          <w:rtl w:val="0"/>
        </w:rPr>
        <w:t xml:space="preserve">Overall, everyone contributed equally, showed up on time for group meetings, were flexible on when to meet, and helped each other out when needed. </w:t>
      </w:r>
      <w:r w:rsidDel="00000000" w:rsidR="00000000" w:rsidRPr="00000000">
        <w:rPr>
          <w:rtl w:val="0"/>
        </w:rPr>
      </w:r>
    </w:p>
    <w:p w:rsidR="00000000" w:rsidDel="00000000" w:rsidP="00000000" w:rsidRDefault="00000000" w:rsidRPr="00000000" w14:paraId="000001A0">
      <w:pPr>
        <w:spacing w:line="360" w:lineRule="auto"/>
        <w:rPr>
          <w:b w:val="1"/>
          <w:bCs w:val="1"/>
        </w:rPr>
      </w:pPr>
      <w:r w:rsidDel="00000000" w:rsidR="00000000" w:rsidRPr="00000000">
        <w:rPr>
          <w:b w:val="1"/>
          <w:bCs w:val="1"/>
          <w:rtl w:val="0"/>
        </w:rPr>
        <w:t xml:space="preserve">02/03/2026 </w:t>
      </w:r>
    </w:p>
    <w:p w:rsidR="00000000" w:rsidDel="00000000" w:rsidP="00000000" w:rsidRDefault="00000000" w:rsidRPr="00000000" w14:paraId="000001A1">
      <w:pPr>
        <w:numPr>
          <w:ilvl w:val="0"/>
          <w:numId w:val="2"/>
        </w:numPr>
        <w:spacing w:line="360" w:lineRule="auto"/>
        <w:ind w:left="720" w:hanging="360"/>
      </w:pPr>
      <w:r w:rsidDel="00000000" w:rsidR="00000000" w:rsidRPr="00000000">
        <w:rPr>
          <w:rtl w:val="0"/>
        </w:rPr>
        <w:t xml:space="preserve">Created a group chat to start brainstorming proposal ideas </w:t>
      </w:r>
    </w:p>
    <w:p w:rsidR="00000000" w:rsidDel="00000000" w:rsidP="00000000" w:rsidRDefault="00000000" w:rsidRPr="00000000" w14:paraId="000001A2">
      <w:pPr>
        <w:numPr>
          <w:ilvl w:val="0"/>
          <w:numId w:val="2"/>
        </w:numPr>
        <w:spacing w:line="360" w:lineRule="auto"/>
        <w:ind w:left="720" w:hanging="360"/>
      </w:pPr>
      <w:r w:rsidDel="00000000" w:rsidR="00000000" w:rsidRPr="00000000">
        <w:rPr>
          <w:rtl w:val="0"/>
        </w:rPr>
        <w:t xml:space="preserve">Discussed meeting times that would work best for everyone </w:t>
      </w:r>
    </w:p>
    <w:p w:rsidR="00000000" w:rsidDel="00000000" w:rsidP="00000000" w:rsidRDefault="00000000" w:rsidRPr="00000000" w14:paraId="000001A3">
      <w:pPr>
        <w:spacing w:line="360" w:lineRule="auto"/>
        <w:rPr>
          <w:b w:val="1"/>
          <w:bCs w:val="1"/>
        </w:rPr>
      </w:pPr>
      <w:r w:rsidDel="00000000" w:rsidR="00000000" w:rsidRPr="00000000">
        <w:rPr>
          <w:b w:val="1"/>
          <w:bCs w:val="1"/>
          <w:rtl w:val="0"/>
        </w:rPr>
        <w:t xml:space="preserve">02/10/2026 </w:t>
      </w:r>
    </w:p>
    <w:p w:rsidR="00000000" w:rsidDel="00000000" w:rsidP="00000000" w:rsidRDefault="00000000" w:rsidRPr="00000000" w14:paraId="000001A4">
      <w:pPr>
        <w:numPr>
          <w:ilvl w:val="0"/>
          <w:numId w:val="1"/>
        </w:numPr>
        <w:spacing w:line="360" w:lineRule="auto"/>
        <w:ind w:left="720" w:hanging="360"/>
      </w:pPr>
      <w:r w:rsidDel="00000000" w:rsidR="00000000" w:rsidRPr="00000000">
        <w:rPr>
          <w:rtl w:val="0"/>
        </w:rPr>
        <w:t xml:space="preserve">Met to discuss which topic had more research/evidence</w:t>
      </w:r>
    </w:p>
    <w:p w:rsidR="00000000" w:rsidDel="00000000" w:rsidP="00000000" w:rsidRDefault="00000000" w:rsidRPr="00000000" w14:paraId="000001A5">
      <w:pPr>
        <w:numPr>
          <w:ilvl w:val="0"/>
          <w:numId w:val="1"/>
        </w:numPr>
        <w:spacing w:line="360" w:lineRule="auto"/>
        <w:ind w:left="720" w:hanging="360"/>
      </w:pPr>
      <w:r w:rsidDel="00000000" w:rsidR="00000000" w:rsidRPr="00000000">
        <w:rPr>
          <w:rtl w:val="0"/>
        </w:rPr>
        <w:t xml:space="preserve">Finalized our topic </w:t>
      </w:r>
    </w:p>
    <w:p w:rsidR="00000000" w:rsidDel="00000000" w:rsidP="00000000" w:rsidRDefault="00000000" w:rsidRPr="00000000" w14:paraId="000001A6">
      <w:pPr>
        <w:numPr>
          <w:ilvl w:val="0"/>
          <w:numId w:val="1"/>
        </w:numPr>
        <w:spacing w:line="360" w:lineRule="auto"/>
        <w:ind w:left="720" w:hanging="360"/>
      </w:pPr>
      <w:r w:rsidDel="00000000" w:rsidR="00000000" w:rsidRPr="00000000">
        <w:rPr>
          <w:rtl w:val="0"/>
        </w:rPr>
        <w:t xml:space="preserve">Started working on the proposal </w:t>
      </w:r>
    </w:p>
    <w:p w:rsidR="00000000" w:rsidDel="00000000" w:rsidP="00000000" w:rsidRDefault="00000000" w:rsidRPr="00000000" w14:paraId="000001A7">
      <w:pPr>
        <w:spacing w:line="360" w:lineRule="auto"/>
        <w:rPr>
          <w:b w:val="1"/>
          <w:bCs w:val="1"/>
        </w:rPr>
      </w:pPr>
      <w:r w:rsidDel="00000000" w:rsidR="00000000" w:rsidRPr="00000000">
        <w:rPr>
          <w:b w:val="1"/>
          <w:bCs w:val="1"/>
          <w:rtl w:val="0"/>
        </w:rPr>
        <w:t xml:space="preserve">02/17/2026</w:t>
      </w:r>
    </w:p>
    <w:p w:rsidR="00000000" w:rsidDel="00000000" w:rsidP="00000000" w:rsidRDefault="00000000" w:rsidRPr="00000000" w14:paraId="000001A8">
      <w:pPr>
        <w:numPr>
          <w:ilvl w:val="0"/>
          <w:numId w:val="4"/>
        </w:numPr>
        <w:spacing w:line="360" w:lineRule="auto"/>
        <w:ind w:left="720" w:hanging="360"/>
      </w:pPr>
      <w:r w:rsidDel="00000000" w:rsidR="00000000" w:rsidRPr="00000000">
        <w:rPr>
          <w:rtl w:val="0"/>
        </w:rPr>
        <w:t xml:space="preserve">Met briefly after class to discuss how we wanted to organize our workload, and personal deadlines were set to make sure we stayed on track </w:t>
      </w:r>
    </w:p>
    <w:p w:rsidR="00000000" w:rsidDel="00000000" w:rsidP="00000000" w:rsidRDefault="00000000" w:rsidRPr="00000000" w14:paraId="000001A9">
      <w:pPr>
        <w:spacing w:line="360" w:lineRule="auto"/>
        <w:rPr>
          <w:b w:val="1"/>
          <w:bCs w:val="1"/>
        </w:rPr>
      </w:pPr>
      <w:r w:rsidDel="00000000" w:rsidR="00000000" w:rsidRPr="00000000">
        <w:rPr>
          <w:b w:val="1"/>
          <w:bCs w:val="1"/>
          <w:rtl w:val="0"/>
        </w:rPr>
        <w:t xml:space="preserve">02/22/2026</w:t>
      </w:r>
    </w:p>
    <w:p w:rsidR="00000000" w:rsidDel="00000000" w:rsidP="00000000" w:rsidRDefault="00000000" w:rsidRPr="00000000" w14:paraId="000001AA">
      <w:pPr>
        <w:numPr>
          <w:ilvl w:val="0"/>
          <w:numId w:val="3"/>
        </w:numPr>
        <w:spacing w:line="360" w:lineRule="auto"/>
        <w:ind w:left="720" w:hanging="360"/>
      </w:pPr>
      <w:r w:rsidDel="00000000" w:rsidR="00000000" w:rsidRPr="00000000">
        <w:rPr>
          <w:rtl w:val="0"/>
        </w:rPr>
        <w:t xml:space="preserve">Met uptown to create a full outline for our paper, including what headings/subheadings we would include, the content ideas for each section, and which ones we wanted to complete on our own and as a group, and assigned individual sections for those </w:t>
      </w:r>
    </w:p>
    <w:p w:rsidR="00000000" w:rsidDel="00000000" w:rsidP="00000000" w:rsidRDefault="00000000" w:rsidRPr="00000000" w14:paraId="000001AB">
      <w:pPr>
        <w:spacing w:line="360" w:lineRule="auto"/>
        <w:rPr>
          <w:b w:val="1"/>
          <w:bCs w:val="1"/>
        </w:rPr>
      </w:pPr>
      <w:r w:rsidDel="00000000" w:rsidR="00000000" w:rsidRPr="00000000">
        <w:rPr>
          <w:b w:val="1"/>
          <w:bCs w:val="1"/>
          <w:rtl w:val="0"/>
        </w:rPr>
        <w:t xml:space="preserve">02/26/2026</w:t>
      </w:r>
    </w:p>
    <w:p w:rsidR="00000000" w:rsidDel="00000000" w:rsidP="00000000" w:rsidRDefault="00000000" w:rsidRPr="00000000" w14:paraId="000001AC">
      <w:pPr>
        <w:numPr>
          <w:ilvl w:val="0"/>
          <w:numId w:val="5"/>
        </w:numPr>
        <w:spacing w:line="360" w:lineRule="auto"/>
        <w:ind w:left="720" w:hanging="360"/>
      </w:pPr>
      <w:r w:rsidDel="00000000" w:rsidR="00000000" w:rsidRPr="00000000">
        <w:rPr>
          <w:rtl w:val="0"/>
        </w:rPr>
        <w:t xml:space="preserve">Discussed briefly after class how our individual sections were going, if anyone needed any help, and when we would meet in person again to work on collaborative sections </w:t>
      </w:r>
    </w:p>
    <w:p w:rsidR="00000000" w:rsidDel="00000000" w:rsidP="00000000" w:rsidRDefault="00000000" w:rsidRPr="00000000" w14:paraId="000001AD">
      <w:pPr>
        <w:spacing w:line="360" w:lineRule="auto"/>
        <w:rPr>
          <w:b w:val="1"/>
          <w:bCs w:val="1"/>
        </w:rPr>
      </w:pPr>
      <w:r w:rsidDel="00000000" w:rsidR="00000000" w:rsidRPr="00000000">
        <w:rPr>
          <w:b w:val="1"/>
          <w:bCs w:val="1"/>
          <w:rtl w:val="0"/>
        </w:rPr>
        <w:t xml:space="preserve">03/10/2026</w:t>
      </w:r>
    </w:p>
    <w:p w:rsidR="00000000" w:rsidDel="00000000" w:rsidP="00000000" w:rsidRDefault="00000000" w:rsidRPr="00000000" w14:paraId="000001AE">
      <w:pPr>
        <w:numPr>
          <w:ilvl w:val="0"/>
          <w:numId w:val="6"/>
        </w:numPr>
        <w:spacing w:line="360" w:lineRule="auto"/>
        <w:ind w:left="720" w:hanging="360"/>
      </w:pPr>
      <w:r w:rsidDel="00000000" w:rsidR="00000000" w:rsidRPr="00000000">
        <w:rPr>
          <w:rtl w:val="0"/>
        </w:rPr>
        <w:t xml:space="preserve">Met to start writing the collaborative sections (working def, intro, conclusion, implementation, etc.)</w:t>
      </w:r>
    </w:p>
    <w:p w:rsidR="00000000" w:rsidDel="00000000" w:rsidP="00000000" w:rsidRDefault="00000000" w:rsidRPr="00000000" w14:paraId="000001AF">
      <w:pPr>
        <w:numPr>
          <w:ilvl w:val="0"/>
          <w:numId w:val="6"/>
        </w:numPr>
        <w:spacing w:line="360" w:lineRule="auto"/>
        <w:ind w:left="720" w:hanging="360"/>
      </w:pPr>
      <w:r w:rsidDel="00000000" w:rsidR="00000000" w:rsidRPr="00000000">
        <w:rPr>
          <w:rtl w:val="0"/>
        </w:rPr>
        <w:t xml:space="preserve">Reviewed assignment requirements/checklist to ensure we were still on track </w:t>
      </w:r>
    </w:p>
    <w:p w:rsidR="00000000" w:rsidDel="00000000" w:rsidP="00000000" w:rsidRDefault="00000000" w:rsidRPr="00000000" w14:paraId="000001B0">
      <w:pPr>
        <w:spacing w:line="360" w:lineRule="auto"/>
        <w:rPr>
          <w:b w:val="1"/>
          <w:bCs w:val="1"/>
        </w:rPr>
      </w:pPr>
      <w:r w:rsidDel="00000000" w:rsidR="00000000" w:rsidRPr="00000000">
        <w:rPr>
          <w:b w:val="1"/>
          <w:bCs w:val="1"/>
          <w:rtl w:val="0"/>
        </w:rPr>
        <w:t xml:space="preserve">3/17/2026 </w:t>
      </w:r>
    </w:p>
    <w:p w:rsidR="00000000" w:rsidDel="00000000" w:rsidP="00000000" w:rsidRDefault="00000000" w:rsidRPr="00000000" w14:paraId="000001B1">
      <w:pPr>
        <w:numPr>
          <w:ilvl w:val="0"/>
          <w:numId w:val="7"/>
        </w:numPr>
        <w:spacing w:line="360" w:lineRule="auto"/>
        <w:ind w:left="720" w:hanging="360"/>
      </w:pPr>
      <w:r w:rsidDel="00000000" w:rsidR="00000000" w:rsidRPr="00000000">
        <w:rPr>
          <w:rtl w:val="0"/>
        </w:rPr>
        <w:t xml:space="preserve">Met to finish the collaborative sections </w:t>
      </w:r>
    </w:p>
    <w:p w:rsidR="00000000" w:rsidDel="00000000" w:rsidP="00000000" w:rsidRDefault="00000000" w:rsidRPr="00000000" w14:paraId="000001B2">
      <w:pPr>
        <w:numPr>
          <w:ilvl w:val="0"/>
          <w:numId w:val="7"/>
        </w:numPr>
        <w:spacing w:line="360" w:lineRule="auto"/>
        <w:ind w:left="720" w:hanging="360"/>
      </w:pPr>
      <w:r w:rsidDel="00000000" w:rsidR="00000000" w:rsidRPr="00000000">
        <w:rPr>
          <w:rtl w:val="0"/>
        </w:rPr>
        <w:t xml:space="preserve">Revised/made sure our individual sections were still cohesive </w:t>
      </w:r>
    </w:p>
    <w:p w:rsidR="00000000" w:rsidDel="00000000" w:rsidP="00000000" w:rsidRDefault="00000000" w:rsidRPr="00000000" w14:paraId="000001B3">
      <w:pPr>
        <w:numPr>
          <w:ilvl w:val="0"/>
          <w:numId w:val="7"/>
        </w:numPr>
        <w:spacing w:line="360" w:lineRule="auto"/>
        <w:ind w:left="720" w:hanging="360"/>
      </w:pPr>
      <w:r w:rsidDel="00000000" w:rsidR="00000000" w:rsidRPr="00000000">
        <w:rPr>
          <w:rtl w:val="0"/>
        </w:rPr>
        <w:t xml:space="preserve">Checked off the checklist and made sure we completed everything </w:t>
      </w:r>
    </w:p>
    <w:p w:rsidR="00000000" w:rsidDel="00000000" w:rsidP="00000000" w:rsidRDefault="00000000" w:rsidRPr="00000000" w14:paraId="000001B4">
      <w:pPr>
        <w:spacing w:line="360" w:lineRule="auto"/>
        <w:rPr>
          <w:b w:val="1"/>
          <w:bCs w:val="1"/>
        </w:rPr>
      </w:pPr>
      <w:r w:rsidDel="00000000" w:rsidR="00000000" w:rsidRPr="00000000">
        <w:rPr>
          <w:b w:val="1"/>
          <w:bCs w:val="1"/>
          <w:rtl w:val="0"/>
        </w:rPr>
        <w:t xml:space="preserve">3/20/2026</w:t>
      </w:r>
    </w:p>
    <w:p w:rsidR="00000000" w:rsidDel="00000000" w:rsidP="00000000" w:rsidRDefault="00000000" w:rsidRPr="00000000" w14:paraId="000001B5">
      <w:pPr>
        <w:numPr>
          <w:ilvl w:val="0"/>
          <w:numId w:val="8"/>
        </w:numPr>
        <w:spacing w:line="360" w:lineRule="auto"/>
        <w:ind w:left="720" w:hanging="360"/>
      </w:pPr>
      <w:r w:rsidDel="00000000" w:rsidR="00000000" w:rsidRPr="00000000">
        <w:rPr>
          <w:rtl w:val="0"/>
        </w:rPr>
        <w:t xml:space="preserve">Talked virtually about making sure everything was completed on the checklist and how we were going to submit </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spacing w:line="360" w:lineRule="auto"/>
        <w:rPr/>
      </w:pPr>
      <w:bookmarkStart w:colFirst="0" w:colLast="0" w:name="_hwj6th81f4o9" w:id="40"/>
      <w:bookmarkEnd w:id="40"/>
      <w:r w:rsidDel="00000000" w:rsidR="00000000" w:rsidRPr="00000000">
        <w:rPr>
          <w:rtl w:val="0"/>
        </w:rPr>
        <w:t xml:space="preserve">Appendix E. ACC/ISA 305 Information IT Governance Framework Project Checklist</w:t>
      </w:r>
    </w:p>
    <w:p w:rsidR="00000000" w:rsidDel="00000000" w:rsidP="00000000" w:rsidRDefault="00000000" w:rsidRPr="00000000" w14:paraId="000001B7">
      <w:pPr>
        <w:spacing w:line="360" w:lineRule="auto"/>
        <w:rPr/>
      </w:pPr>
      <w:r w:rsidDel="00000000" w:rsidR="00000000" w:rsidRPr="00000000">
        <w:rPr>
          <w:rtl w:val="0"/>
        </w:rPr>
      </w:r>
    </w:p>
    <w:p w:rsidR="00000000" w:rsidDel="00000000" w:rsidP="00000000" w:rsidRDefault="00000000" w:rsidRPr="00000000" w14:paraId="000001B8">
      <w:pPr>
        <w:spacing w:line="360" w:lineRule="auto"/>
        <w:rPr/>
      </w:pPr>
      <w:r w:rsidDel="00000000" w:rsidR="00000000" w:rsidRPr="00000000">
        <w:rPr>
          <w:rtl w:val="0"/>
        </w:rPr>
        <w:t xml:space="preserve">Spring 2026</w:t>
      </w:r>
    </w:p>
    <w:p w:rsidR="00000000" w:rsidDel="00000000" w:rsidP="00000000" w:rsidRDefault="00000000" w:rsidRPr="00000000" w14:paraId="000001B9">
      <w:pPr>
        <w:spacing w:line="360" w:lineRule="auto"/>
        <w:rPr/>
      </w:pPr>
      <w:r w:rsidDel="00000000" w:rsidR="00000000" w:rsidRPr="00000000">
        <w:rPr>
          <w:rtl w:val="0"/>
        </w:rPr>
        <w:t xml:space="preserve">Professor Merhout</w:t>
      </w:r>
    </w:p>
    <w:p w:rsidR="00000000" w:rsidDel="00000000" w:rsidP="00000000" w:rsidRDefault="00000000" w:rsidRPr="00000000" w14:paraId="000001BA">
      <w:pPr>
        <w:spacing w:line="360" w:lineRule="auto"/>
        <w:rPr/>
      </w:pPr>
      <w:r w:rsidDel="00000000" w:rsidR="00000000" w:rsidRPr="00000000">
        <w:rPr>
          <w:rtl w:val="0"/>
        </w:rPr>
      </w:r>
    </w:p>
    <w:p w:rsidR="00000000" w:rsidDel="00000000" w:rsidP="00000000" w:rsidRDefault="00000000" w:rsidRPr="00000000" w14:paraId="000001BB">
      <w:pPr>
        <w:spacing w:line="360" w:lineRule="auto"/>
        <w:rPr/>
      </w:pPr>
      <w:r w:rsidDel="00000000" w:rsidR="00000000" w:rsidRPr="00000000">
        <w:rPr>
          <w:rtl w:val="0"/>
        </w:rPr>
        <w:t xml:space="preserve">Team #: A2</w:t>
      </w:r>
    </w:p>
    <w:p w:rsidR="00000000" w:rsidDel="00000000" w:rsidP="00000000" w:rsidRDefault="00000000" w:rsidRPr="00000000" w14:paraId="000001BC">
      <w:pPr>
        <w:spacing w:line="360" w:lineRule="auto"/>
        <w:rPr/>
      </w:pPr>
      <w:r w:rsidDel="00000000" w:rsidR="00000000" w:rsidRPr="00000000">
        <w:rPr>
          <w:rtl w:val="0"/>
        </w:rPr>
        <w:t xml:space="preserve">Last Names (in alphabetical order): LaCamera, Rodrigues, Watson</w:t>
      </w:r>
    </w:p>
    <w:p w:rsidR="00000000" w:rsidDel="00000000" w:rsidP="00000000" w:rsidRDefault="00000000" w:rsidRPr="00000000" w14:paraId="000001BD">
      <w:pPr>
        <w:spacing w:line="360" w:lineRule="auto"/>
        <w:rPr/>
      </w:pPr>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rtl w:val="0"/>
        </w:rPr>
        <w:t xml:space="preserve">PLEASE CHECK OFF, but only after it is indeed included. Please include this page in the folder you submit.</w:t>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t xml:space="preserve">A final (professionally formatted with page numbers and well written) Package of:</w:t>
      </w:r>
    </w:p>
    <w:p w:rsidR="00000000" w:rsidDel="00000000" w:rsidP="00000000" w:rsidRDefault="00000000" w:rsidRPr="00000000" w14:paraId="000001C1">
      <w:pPr>
        <w:spacing w:line="360" w:lineRule="auto"/>
        <w:rPr/>
      </w:pPr>
      <w:r w:rsidDel="00000000" w:rsidR="00000000" w:rsidRPr="00000000">
        <w:rPr>
          <w:rtl w:val="0"/>
        </w:rPr>
        <w:t xml:space="preserve">_____ Cover page (nothing fancy in terms of a report folder are required), and a Table of Contents</w:t>
      </w:r>
    </w:p>
    <w:p w:rsidR="00000000" w:rsidDel="00000000" w:rsidP="00000000" w:rsidRDefault="00000000" w:rsidRPr="00000000" w14:paraId="000001C2">
      <w:pPr>
        <w:spacing w:line="360" w:lineRule="auto"/>
        <w:rPr/>
      </w:pPr>
      <w:r w:rsidDel="00000000" w:rsidR="00000000" w:rsidRPr="00000000">
        <w:rPr>
          <w:rtl w:val="0"/>
        </w:rPr>
        <w:t xml:space="preserve">_____ Executive Summary, including describing who you are and what your charge was (tie to below) – 1 page</w:t>
      </w:r>
    </w:p>
    <w:p w:rsidR="00000000" w:rsidDel="00000000" w:rsidP="00000000" w:rsidRDefault="00000000" w:rsidRPr="00000000" w14:paraId="000001C3">
      <w:pPr>
        <w:spacing w:line="360" w:lineRule="auto"/>
        <w:rPr/>
      </w:pPr>
      <w:r w:rsidDel="00000000" w:rsidR="00000000" w:rsidRPr="00000000">
        <w:rPr>
          <w:rtl w:val="0"/>
        </w:rPr>
        <w:t xml:space="preserve">_____ Addresses “XYZ Corp” (For whose perspective are you developing this framework? e.g., Board and Senior</w:t>
      </w:r>
    </w:p>
    <w:p w:rsidR="00000000" w:rsidDel="00000000" w:rsidP="00000000" w:rsidRDefault="00000000" w:rsidRPr="00000000" w14:paraId="000001C4">
      <w:pPr>
        <w:spacing w:line="360" w:lineRule="auto"/>
        <w:rPr/>
      </w:pPr>
      <w:r w:rsidDel="00000000" w:rsidR="00000000" w:rsidRPr="00000000">
        <w:rPr>
          <w:rtl w:val="0"/>
        </w:rPr>
        <w:t xml:space="preserve">management? Business and Operations management? IT management? The assurance function? A combination</w:t>
      </w:r>
    </w:p>
    <w:p w:rsidR="00000000" w:rsidDel="00000000" w:rsidP="00000000" w:rsidRDefault="00000000" w:rsidRPr="00000000" w14:paraId="000001C5">
      <w:pPr>
        <w:spacing w:line="360" w:lineRule="auto"/>
        <w:rPr/>
      </w:pPr>
      <w:r w:rsidDel="00000000" w:rsidR="00000000" w:rsidRPr="00000000">
        <w:rPr>
          <w:rtl w:val="0"/>
        </w:rPr>
        <w:t xml:space="preserve">of the above? Please make sure this is clear).</w:t>
      </w:r>
    </w:p>
    <w:p w:rsidR="00000000" w:rsidDel="00000000" w:rsidP="00000000" w:rsidRDefault="00000000" w:rsidRPr="00000000" w14:paraId="000001C6">
      <w:pPr>
        <w:spacing w:line="360" w:lineRule="auto"/>
        <w:rPr/>
      </w:pPr>
      <w:r w:rsidDel="00000000" w:rsidR="00000000" w:rsidRPr="00000000">
        <w:rPr>
          <w:rtl w:val="0"/>
        </w:rPr>
        <w:t xml:space="preserve">_____ Create a comprehensive working definition of IT Governance. Start with published definitions and then</w:t>
      </w:r>
    </w:p>
    <w:p w:rsidR="00000000" w:rsidDel="00000000" w:rsidP="00000000" w:rsidRDefault="00000000" w:rsidRPr="00000000" w14:paraId="000001C7">
      <w:pPr>
        <w:spacing w:line="360" w:lineRule="auto"/>
        <w:rPr/>
      </w:pPr>
      <w:r w:rsidDel="00000000" w:rsidR="00000000" w:rsidRPr="00000000">
        <w:rPr>
          <w:rtl w:val="0"/>
        </w:rPr>
        <w:t xml:space="preserve">aggregate them to create a holistic definition (w/ 3 citations) you can use to guide your framework development.</w:t>
      </w:r>
    </w:p>
    <w:p w:rsidR="00000000" w:rsidDel="00000000" w:rsidP="00000000" w:rsidRDefault="00000000" w:rsidRPr="00000000" w14:paraId="000001C8">
      <w:pPr>
        <w:spacing w:line="360" w:lineRule="auto"/>
        <w:rPr/>
      </w:pPr>
      <w:r w:rsidDel="00000000" w:rsidR="00000000" w:rsidRPr="00000000">
        <w:rPr>
          <w:rtl w:val="0"/>
        </w:rPr>
        <w:t xml:space="preserve">_____ Written overview/summary of your emerging IT &amp; framework, including the RISKS that must be addressed,</w:t>
      </w:r>
    </w:p>
    <w:p w:rsidR="00000000" w:rsidDel="00000000" w:rsidP="00000000" w:rsidRDefault="00000000" w:rsidRPr="00000000" w14:paraId="000001C9">
      <w:pPr>
        <w:spacing w:line="360" w:lineRule="auto"/>
        <w:rPr/>
      </w:pPr>
      <w:r w:rsidDel="00000000" w:rsidR="00000000" w:rsidRPr="00000000">
        <w:rPr>
          <w:rtl w:val="0"/>
        </w:rPr>
        <w:t xml:space="preserve">_____ An illustration (or two) of your framework, and</w:t>
      </w:r>
    </w:p>
    <w:p w:rsidR="00000000" w:rsidDel="00000000" w:rsidP="00000000" w:rsidRDefault="00000000" w:rsidRPr="00000000" w14:paraId="000001CA">
      <w:pPr>
        <w:spacing w:line="360" w:lineRule="auto"/>
        <w:rPr/>
      </w:pPr>
      <w:r w:rsidDel="00000000" w:rsidR="00000000" w:rsidRPr="00000000">
        <w:rPr>
          <w:rtl w:val="0"/>
        </w:rPr>
        <w:t xml:space="preserve">_____ References/bibliography (annotated along with the abstract AND how you use it) – as part of the Word doc</w:t>
      </w:r>
    </w:p>
    <w:p w:rsidR="00000000" w:rsidDel="00000000" w:rsidP="00000000" w:rsidRDefault="00000000" w:rsidRPr="00000000" w14:paraId="000001CB">
      <w:pPr>
        <w:spacing w:line="360" w:lineRule="auto"/>
        <w:rPr/>
      </w:pPr>
      <w:r w:rsidDel="00000000" w:rsidR="00000000" w:rsidRPr="00000000">
        <w:rPr>
          <w:rtl w:val="0"/>
        </w:rPr>
        <w:t xml:space="preserve">_____ Electronic copy of the package of the Word doc (not in pdf) for the paper (and other documents) used to</w:t>
      </w:r>
    </w:p>
    <w:p w:rsidR="00000000" w:rsidDel="00000000" w:rsidP="00000000" w:rsidRDefault="00000000" w:rsidRPr="00000000" w14:paraId="000001CC">
      <w:pPr>
        <w:spacing w:line="360" w:lineRule="auto"/>
        <w:rPr/>
      </w:pPr>
      <w:r w:rsidDel="00000000" w:rsidR="00000000" w:rsidRPr="00000000">
        <w:rPr>
          <w:rtl w:val="0"/>
        </w:rPr>
        <w:t xml:space="preserve">create the illustration/figure of your framework.</w:t>
      </w:r>
    </w:p>
    <w:p w:rsidR="00000000" w:rsidDel="00000000" w:rsidP="00000000" w:rsidRDefault="00000000" w:rsidRPr="00000000" w14:paraId="000001CD">
      <w:pPr>
        <w:spacing w:line="360" w:lineRule="auto"/>
        <w:rPr/>
      </w:pPr>
      <w:r w:rsidDel="00000000" w:rsidR="00000000" w:rsidRPr="00000000">
        <w:rPr>
          <w:rtl w:val="0"/>
        </w:rPr>
        <w:t xml:space="preserve">_____ Electronic copies of the key resources/sources used to support your framework. PDFs are preferred as</w:t>
      </w:r>
    </w:p>
    <w:p w:rsidR="00000000" w:rsidDel="00000000" w:rsidP="00000000" w:rsidRDefault="00000000" w:rsidRPr="00000000" w14:paraId="000001CE">
      <w:pPr>
        <w:spacing w:line="360" w:lineRule="auto"/>
        <w:rPr/>
      </w:pPr>
      <w:r w:rsidDel="00000000" w:rsidR="00000000" w:rsidRPr="00000000">
        <w:rPr>
          <w:rtl w:val="0"/>
        </w:rPr>
        <w:t xml:space="preserve">Internet links often won’t work (hard copies NOT required). Be sure to give them a meaningful name. No need to</w:t>
      </w:r>
    </w:p>
    <w:p w:rsidR="00000000" w:rsidDel="00000000" w:rsidP="00000000" w:rsidRDefault="00000000" w:rsidRPr="00000000" w14:paraId="000001CF">
      <w:pPr>
        <w:spacing w:line="360" w:lineRule="auto"/>
        <w:rPr/>
      </w:pPr>
      <w:r w:rsidDel="00000000" w:rsidR="00000000" w:rsidRPr="00000000">
        <w:rPr>
          <w:rtl w:val="0"/>
        </w:rPr>
        <w:t xml:space="preserve">resubmit resources from me – just note them.</w:t>
      </w:r>
    </w:p>
    <w:p w:rsidR="00000000" w:rsidDel="00000000" w:rsidP="00000000" w:rsidRDefault="00000000" w:rsidRPr="00000000" w14:paraId="000001D0">
      <w:pPr>
        <w:spacing w:line="360" w:lineRule="auto"/>
        <w:rPr/>
      </w:pPr>
      <w:r w:rsidDel="00000000" w:rsidR="00000000" w:rsidRPr="00000000">
        <w:rPr>
          <w:rtl w:val="0"/>
        </w:rPr>
        <w:t xml:space="preserve">_____ Resubmit ORIGINAL approved Proposal (with Merhout feedback comments in red ink)</w:t>
      </w:r>
    </w:p>
    <w:p w:rsidR="00000000" w:rsidDel="00000000" w:rsidP="00000000" w:rsidRDefault="00000000" w:rsidRPr="00000000" w14:paraId="000001D1">
      <w:pPr>
        <w:spacing w:line="360" w:lineRule="auto"/>
        <w:rPr/>
      </w:pPr>
      <w:r w:rsidDel="00000000" w:rsidR="00000000" w:rsidRPr="00000000">
        <w:rPr>
          <w:rtl w:val="0"/>
        </w:rPr>
        <w:t xml:space="preserve">_____ Plagiarism Pledge with your written Signatures (e.g., “On my honor, I have not committed plagiarism,</w:t>
      </w:r>
    </w:p>
    <w:p w:rsidR="00000000" w:rsidDel="00000000" w:rsidP="00000000" w:rsidRDefault="00000000" w:rsidRPr="00000000" w14:paraId="000001D2">
      <w:pPr>
        <w:spacing w:line="360" w:lineRule="auto"/>
        <w:rPr/>
      </w:pPr>
      <w:r w:rsidDel="00000000" w:rsidR="00000000" w:rsidRPr="00000000">
        <w:rPr>
          <w:rtl w:val="0"/>
        </w:rPr>
        <w:t xml:space="preserve">neither explicitly or inadvertently, on this project.”), and your Team Log</w:t>
      </w:r>
    </w:p>
    <w:p w:rsidR="00000000" w:rsidDel="00000000" w:rsidP="00000000" w:rsidRDefault="00000000" w:rsidRPr="00000000" w14:paraId="000001D3">
      <w:pPr>
        <w:spacing w:line="360" w:lineRule="auto"/>
        <w:rPr/>
      </w:pPr>
      <w:r w:rsidDel="00000000" w:rsidR="00000000" w:rsidRPr="00000000">
        <w:rPr>
          <w:rtl w:val="0"/>
        </w:rPr>
        <w:t xml:space="preserve">_____ Due by Friday 3/20/2026. A hard copy of the framework Word document please (must be stapled).</w:t>
      </w:r>
    </w:p>
    <w:p w:rsidR="00000000" w:rsidDel="00000000" w:rsidP="00000000" w:rsidRDefault="00000000" w:rsidRPr="00000000" w14:paraId="000001D4">
      <w:pPr>
        <w:spacing w:line="360" w:lineRule="auto"/>
        <w:rPr/>
      </w:pPr>
      <w:r w:rsidDel="00000000" w:rsidR="00000000" w:rsidRPr="00000000">
        <w:rPr>
          <w:rtl w:val="0"/>
        </w:rPr>
        <w:t xml:space="preserve">_____ Please try to keep total package below 2500-3000 words (and use space and ½ font)</w:t>
      </w:r>
    </w:p>
    <w:p w:rsidR="00000000" w:rsidDel="00000000" w:rsidP="00000000" w:rsidRDefault="00000000" w:rsidRPr="00000000" w14:paraId="000001D5">
      <w:pPr>
        <w:spacing w:line="360" w:lineRule="auto"/>
        <w:rPr/>
      </w:pPr>
      <w:r w:rsidDel="00000000" w:rsidR="00000000" w:rsidRPr="00000000">
        <w:rPr>
          <w:rtl w:val="0"/>
        </w:rPr>
        <w:t xml:space="preserve">_____ Mark the original frameworks with some sort of color coding, such as Blue font for COBIT, Green for Weill,</w:t>
      </w:r>
    </w:p>
    <w:p w:rsidR="00000000" w:rsidDel="00000000" w:rsidP="00000000" w:rsidRDefault="00000000" w:rsidRPr="00000000" w14:paraId="000001D6">
      <w:pPr>
        <w:spacing w:line="360" w:lineRule="auto"/>
        <w:rPr/>
      </w:pPr>
      <w:r w:rsidDel="00000000" w:rsidR="00000000" w:rsidRPr="00000000">
        <w:rPr>
          <w:rtl w:val="0"/>
        </w:rPr>
        <w:t xml:space="preserve">etc. – this will help you avoid plagiarism. MUST use at least two frameworks as references. Provide details.</w:t>
      </w:r>
    </w:p>
    <w:p w:rsidR="00000000" w:rsidDel="00000000" w:rsidP="00000000" w:rsidRDefault="00000000" w:rsidRPr="00000000" w14:paraId="000001D7">
      <w:pPr>
        <w:spacing w:line="360" w:lineRule="auto"/>
        <w:rPr/>
      </w:pPr>
      <w:r w:rsidDel="00000000" w:rsidR="00000000" w:rsidRPr="00000000">
        <w:rPr>
          <w:rtl w:val="0"/>
        </w:rPr>
        <w:t xml:space="preserve">______ Illustrate your critical thinking &amp; creativity (in a professional context). If you must use AI, then note how.</w:t>
      </w:r>
    </w:p>
    <w:p w:rsidR="00000000" w:rsidDel="00000000" w:rsidP="00000000" w:rsidRDefault="00000000" w:rsidRPr="00000000" w14:paraId="000001D8">
      <w:pPr>
        <w:spacing w:line="360" w:lineRule="auto"/>
        <w:rPr/>
      </w:pPr>
      <w:r w:rsidDel="00000000" w:rsidR="00000000" w:rsidRPr="00000000">
        <w:rPr>
          <w:rtl w:val="0"/>
        </w:rPr>
      </w:r>
    </w:p>
    <w:p w:rsidR="00000000" w:rsidDel="00000000" w:rsidP="00000000" w:rsidRDefault="00000000" w:rsidRPr="00000000" w14:paraId="000001D9">
      <w:pPr>
        <w:spacing w:line="360" w:lineRule="auto"/>
        <w:rPr/>
      </w:pPr>
      <w:r w:rsidDel="00000000" w:rsidR="00000000" w:rsidRPr="00000000">
        <w:rPr>
          <w:rtl w:val="0"/>
        </w:rPr>
        <w:t xml:space="preserve">I may use some of these acronyms when I grade your project deliverables:</w:t>
      </w:r>
    </w:p>
    <w:p w:rsidR="00000000" w:rsidDel="00000000" w:rsidP="00000000" w:rsidRDefault="00000000" w:rsidRPr="00000000" w14:paraId="000001DA">
      <w:pPr>
        <w:spacing w:line="360" w:lineRule="auto"/>
        <w:rPr/>
      </w:pPr>
      <w:r w:rsidDel="00000000" w:rsidR="00000000" w:rsidRPr="00000000">
        <w:rPr>
          <w:rtl w:val="0"/>
        </w:rPr>
        <w:t xml:space="preserve">NC – not clear to me (your audience); AWK – awkwardly written (detracts from clarity); NST – Not a smooth transition; TC – Too colloquial for an academic paper; NP – not parallel; NAS – not a complete sentence; ROS – run-on sentence needs punctuation; Sp – Spelling error</w:t>
      </w:r>
    </w:p>
    <w:p w:rsidR="00000000" w:rsidDel="00000000" w:rsidP="00000000" w:rsidRDefault="00000000" w:rsidRPr="00000000" w14:paraId="000001DB">
      <w:pPr>
        <w:spacing w:line="360" w:lineRule="auto"/>
        <w:rPr/>
      </w:pPr>
      <w:r w:rsidDel="00000000" w:rsidR="00000000" w:rsidRPr="00000000">
        <w:rPr>
          <w:rtl w:val="0"/>
        </w:rPr>
      </w:r>
    </w:p>
    <w:p w:rsidR="00000000" w:rsidDel="00000000" w:rsidP="00000000" w:rsidRDefault="00000000" w:rsidRPr="00000000" w14:paraId="000001DC">
      <w:pPr>
        <w:spacing w:line="360" w:lineRule="auto"/>
        <w:rPr/>
      </w:pPr>
      <w:r w:rsidDel="00000000" w:rsidR="00000000" w:rsidRPr="00000000">
        <w:rPr>
          <w:rtl w:val="0"/>
        </w:rPr>
        <w:t xml:space="preserve">Grade: ___________________________</w:t>
      </w:r>
    </w:p>
    <w:p w:rsidR="00000000" w:rsidDel="00000000" w:rsidP="00000000" w:rsidRDefault="00000000" w:rsidRPr="00000000" w14:paraId="000001DD">
      <w:pPr>
        <w:spacing w:line="360" w:lineRule="auto"/>
        <w:rPr/>
      </w:pPr>
      <w:r w:rsidDel="00000000" w:rsidR="00000000" w:rsidRPr="00000000">
        <w:rPr>
          <w:rtl w:val="0"/>
        </w:rPr>
        <w:t xml:space="preserve">Comments:</w:t>
      </w:r>
    </w:p>
    <w:sectPr>
      <w:headerReference r:id="rId23" w:type="default"/>
      <w:head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mcpdig.2024.100191" TargetMode="External"/><Relationship Id="rId11" Type="http://schemas.openxmlformats.org/officeDocument/2006/relationships/hyperlink" Target="https://doi.org/10.1016/j.jelectrocard.2018.08.007" TargetMode="External"/><Relationship Id="rId22" Type="http://schemas.openxmlformats.org/officeDocument/2006/relationships/hyperlink" Target="https://doi.org/10.1038/s41746-025-01900-y" TargetMode="External"/><Relationship Id="rId10" Type="http://schemas.openxmlformats.org/officeDocument/2006/relationships/hyperlink" Target="https://doi.org/10.1038/s41746-025-01700-4" TargetMode="External"/><Relationship Id="rId21" Type="http://schemas.openxmlformats.org/officeDocument/2006/relationships/hyperlink" Target="https://doi.org/10.1038/s41746-025-01614-1" TargetMode="External"/><Relationship Id="rId13" Type="http://schemas.openxmlformats.org/officeDocument/2006/relationships/hyperlink" Target="https://doi.org/10.1371/journal.pdig.0000651" TargetMode="External"/><Relationship Id="rId24" Type="http://schemas.openxmlformats.org/officeDocument/2006/relationships/header" Target="header2.xml"/><Relationship Id="rId12" Type="http://schemas.openxmlformats.org/officeDocument/2006/relationships/hyperlink" Target="https://doi.org/10.1371/journal.pdig.0000022"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746-025-01767-z" TargetMode="External"/><Relationship Id="rId15" Type="http://schemas.openxmlformats.org/officeDocument/2006/relationships/hyperlink" Target="https://doi.org/10.1038/s41746-026-02418-7" TargetMode="External"/><Relationship Id="rId14" Type="http://schemas.openxmlformats.org/officeDocument/2006/relationships/hyperlink" Target="https://doi.org/10.2147/RMHP.S544523" TargetMode="External"/><Relationship Id="rId17" Type="http://schemas.openxmlformats.org/officeDocument/2006/relationships/hyperlink" Target="https://doi.org/10.3390/diagnostics16030396" TargetMode="External"/><Relationship Id="rId16" Type="http://schemas.openxmlformats.org/officeDocument/2006/relationships/hyperlink" Target="https://doi.org/10.2196/25929" TargetMode="External"/><Relationship Id="rId5" Type="http://schemas.openxmlformats.org/officeDocument/2006/relationships/styles" Target="styles.xml"/><Relationship Id="rId19" Type="http://schemas.openxmlformats.org/officeDocument/2006/relationships/hyperlink" Target="https://doi.org/10.1007/978-3-031-72120-5_10" TargetMode="External"/><Relationship Id="rId6" Type="http://schemas.openxmlformats.org/officeDocument/2006/relationships/image" Target="media/image1.png"/><Relationship Id="rId18" Type="http://schemas.openxmlformats.org/officeDocument/2006/relationships/hyperlink" Target="https://doi.org/10.3389/fdgth.2025.1403047" TargetMode="External"/><Relationship Id="rId7" Type="http://schemas.openxmlformats.org/officeDocument/2006/relationships/hyperlink" Target="https://doi.org/10.1016/j.jnlssr.2024.06.001" TargetMode="External"/><Relationship Id="rId8" Type="http://schemas.openxmlformats.org/officeDocument/2006/relationships/hyperlink" Target="https://doi.org/10.1371/journal.pdig.0000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