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4BF" w:rsidRDefault="000D3F26">
      <w:pPr>
        <w:spacing w:after="82" w:line="238" w:lineRule="auto"/>
        <w:ind w:left="2382" w:hanging="2382"/>
        <w:jc w:val="left"/>
      </w:pPr>
      <w:r>
        <w:rPr>
          <w:sz w:val="48"/>
        </w:rPr>
        <w:t xml:space="preserve">Ethical and Privacy Challenges in AI-Based Learning Analytics </w:t>
      </w:r>
    </w:p>
    <w:p w:rsidR="00F304BF" w:rsidRDefault="000D3F26">
      <w:pPr>
        <w:spacing w:after="0" w:line="259" w:lineRule="auto"/>
        <w:ind w:left="0" w:right="6" w:firstLine="0"/>
        <w:jc w:val="center"/>
      </w:pPr>
      <w:proofErr w:type="spellStart"/>
      <w:r>
        <w:rPr>
          <w:sz w:val="22"/>
        </w:rPr>
        <w:t>Mehak</w:t>
      </w:r>
      <w:proofErr w:type="spellEnd"/>
      <w:r>
        <w:rPr>
          <w:sz w:val="22"/>
        </w:rPr>
        <w:t xml:space="preserve"> </w:t>
      </w:r>
      <w:proofErr w:type="spellStart"/>
      <w:r>
        <w:rPr>
          <w:sz w:val="22"/>
        </w:rPr>
        <w:t>Budhiraja</w:t>
      </w:r>
      <w:proofErr w:type="spellEnd"/>
      <w:r>
        <w:rPr>
          <w:sz w:val="22"/>
        </w:rPr>
        <w:t xml:space="preserve">, </w:t>
      </w:r>
      <w:proofErr w:type="spellStart"/>
      <w:r>
        <w:rPr>
          <w:sz w:val="22"/>
        </w:rPr>
        <w:t>Mayank</w:t>
      </w:r>
      <w:proofErr w:type="spellEnd"/>
      <w:r>
        <w:rPr>
          <w:sz w:val="22"/>
        </w:rPr>
        <w:t xml:space="preserve"> Kapoor, </w:t>
      </w:r>
      <w:proofErr w:type="spellStart"/>
      <w:r>
        <w:rPr>
          <w:sz w:val="22"/>
        </w:rPr>
        <w:t>Mayank</w:t>
      </w:r>
      <w:proofErr w:type="spellEnd"/>
      <w:r>
        <w:rPr>
          <w:sz w:val="22"/>
        </w:rPr>
        <w:t xml:space="preserve"> </w:t>
      </w:r>
      <w:proofErr w:type="spellStart"/>
      <w:r>
        <w:rPr>
          <w:sz w:val="22"/>
        </w:rPr>
        <w:t>Sawhney</w:t>
      </w:r>
      <w:proofErr w:type="spellEnd"/>
      <w:r>
        <w:rPr>
          <w:sz w:val="22"/>
        </w:rPr>
        <w:t xml:space="preserve">  </w:t>
      </w:r>
    </w:p>
    <w:p w:rsidR="00F304BF" w:rsidRDefault="000D3F26">
      <w:pPr>
        <w:spacing w:after="10" w:line="259" w:lineRule="auto"/>
        <w:ind w:left="13" w:right="5"/>
        <w:jc w:val="center"/>
      </w:pPr>
      <w:r>
        <w:rPr>
          <w:i/>
        </w:rPr>
        <w:t xml:space="preserve">Department of Computer Science Engineering, </w:t>
      </w:r>
    </w:p>
    <w:p w:rsidR="00F304BF" w:rsidRDefault="000D3F26">
      <w:pPr>
        <w:spacing w:after="10" w:line="259" w:lineRule="auto"/>
        <w:ind w:left="13"/>
        <w:jc w:val="center"/>
      </w:pPr>
      <w:proofErr w:type="spellStart"/>
      <w:r>
        <w:rPr>
          <w:i/>
        </w:rPr>
        <w:t>Chitkara</w:t>
      </w:r>
      <w:proofErr w:type="spellEnd"/>
      <w:r>
        <w:rPr>
          <w:i/>
        </w:rPr>
        <w:t xml:space="preserve"> University, </w:t>
      </w:r>
      <w:proofErr w:type="spellStart"/>
      <w:r>
        <w:rPr>
          <w:i/>
        </w:rPr>
        <w:t>Rajpura</w:t>
      </w:r>
      <w:proofErr w:type="spellEnd"/>
      <w:r>
        <w:rPr>
          <w:i/>
        </w:rPr>
        <w:t xml:space="preserve">, India </w:t>
      </w:r>
    </w:p>
    <w:p w:rsidR="00F304BF" w:rsidRDefault="000D3F26">
      <w:pPr>
        <w:spacing w:after="45" w:line="259" w:lineRule="auto"/>
        <w:ind w:left="121" w:right="112"/>
        <w:jc w:val="center"/>
      </w:pPr>
      <w:proofErr w:type="gramStart"/>
      <w:r>
        <w:rPr>
          <w:rFonts w:ascii="Georgia" w:eastAsia="Georgia" w:hAnsi="Georgia" w:cs="Georgia"/>
          <w:i/>
        </w:rPr>
        <w:t>{</w:t>
      </w:r>
      <w:r>
        <w:t xml:space="preserve"> mehak1917.be22</w:t>
      </w:r>
      <w:proofErr w:type="gramEnd"/>
      <w:r>
        <w:t>, mayank1905.be22, mayank1908.be22</w:t>
      </w:r>
      <w:r>
        <w:rPr>
          <w:rFonts w:ascii="Georgia" w:eastAsia="Georgia" w:hAnsi="Georgia" w:cs="Georgia"/>
          <w:i/>
        </w:rPr>
        <w:t>}</w:t>
      </w:r>
      <w:r>
        <w:t>@</w:t>
      </w:r>
      <w:r>
        <w:t xml:space="preserve">chitkara.edu.in </w:t>
      </w:r>
    </w:p>
    <w:p w:rsidR="00F304BF" w:rsidRDefault="00F304BF"/>
    <w:p w:rsidR="000D3F26" w:rsidRDefault="000D3F26">
      <w:pPr>
        <w:sectPr w:rsidR="000D3F26">
          <w:pgSz w:w="12240" w:h="15840"/>
          <w:pgMar w:top="989" w:right="1888" w:bottom="715" w:left="1892" w:header="720" w:footer="720" w:gutter="0"/>
          <w:cols w:space="720"/>
        </w:sectPr>
      </w:pPr>
      <w:bookmarkStart w:id="0" w:name="_GoBack"/>
      <w:bookmarkEnd w:id="0"/>
    </w:p>
    <w:p w:rsidR="00F304BF" w:rsidRDefault="000D3F26">
      <w:pPr>
        <w:spacing w:after="95" w:line="259" w:lineRule="auto"/>
        <w:ind w:left="0" w:firstLine="0"/>
        <w:jc w:val="left"/>
      </w:pPr>
      <w:r>
        <w:t xml:space="preserve"> </w:t>
      </w:r>
    </w:p>
    <w:p w:rsidR="00F304BF" w:rsidRDefault="000D3F26">
      <w:pPr>
        <w:ind w:left="259" w:firstLine="197"/>
      </w:pPr>
      <w:r>
        <w:rPr>
          <w:i/>
        </w:rPr>
        <w:t>Abstract</w:t>
      </w:r>
      <w:r>
        <w:t>—</w:t>
      </w:r>
      <w:proofErr w:type="gramStart"/>
      <w:r>
        <w:t>The</w:t>
      </w:r>
      <w:proofErr w:type="gramEnd"/>
      <w:r>
        <w:t xml:space="preserve"> integration of Artificial Intelligence (AI) into learning analytics has revolutionized educational institutions’ ability to monitor, predict, and respond to student learning </w:t>
      </w:r>
      <w:proofErr w:type="spellStart"/>
      <w:r>
        <w:t>behav</w:t>
      </w:r>
      <w:proofErr w:type="spellEnd"/>
      <w:r>
        <w:t xml:space="preserve">- </w:t>
      </w:r>
      <w:proofErr w:type="spellStart"/>
      <w:r>
        <w:t>iors</w:t>
      </w:r>
      <w:proofErr w:type="spellEnd"/>
      <w:r>
        <w:t>. However, these technologica</w:t>
      </w:r>
      <w:r>
        <w:t xml:space="preserve">l advancements have introduced significant ethical tensions and privacy vulnerabilities that remain inadequately addressed by current regulatory frameworks. This paper presents a comprehensive analysis of the ethical and </w:t>
      </w:r>
      <w:proofErr w:type="spellStart"/>
      <w:r>
        <w:t>pri</w:t>
      </w:r>
      <w:proofErr w:type="spellEnd"/>
      <w:r>
        <w:t xml:space="preserve">- </w:t>
      </w:r>
      <w:proofErr w:type="spellStart"/>
      <w:r>
        <w:t>vacy</w:t>
      </w:r>
      <w:proofErr w:type="spellEnd"/>
      <w:r>
        <w:t xml:space="preserve"> challenges in AI-based le</w:t>
      </w:r>
      <w:r>
        <w:t xml:space="preserve">arning analytics (AILA), examining five critical dimensions: informed consent and student autonomy, algorithmic bias and fairness, data security and regulatory compliance, transparency and </w:t>
      </w:r>
      <w:proofErr w:type="spellStart"/>
      <w:r>
        <w:t>explainability</w:t>
      </w:r>
      <w:proofErr w:type="spellEnd"/>
      <w:r>
        <w:t>, and educational surveillance. Using a systematic li</w:t>
      </w:r>
      <w:r>
        <w:t xml:space="preserve">terature review of 94 peer- reviewed studies (2018-2025), we identify substantial governance gaps, with only 27% of institutions having formal ethics policies. As a primary contribution, we propose the AILA Ethical </w:t>
      </w:r>
      <w:proofErr w:type="spellStart"/>
      <w:r>
        <w:t>Gov</w:t>
      </w:r>
      <w:proofErr w:type="spellEnd"/>
      <w:r>
        <w:t xml:space="preserve">- </w:t>
      </w:r>
      <w:proofErr w:type="spellStart"/>
      <w:r>
        <w:t>ernance</w:t>
      </w:r>
      <w:proofErr w:type="spellEnd"/>
      <w:r>
        <w:t xml:space="preserve"> Toolkit (AILA-EGT), a </w:t>
      </w:r>
      <w:proofErr w:type="spellStart"/>
      <w:r>
        <w:t>fiveco</w:t>
      </w:r>
      <w:r>
        <w:t>mponent</w:t>
      </w:r>
      <w:proofErr w:type="spellEnd"/>
      <w:r>
        <w:t xml:space="preserve"> framework for responsible AILA deployment. The toolkit addresses algorithmic impact assessment, student transparency dashboards, instructor training, vendor contracting standards, and institutional ethics committees. Our findings demonstrate that w</w:t>
      </w:r>
      <w:r>
        <w:t xml:space="preserve">ithout proactive </w:t>
      </w:r>
      <w:proofErr w:type="spellStart"/>
      <w:r>
        <w:t>gov</w:t>
      </w:r>
      <w:proofErr w:type="spellEnd"/>
      <w:r>
        <w:t xml:space="preserve">- </w:t>
      </w:r>
      <w:proofErr w:type="spellStart"/>
      <w:r>
        <w:t>ernance</w:t>
      </w:r>
      <w:proofErr w:type="spellEnd"/>
      <w:r>
        <w:t xml:space="preserve">, AILA systems risk perpetuating educational inequities and eroding student trust. </w:t>
      </w:r>
    </w:p>
    <w:p w:rsidR="00F304BF" w:rsidRDefault="000D3F26">
      <w:pPr>
        <w:ind w:left="259" w:firstLine="197"/>
      </w:pPr>
      <w:r>
        <w:rPr>
          <w:i/>
        </w:rPr>
        <w:t>Index Terms</w:t>
      </w:r>
      <w:r>
        <w:t>—learning analytics, artificial intelligence, privacy, ethics, algorithmic bias, student data, surveillance, informed consent, educa</w:t>
      </w:r>
      <w:r>
        <w:t xml:space="preserve">tional equity, governance toolkit </w:t>
      </w:r>
    </w:p>
    <w:p w:rsidR="00F304BF" w:rsidRDefault="000D3F26">
      <w:pPr>
        <w:spacing w:after="0" w:line="259" w:lineRule="auto"/>
        <w:ind w:left="0" w:firstLine="0"/>
        <w:jc w:val="left"/>
      </w:pPr>
      <w:r>
        <w:rPr>
          <w:b/>
          <w:sz w:val="18"/>
        </w:rPr>
        <w:t xml:space="preserve"> </w:t>
      </w:r>
    </w:p>
    <w:p w:rsidR="00F304BF" w:rsidRDefault="000D3F26">
      <w:pPr>
        <w:spacing w:after="45" w:line="259" w:lineRule="auto"/>
        <w:ind w:left="121" w:right="17"/>
        <w:jc w:val="center"/>
      </w:pPr>
      <w:r>
        <w:t>I.</w:t>
      </w:r>
      <w:r>
        <w:rPr>
          <w:rFonts w:ascii="Arial" w:eastAsia="Arial" w:hAnsi="Arial" w:cs="Arial"/>
        </w:rPr>
        <w:t xml:space="preserve"> </w:t>
      </w:r>
      <w:r>
        <w:t xml:space="preserve">INTRODUCTION </w:t>
      </w:r>
    </w:p>
    <w:p w:rsidR="00F304BF" w:rsidRDefault="000D3F26">
      <w:pPr>
        <w:spacing w:after="140"/>
        <w:ind w:left="259" w:firstLine="197"/>
      </w:pPr>
      <w:r>
        <w:t xml:space="preserve">At its core, a student’s educational journey is about more than just grades—it is a reflection of how well an institution </w:t>
      </w:r>
      <w:r>
        <w:t>is supporting its learners. However, with the massive amount of data being generated in modern classrooms—every login, assessment attempt, forum post, and video pause—we have an opportunity to do more than just record activity. We can actually understand w</w:t>
      </w:r>
      <w:r>
        <w:t xml:space="preserve">here a student is headed and provide support before challenges become crises. </w:t>
      </w:r>
    </w:p>
    <w:p w:rsidR="00F304BF" w:rsidRDefault="000D3F26">
      <w:pPr>
        <w:pStyle w:val="Heading1"/>
        <w:ind w:left="269" w:right="1214"/>
      </w:pPr>
      <w:r>
        <w:t>A.</w:t>
      </w:r>
      <w:r>
        <w:rPr>
          <w:rFonts w:ascii="Arial" w:eastAsia="Arial" w:hAnsi="Arial" w:cs="Arial"/>
        </w:rPr>
        <w:t xml:space="preserve"> </w:t>
      </w:r>
      <w:r>
        <w:t xml:space="preserve">The Growing Significance of AILA </w:t>
      </w:r>
    </w:p>
    <w:p w:rsidR="00F304BF" w:rsidRDefault="000D3F26">
      <w:pPr>
        <w:ind w:left="259" w:firstLine="197"/>
      </w:pPr>
      <w:r>
        <w:t xml:space="preserve">The global learning analytics market has experienced ex- </w:t>
      </w:r>
      <w:proofErr w:type="spellStart"/>
      <w:r>
        <w:t>ponential</w:t>
      </w:r>
      <w:proofErr w:type="spellEnd"/>
      <w:r>
        <w:t xml:space="preserve"> growth over the past decade. According to Grand View Research [9], the ma</w:t>
      </w:r>
      <w:r>
        <w:t>rket was valued at USD 6.05 billion in 2023 and is projected to reach USD 37.4 billion by 2032, representing a compound annual growth rate (CAGR) of 22.5%. This growth is driven by several factors: the increasing adoption of digital learning platforms post</w:t>
      </w:r>
      <w:r>
        <w:t xml:space="preserve">-pandemic, the growing emphasis on student retention and completion rates, </w:t>
      </w:r>
      <w:r>
        <w:t xml:space="preserve">and the pressure on institutions to demonstrate educational effectiveness to accrediting bodies and funding agencies. </w:t>
      </w:r>
    </w:p>
    <w:p w:rsidR="00F304BF" w:rsidRDefault="000D3F26">
      <w:pPr>
        <w:spacing w:after="155"/>
        <w:ind w:left="-15" w:firstLine="202"/>
      </w:pPr>
      <w:r>
        <w:t xml:space="preserve">In the United States alone, approximately 78% of higher </w:t>
      </w:r>
      <w:proofErr w:type="spellStart"/>
      <w:r>
        <w:t>ed</w:t>
      </w:r>
      <w:proofErr w:type="spellEnd"/>
      <w:r>
        <w:t xml:space="preserve">- </w:t>
      </w:r>
      <w:proofErr w:type="spellStart"/>
      <w:r>
        <w:t>uc</w:t>
      </w:r>
      <w:r>
        <w:t>ation</w:t>
      </w:r>
      <w:proofErr w:type="spellEnd"/>
      <w:r>
        <w:t xml:space="preserve"> institutions now use some form of predictive analytics for student success interventions [8]. This widespread adoption reflects a fundamental shift in how institutions approach </w:t>
      </w:r>
      <w:proofErr w:type="spellStart"/>
      <w:r>
        <w:t>stu</w:t>
      </w:r>
      <w:proofErr w:type="spellEnd"/>
      <w:r>
        <w:t xml:space="preserve">- dent support. Traditional reactive models—where interventions occur </w:t>
      </w:r>
      <w:r>
        <w:t xml:space="preserve">only after students fail exams or miss deadlines—are be- </w:t>
      </w:r>
      <w:proofErr w:type="spellStart"/>
      <w:r>
        <w:t>ing</w:t>
      </w:r>
      <w:proofErr w:type="spellEnd"/>
      <w:r>
        <w:t xml:space="preserve"> replaced by proactive systems that identify at-risk students weeks before problems become critical. </w:t>
      </w:r>
    </w:p>
    <w:p w:rsidR="00F304BF" w:rsidRDefault="000D3F26">
      <w:pPr>
        <w:pStyle w:val="Heading1"/>
        <w:ind w:left="-5" w:right="1214"/>
      </w:pPr>
      <w:r>
        <w:t>B.</w:t>
      </w:r>
      <w:r>
        <w:rPr>
          <w:rFonts w:ascii="Arial" w:eastAsia="Arial" w:hAnsi="Arial" w:cs="Arial"/>
        </w:rPr>
        <w:t xml:space="preserve"> </w:t>
      </w:r>
      <w:r>
        <w:t xml:space="preserve">The Problem with Current Systems </w:t>
      </w:r>
    </w:p>
    <w:p w:rsidR="00F304BF" w:rsidRDefault="000D3F26">
      <w:pPr>
        <w:ind w:left="-15" w:firstLine="202"/>
      </w:pPr>
      <w:r>
        <w:t xml:space="preserve">The problem with most current learning analytics systems </w:t>
      </w:r>
      <w:r>
        <w:t xml:space="preserve">is that they operate without adequate ethical safeguards. Usually, by the time an institution deploys a predictive model, students are unaware of how their data is being used, and educators cannot explain why certain students are flagged </w:t>
      </w:r>
      <w:proofErr w:type="gramStart"/>
      <w:r>
        <w:t>as ”</w:t>
      </w:r>
      <w:proofErr w:type="gramEnd"/>
      <w:r>
        <w:t>at-risk.” Whil</w:t>
      </w:r>
      <w:r>
        <w:t xml:space="preserve">e Machine Learning (ML) can help us spot trends early, these models are </w:t>
      </w:r>
      <w:proofErr w:type="gramStart"/>
      <w:r>
        <w:t>often ”</w:t>
      </w:r>
      <w:proofErr w:type="gramEnd"/>
      <w:r>
        <w:t xml:space="preserve">black boxes” that do not provide context. If a teacher does not know why a student is flagged as high-risk, they cannot provide the right kind of help. </w:t>
      </w:r>
    </w:p>
    <w:p w:rsidR="00F304BF" w:rsidRDefault="000D3F26">
      <w:pPr>
        <w:spacing w:after="150"/>
        <w:ind w:left="-15" w:firstLine="202"/>
      </w:pPr>
      <w:r>
        <w:t xml:space="preserve">Research has documented </w:t>
      </w:r>
      <w:r>
        <w:t xml:space="preserve">significant gaps in ethical </w:t>
      </w:r>
      <w:proofErr w:type="spellStart"/>
      <w:r>
        <w:t>gover</w:t>
      </w:r>
      <w:proofErr w:type="spellEnd"/>
      <w:r>
        <w:t xml:space="preserve">- </w:t>
      </w:r>
      <w:proofErr w:type="spellStart"/>
      <w:r>
        <w:t>nance</w:t>
      </w:r>
      <w:proofErr w:type="spellEnd"/>
      <w:r>
        <w:t xml:space="preserve">. A survey of 1,200 students across 12 US universities found that 73% were unaware that their LMS activity was being </w:t>
      </w:r>
      <w:proofErr w:type="spellStart"/>
      <w:r>
        <w:t>analyzed</w:t>
      </w:r>
      <w:proofErr w:type="spellEnd"/>
      <w:r>
        <w:t xml:space="preserve"> for predictive risk </w:t>
      </w:r>
      <w:proofErr w:type="spellStart"/>
      <w:r>
        <w:t>modeling</w:t>
      </w:r>
      <w:proofErr w:type="spellEnd"/>
      <w:r>
        <w:t xml:space="preserve">, and 84% had never been offered an explicit choice regarding </w:t>
      </w:r>
      <w:r>
        <w:t xml:space="preserve">such analysis [5]. This lack </w:t>
      </w:r>
      <w:proofErr w:type="gramStart"/>
      <w:r>
        <w:t>of</w:t>
      </w:r>
      <w:proofErr w:type="gramEnd"/>
      <w:r>
        <w:t xml:space="preserve"> transparency not only violates principles of informed consent but also undermines trust in educational institutions. </w:t>
      </w:r>
    </w:p>
    <w:p w:rsidR="00F304BF" w:rsidRDefault="000D3F26">
      <w:pPr>
        <w:pStyle w:val="Heading1"/>
        <w:ind w:left="-5" w:right="1214"/>
      </w:pPr>
      <w:r>
        <w:t>C.</w:t>
      </w:r>
      <w:r>
        <w:rPr>
          <w:rFonts w:ascii="Arial" w:eastAsia="Arial" w:hAnsi="Arial" w:cs="Arial"/>
        </w:rPr>
        <w:t xml:space="preserve"> </w:t>
      </w:r>
      <w:r>
        <w:t xml:space="preserve">Research Objectives </w:t>
      </w:r>
    </w:p>
    <w:p w:rsidR="00F304BF" w:rsidRDefault="000D3F26">
      <w:pPr>
        <w:spacing w:after="42"/>
        <w:ind w:left="212"/>
      </w:pPr>
      <w:r>
        <w:t xml:space="preserve">This study is guided by four primary objectives: </w:t>
      </w:r>
    </w:p>
    <w:p w:rsidR="00F304BF" w:rsidRDefault="000D3F26">
      <w:pPr>
        <w:numPr>
          <w:ilvl w:val="0"/>
          <w:numId w:val="1"/>
        </w:numPr>
        <w:ind w:hanging="283"/>
      </w:pPr>
      <w:r>
        <w:t>To identify and categorize the p</w:t>
      </w:r>
      <w:r>
        <w:t xml:space="preserve">rincipal ethical and privacy challenges in AILA deployment </w:t>
      </w:r>
    </w:p>
    <w:p w:rsidR="00F304BF" w:rsidRDefault="000D3F26">
      <w:pPr>
        <w:numPr>
          <w:ilvl w:val="0"/>
          <w:numId w:val="1"/>
        </w:numPr>
        <w:ind w:hanging="283"/>
      </w:pPr>
      <w:r>
        <w:t xml:space="preserve">To assess the adequacy of existing regulatory and </w:t>
      </w:r>
      <w:proofErr w:type="spellStart"/>
      <w:r>
        <w:t>insti</w:t>
      </w:r>
      <w:proofErr w:type="spellEnd"/>
      <w:r>
        <w:t xml:space="preserve">- </w:t>
      </w:r>
      <w:proofErr w:type="spellStart"/>
      <w:r>
        <w:t>tutional</w:t>
      </w:r>
      <w:proofErr w:type="spellEnd"/>
      <w:r>
        <w:t xml:space="preserve"> frameworks </w:t>
      </w:r>
    </w:p>
    <w:p w:rsidR="00F304BF" w:rsidRDefault="000D3F26">
      <w:pPr>
        <w:numPr>
          <w:ilvl w:val="0"/>
          <w:numId w:val="1"/>
        </w:numPr>
        <w:ind w:hanging="283"/>
      </w:pPr>
      <w:r>
        <w:t xml:space="preserve">To synthesize documented cases of ethical failures and their consequences </w:t>
      </w:r>
    </w:p>
    <w:p w:rsidR="00F304BF" w:rsidRDefault="000D3F26">
      <w:pPr>
        <w:numPr>
          <w:ilvl w:val="0"/>
          <w:numId w:val="1"/>
        </w:numPr>
        <w:spacing w:after="149"/>
        <w:ind w:hanging="283"/>
      </w:pPr>
      <w:r>
        <w:t>To propose a comprehensive ethical governan</w:t>
      </w:r>
      <w:r>
        <w:t xml:space="preserve">ce toolkit for responsible AILA implementation </w:t>
      </w:r>
    </w:p>
    <w:p w:rsidR="00F304BF" w:rsidRDefault="000D3F26">
      <w:pPr>
        <w:pStyle w:val="Heading1"/>
        <w:ind w:left="-5" w:right="1214"/>
      </w:pPr>
      <w:r>
        <w:t>D.</w:t>
      </w:r>
      <w:r>
        <w:rPr>
          <w:rFonts w:ascii="Arial" w:eastAsia="Arial" w:hAnsi="Arial" w:cs="Arial"/>
        </w:rPr>
        <w:t xml:space="preserve"> </w:t>
      </w:r>
      <w:r>
        <w:t xml:space="preserve">Paper Organization </w:t>
      </w:r>
    </w:p>
    <w:p w:rsidR="00F304BF" w:rsidRDefault="000D3F26">
      <w:pPr>
        <w:spacing w:after="224"/>
        <w:ind w:left="-15" w:firstLine="202"/>
      </w:pPr>
      <w:r>
        <w:t xml:space="preserve">The remainder of this paper is structured as follows. Sec- </w:t>
      </w:r>
      <w:proofErr w:type="spellStart"/>
      <w:r>
        <w:t>tion</w:t>
      </w:r>
      <w:proofErr w:type="spellEnd"/>
      <w:r>
        <w:t xml:space="preserve"> II presents a comprehensive literature review covering the evolution of learning analytics, the integration of AI, and do</w:t>
      </w:r>
      <w:r>
        <w:t xml:space="preserve">cumented ethical challenges. Section III details the methodology employed in this systematic review. Section IV presents exploratory data analysis revealing patterns in ethical incidents and governance gaps. Section V examines key ethical </w:t>
      </w:r>
      <w:r>
        <w:lastRenderedPageBreak/>
        <w:t>and privacy chall</w:t>
      </w:r>
      <w:r>
        <w:t xml:space="preserve">enges in depth, including algorithmic bias, informed consent, data security, and surveillance concerns. Section VI introduces our proposed AILA Ethical Governance Toolkit with detailed component specifications. Section VII presents results and discussion, </w:t>
      </w:r>
      <w:r>
        <w:t xml:space="preserve">including case studies of successful implementations. Section VIII concludes the paper with key findings and implications. Section IX outlines future research directions. </w:t>
      </w:r>
    </w:p>
    <w:p w:rsidR="00F304BF" w:rsidRDefault="000D3F26">
      <w:pPr>
        <w:spacing w:after="111" w:line="259" w:lineRule="auto"/>
        <w:ind w:left="121"/>
        <w:jc w:val="center"/>
      </w:pPr>
      <w:r>
        <w:t>II.</w:t>
      </w:r>
      <w:r>
        <w:rPr>
          <w:rFonts w:ascii="Arial" w:eastAsia="Arial" w:hAnsi="Arial" w:cs="Arial"/>
        </w:rPr>
        <w:t xml:space="preserve"> </w:t>
      </w:r>
      <w:r>
        <w:t xml:space="preserve">LITERATURE REVIEW </w:t>
      </w:r>
    </w:p>
    <w:p w:rsidR="00F304BF" w:rsidRDefault="000D3F26">
      <w:pPr>
        <w:pStyle w:val="Heading1"/>
        <w:spacing w:after="84"/>
        <w:ind w:left="269" w:right="1214"/>
      </w:pPr>
      <w:r>
        <w:t>A.</w:t>
      </w:r>
      <w:r>
        <w:rPr>
          <w:rFonts w:ascii="Arial" w:eastAsia="Arial" w:hAnsi="Arial" w:cs="Arial"/>
        </w:rPr>
        <w:t xml:space="preserve"> </w:t>
      </w:r>
      <w:r>
        <w:t xml:space="preserve">Evolution of Learning Analytics </w:t>
      </w:r>
    </w:p>
    <w:p w:rsidR="00F304BF" w:rsidRDefault="000D3F26">
      <w:pPr>
        <w:ind w:left="259" w:right="69" w:firstLine="197"/>
      </w:pPr>
      <w:r>
        <w:t xml:space="preserve">Learning analytics (LA) emerged in the early 2010s as an interdisciplinary field combining data science, psychology, and instructional design. The first formal definition was proposed at the 1st International Conference on Learning Analytics and Knowledge </w:t>
      </w:r>
      <w:r>
        <w:t xml:space="preserve">(LAK 2011). Siemens and Long [1] defined LA </w:t>
      </w:r>
      <w:proofErr w:type="gramStart"/>
      <w:r>
        <w:t>as ”</w:t>
      </w:r>
      <w:proofErr w:type="gramEnd"/>
      <w:r>
        <w:t xml:space="preserve">the measurement, collection, analysis, and reporting of data about learners and their contexts, for the purposes of understanding and optimizing learning.” </w:t>
      </w:r>
    </w:p>
    <w:p w:rsidR="00F304BF" w:rsidRDefault="000D3F26">
      <w:pPr>
        <w:spacing w:after="222"/>
        <w:ind w:left="259" w:right="66" w:firstLine="197"/>
      </w:pPr>
      <w:r>
        <w:t xml:space="preserve">For much of the decade that followed, LA relied on </w:t>
      </w:r>
      <w:proofErr w:type="spellStart"/>
      <w:r>
        <w:t>descrip</w:t>
      </w:r>
      <w:proofErr w:type="spellEnd"/>
      <w:r>
        <w:t xml:space="preserve">- </w:t>
      </w:r>
      <w:proofErr w:type="spellStart"/>
      <w:r>
        <w:t>tive</w:t>
      </w:r>
      <w:proofErr w:type="spellEnd"/>
      <w:r>
        <w:t xml:space="preserve"> statistics and rule-based systems. Early implementations focused on dashboards showing student activity levels, course completion rates, and basic engagement metrics. While useful, these systems had significant limitations: they could not han</w:t>
      </w:r>
      <w:r>
        <w:t xml:space="preserve">dle the complexity of real student </w:t>
      </w:r>
      <w:proofErr w:type="spellStart"/>
      <w:r>
        <w:t>behavior</w:t>
      </w:r>
      <w:proofErr w:type="spellEnd"/>
      <w:r>
        <w:t xml:space="preserve">, failed to capture non-linear relationships, and were largely reactive rather than predictive. </w:t>
      </w:r>
    </w:p>
    <w:p w:rsidR="00F304BF" w:rsidRDefault="000D3F26">
      <w:pPr>
        <w:pStyle w:val="Heading1"/>
        <w:spacing w:after="84"/>
        <w:ind w:left="269" w:right="1214"/>
      </w:pPr>
      <w:r>
        <w:t>B.</w:t>
      </w:r>
      <w:r>
        <w:rPr>
          <w:rFonts w:ascii="Arial" w:eastAsia="Arial" w:hAnsi="Arial" w:cs="Arial"/>
        </w:rPr>
        <w:t xml:space="preserve"> </w:t>
      </w:r>
      <w:r>
        <w:t xml:space="preserve">AI Integration and Emerging Capabilities </w:t>
      </w:r>
    </w:p>
    <w:p w:rsidR="00F304BF" w:rsidRDefault="000D3F26">
      <w:pPr>
        <w:spacing w:after="49"/>
        <w:ind w:left="259" w:right="68" w:firstLine="197"/>
      </w:pPr>
      <w:r>
        <w:t xml:space="preserve">The convergence of AI with LA since 2018 has </w:t>
      </w:r>
      <w:proofErr w:type="spellStart"/>
      <w:r>
        <w:t>funda</w:t>
      </w:r>
      <w:proofErr w:type="spellEnd"/>
      <w:r>
        <w:t xml:space="preserve">- </w:t>
      </w:r>
      <w:r>
        <w:t xml:space="preserve">mentally transformed what is analytically possible. Machine learning algorithms can now: </w:t>
      </w:r>
    </w:p>
    <w:p w:rsidR="00F304BF" w:rsidRDefault="000D3F26">
      <w:pPr>
        <w:numPr>
          <w:ilvl w:val="0"/>
          <w:numId w:val="2"/>
        </w:numPr>
        <w:ind w:hanging="202"/>
      </w:pPr>
      <w:r>
        <w:t xml:space="preserve">Model non-linear relationships among hundreds of </w:t>
      </w:r>
      <w:proofErr w:type="spellStart"/>
      <w:r>
        <w:t>vari</w:t>
      </w:r>
      <w:proofErr w:type="spellEnd"/>
      <w:r>
        <w:t xml:space="preserve">- </w:t>
      </w:r>
      <w:r>
        <w:rPr>
          <w:sz w:val="12"/>
        </w:rPr>
        <w:t xml:space="preserve"> </w:t>
      </w:r>
      <w:proofErr w:type="spellStart"/>
      <w:r>
        <w:t>ables</w:t>
      </w:r>
      <w:proofErr w:type="spellEnd"/>
      <w:r>
        <w:t xml:space="preserve"> simultaneously </w:t>
      </w:r>
    </w:p>
    <w:p w:rsidR="00F304BF" w:rsidRDefault="000D3F26">
      <w:pPr>
        <w:numPr>
          <w:ilvl w:val="0"/>
          <w:numId w:val="2"/>
        </w:numPr>
        <w:ind w:hanging="202"/>
      </w:pPr>
      <w:r>
        <w:t xml:space="preserve">Process unstructured data such as student essays, discus- </w:t>
      </w:r>
      <w:proofErr w:type="spellStart"/>
      <w:r>
        <w:t>sion</w:t>
      </w:r>
      <w:proofErr w:type="spellEnd"/>
      <w:r>
        <w:t xml:space="preserve"> transcripts, and open-end</w:t>
      </w:r>
      <w:r>
        <w:t xml:space="preserve">ed responses </w:t>
      </w:r>
    </w:p>
    <w:p w:rsidR="00F304BF" w:rsidRDefault="000D3F26">
      <w:pPr>
        <w:numPr>
          <w:ilvl w:val="0"/>
          <w:numId w:val="2"/>
        </w:numPr>
        <w:ind w:hanging="202"/>
      </w:pPr>
      <w:r>
        <w:t xml:space="preserve">Generate real-time adaptive interventions at scale </w:t>
      </w:r>
    </w:p>
    <w:p w:rsidR="00F304BF" w:rsidRDefault="000D3F26">
      <w:pPr>
        <w:numPr>
          <w:ilvl w:val="0"/>
          <w:numId w:val="2"/>
        </w:numPr>
        <w:spacing w:after="56"/>
        <w:ind w:hanging="202"/>
      </w:pPr>
      <w:r>
        <w:t xml:space="preserve">Predict student outcomes with accuracy rates of 82-94% [2] </w:t>
      </w:r>
    </w:p>
    <w:p w:rsidR="00F304BF" w:rsidRDefault="000D3F26">
      <w:pPr>
        <w:spacing w:after="52"/>
        <w:ind w:left="259" w:firstLine="197"/>
      </w:pPr>
      <w:r>
        <w:t xml:space="preserve">Modern AI-powered learning analytics systems employ so- </w:t>
      </w:r>
      <w:proofErr w:type="spellStart"/>
      <w:r>
        <w:t>phisticated</w:t>
      </w:r>
      <w:proofErr w:type="spellEnd"/>
      <w:r>
        <w:t xml:space="preserve"> techniques including: </w:t>
      </w:r>
    </w:p>
    <w:p w:rsidR="00F304BF" w:rsidRDefault="000D3F26">
      <w:pPr>
        <w:numPr>
          <w:ilvl w:val="0"/>
          <w:numId w:val="2"/>
        </w:numPr>
        <w:ind w:hanging="202"/>
      </w:pPr>
      <w:r>
        <w:rPr>
          <w:b/>
        </w:rPr>
        <w:t>Natural Language Processing (NLP)</w:t>
      </w:r>
      <w:r>
        <w:t xml:space="preserve">: </w:t>
      </w:r>
      <w:proofErr w:type="spellStart"/>
      <w:r>
        <w:t>Anal</w:t>
      </w:r>
      <w:r>
        <w:t>yzing</w:t>
      </w:r>
      <w:proofErr w:type="spellEnd"/>
      <w:r>
        <w:t xml:space="preserve"> </w:t>
      </w:r>
      <w:proofErr w:type="spellStart"/>
      <w:r>
        <w:t>stu</w:t>
      </w:r>
      <w:proofErr w:type="spellEnd"/>
      <w:r>
        <w:t xml:space="preserve">- dent writing for sentiment, coherence, and concept un- </w:t>
      </w:r>
      <w:proofErr w:type="spellStart"/>
      <w:r>
        <w:t>derstanding</w:t>
      </w:r>
      <w:proofErr w:type="spellEnd"/>
      <w:r>
        <w:t xml:space="preserve"> </w:t>
      </w:r>
    </w:p>
    <w:p w:rsidR="00F304BF" w:rsidRDefault="000D3F26">
      <w:pPr>
        <w:numPr>
          <w:ilvl w:val="0"/>
          <w:numId w:val="2"/>
        </w:numPr>
        <w:ind w:hanging="202"/>
      </w:pPr>
      <w:r>
        <w:rPr>
          <w:b/>
        </w:rPr>
        <w:t>Deep Learning</w:t>
      </w:r>
      <w:r>
        <w:t xml:space="preserve">: Capturing complex patterns in sequential data such as clickstream </w:t>
      </w:r>
      <w:proofErr w:type="spellStart"/>
      <w:r>
        <w:t>behavior</w:t>
      </w:r>
      <w:proofErr w:type="spellEnd"/>
      <w:r>
        <w:t xml:space="preserve"> </w:t>
      </w:r>
    </w:p>
    <w:p w:rsidR="00F304BF" w:rsidRDefault="000D3F26">
      <w:pPr>
        <w:numPr>
          <w:ilvl w:val="0"/>
          <w:numId w:val="2"/>
        </w:numPr>
        <w:ind w:hanging="202"/>
      </w:pPr>
      <w:r>
        <w:rPr>
          <w:b/>
        </w:rPr>
        <w:t>Reinforcement Learning</w:t>
      </w:r>
      <w:r>
        <w:t xml:space="preserve">: Optimizing intervention </w:t>
      </w:r>
      <w:proofErr w:type="spellStart"/>
      <w:r>
        <w:t>tim</w:t>
      </w:r>
      <w:proofErr w:type="spellEnd"/>
      <w:r>
        <w:t xml:space="preserve">- </w:t>
      </w:r>
      <w:proofErr w:type="spellStart"/>
      <w:r>
        <w:t>ing</w:t>
      </w:r>
      <w:proofErr w:type="spellEnd"/>
      <w:r>
        <w:t xml:space="preserve"> and content based on student </w:t>
      </w:r>
      <w:r>
        <w:t xml:space="preserve">response </w:t>
      </w:r>
    </w:p>
    <w:p w:rsidR="00F304BF" w:rsidRDefault="000D3F26">
      <w:pPr>
        <w:numPr>
          <w:ilvl w:val="0"/>
          <w:numId w:val="2"/>
        </w:numPr>
        <w:ind w:hanging="202"/>
      </w:pPr>
      <w:r>
        <w:rPr>
          <w:b/>
        </w:rPr>
        <w:t>Computer Vision</w:t>
      </w:r>
      <w:r>
        <w:t xml:space="preserve">: </w:t>
      </w:r>
      <w:proofErr w:type="spellStart"/>
      <w:r>
        <w:t>Analyzing</w:t>
      </w:r>
      <w:proofErr w:type="spellEnd"/>
      <w:r>
        <w:t xml:space="preserve"> facial expressions and </w:t>
      </w:r>
      <w:proofErr w:type="spellStart"/>
      <w:r>
        <w:t>en</w:t>
      </w:r>
      <w:proofErr w:type="spellEnd"/>
      <w:r>
        <w:t xml:space="preserve">- </w:t>
      </w:r>
      <w:proofErr w:type="spellStart"/>
      <w:r>
        <w:t>gagement</w:t>
      </w:r>
      <w:proofErr w:type="spellEnd"/>
      <w:r>
        <w:t xml:space="preserve"> during video-based learning </w:t>
      </w:r>
    </w:p>
    <w:p w:rsidR="00F304BF" w:rsidRDefault="000D3F26">
      <w:pPr>
        <w:pStyle w:val="Heading1"/>
        <w:ind w:left="-5" w:right="1214"/>
      </w:pPr>
      <w:r>
        <w:t>C.</w:t>
      </w:r>
      <w:r>
        <w:rPr>
          <w:rFonts w:ascii="Arial" w:eastAsia="Arial" w:hAnsi="Arial" w:cs="Arial"/>
        </w:rPr>
        <w:t xml:space="preserve"> </w:t>
      </w:r>
      <w:r>
        <w:t xml:space="preserve">Ethical Challenges in AILA Research </w:t>
      </w:r>
    </w:p>
    <w:p w:rsidR="00F304BF" w:rsidRDefault="000D3F26">
      <w:pPr>
        <w:ind w:left="-15" w:firstLine="202"/>
      </w:pPr>
      <w:r>
        <w:t xml:space="preserve">The academic literature has increasingly focused on the ethical implications of AILA. Key findings include: </w:t>
      </w:r>
    </w:p>
    <w:p w:rsidR="00F304BF" w:rsidRDefault="000D3F26">
      <w:pPr>
        <w:ind w:left="-15" w:firstLine="202"/>
      </w:pPr>
      <w:r>
        <w:rPr>
          <w:b/>
        </w:rPr>
        <w:t>Algorithmic Bias</w:t>
      </w:r>
      <w:r>
        <w:t xml:space="preserve">: Research by Baker and Hawn [2] </w:t>
      </w:r>
      <w:proofErr w:type="spellStart"/>
      <w:r>
        <w:t>docu</w:t>
      </w:r>
      <w:proofErr w:type="spellEnd"/>
      <w:r>
        <w:t xml:space="preserve">- </w:t>
      </w:r>
      <w:proofErr w:type="spellStart"/>
      <w:r>
        <w:t>mented</w:t>
      </w:r>
      <w:proofErr w:type="spellEnd"/>
      <w:r>
        <w:t xml:space="preserve"> systematic algorithmic bias across seven commercial AILA platforms, with Black and Hispanic students flagged as at-</w:t>
      </w:r>
      <w:r>
        <w:t xml:space="preserve">risk at rates 23-34% higher than white peers with identical academic profiles. </w:t>
      </w:r>
      <w:r>
        <w:t xml:space="preserve">This bias persisted even when demographic variables were explicitly removed from model features, suggesting that proxy variables (zip code, school dis- </w:t>
      </w:r>
      <w:proofErr w:type="spellStart"/>
      <w:r>
        <w:t>trict</w:t>
      </w:r>
      <w:proofErr w:type="spellEnd"/>
      <w:r>
        <w:t xml:space="preserve">, prior institutional interactions) captured and reproduced racial disparities. </w:t>
      </w:r>
    </w:p>
    <w:p w:rsidR="00F304BF" w:rsidRDefault="000D3F26">
      <w:pPr>
        <w:ind w:left="-15" w:firstLine="202"/>
      </w:pPr>
      <w:r>
        <w:rPr>
          <w:b/>
        </w:rPr>
        <w:t>Privacy and Consen</w:t>
      </w:r>
      <w:r>
        <w:rPr>
          <w:b/>
        </w:rPr>
        <w:t>t</w:t>
      </w:r>
      <w:r>
        <w:t xml:space="preserve">: Studies by Slade and </w:t>
      </w:r>
      <w:proofErr w:type="spellStart"/>
      <w:r>
        <w:t>Prinsloo</w:t>
      </w:r>
      <w:proofErr w:type="spellEnd"/>
      <w:r>
        <w:t xml:space="preserve"> [3] revealed that consent mechanisms in educational analytics are fundamentally flawed. Their content analysis of 45 </w:t>
      </w:r>
      <w:proofErr w:type="spellStart"/>
      <w:r>
        <w:t>univer</w:t>
      </w:r>
      <w:proofErr w:type="spellEnd"/>
      <w:r>
        <w:t xml:space="preserve">- </w:t>
      </w:r>
      <w:proofErr w:type="spellStart"/>
      <w:r>
        <w:t>sity</w:t>
      </w:r>
      <w:proofErr w:type="spellEnd"/>
      <w:r>
        <w:t xml:space="preserve"> disclosure documents found that the median document required 12th-grade reading level—far abo</w:t>
      </w:r>
      <w:r>
        <w:t xml:space="preserve">ve average student literacy—and used an average of 27 privacy-related terms without definition. Only 15% of documents provided any explanation of how students could opt out. </w:t>
      </w:r>
    </w:p>
    <w:p w:rsidR="00F304BF" w:rsidRDefault="000D3F26">
      <w:pPr>
        <w:ind w:left="-15" w:firstLine="202"/>
      </w:pPr>
      <w:r>
        <w:rPr>
          <w:b/>
        </w:rPr>
        <w:t>Transparency and Trust</w:t>
      </w:r>
      <w:r>
        <w:t xml:space="preserve">: </w:t>
      </w:r>
      <w:proofErr w:type="spellStart"/>
      <w:r>
        <w:t>Khosravi</w:t>
      </w:r>
      <w:proofErr w:type="spellEnd"/>
      <w:r>
        <w:t xml:space="preserve"> et al. [4] demonstrated that instructor trust in</w:t>
      </w:r>
      <w:r>
        <w:t xml:space="preserve"> AILA tools is strongly mediated by perceived interpretability. A mixed-method study of 214 in- </w:t>
      </w:r>
      <w:proofErr w:type="spellStart"/>
      <w:r>
        <w:t>structors</w:t>
      </w:r>
      <w:proofErr w:type="spellEnd"/>
      <w:r>
        <w:t xml:space="preserve"> found that trust was correlated with </w:t>
      </w:r>
      <w:proofErr w:type="spellStart"/>
      <w:r>
        <w:t>explainability</w:t>
      </w:r>
      <w:proofErr w:type="spellEnd"/>
      <w:r>
        <w:t xml:space="preserve"> </w:t>
      </w:r>
    </w:p>
    <w:p w:rsidR="00F304BF" w:rsidRDefault="000D3F26">
      <w:pPr>
        <w:ind w:left="-5"/>
      </w:pPr>
      <w:r>
        <w:t>(</w:t>
      </w:r>
      <w:r>
        <w:rPr>
          <w:rFonts w:ascii="Verdana" w:eastAsia="Verdana" w:hAnsi="Verdana" w:cs="Verdana"/>
          <w:i/>
        </w:rPr>
        <w:t xml:space="preserve">β </w:t>
      </w:r>
      <w:r>
        <w:rPr>
          <w:rFonts w:ascii="Calibri" w:eastAsia="Calibri" w:hAnsi="Calibri" w:cs="Calibri"/>
        </w:rPr>
        <w:t>= 0</w:t>
      </w:r>
      <w:r>
        <w:rPr>
          <w:rFonts w:ascii="Verdana" w:eastAsia="Verdana" w:hAnsi="Verdana" w:cs="Verdana"/>
          <w:i/>
        </w:rPr>
        <w:t>.</w:t>
      </w:r>
      <w:r>
        <w:rPr>
          <w:rFonts w:ascii="Calibri" w:eastAsia="Calibri" w:hAnsi="Calibri" w:cs="Calibri"/>
        </w:rPr>
        <w:t>61</w:t>
      </w:r>
      <w:r>
        <w:rPr>
          <w:rFonts w:ascii="Verdana" w:eastAsia="Verdana" w:hAnsi="Verdana" w:cs="Verdana"/>
          <w:i/>
        </w:rPr>
        <w:t xml:space="preserve">, p &lt; </w:t>
      </w:r>
      <w:r>
        <w:rPr>
          <w:rFonts w:ascii="Calibri" w:eastAsia="Calibri" w:hAnsi="Calibri" w:cs="Calibri"/>
        </w:rPr>
        <w:t>0</w:t>
      </w:r>
      <w:r>
        <w:rPr>
          <w:rFonts w:ascii="Verdana" w:eastAsia="Verdana" w:hAnsi="Verdana" w:cs="Verdana"/>
          <w:i/>
        </w:rPr>
        <w:t>.</w:t>
      </w:r>
      <w:r>
        <w:rPr>
          <w:rFonts w:ascii="Calibri" w:eastAsia="Calibri" w:hAnsi="Calibri" w:cs="Calibri"/>
        </w:rPr>
        <w:t>001</w:t>
      </w:r>
      <w:r>
        <w:t>), and instructors with lower trust were 66% less likely to act on system rec</w:t>
      </w:r>
      <w:r>
        <w:t xml:space="preserve">ommendations. </w:t>
      </w:r>
    </w:p>
    <w:p w:rsidR="00F304BF" w:rsidRDefault="000D3F26">
      <w:pPr>
        <w:spacing w:after="111"/>
        <w:ind w:left="-15" w:firstLine="202"/>
      </w:pPr>
      <w:r>
        <w:rPr>
          <w:b/>
        </w:rPr>
        <w:t>Surveillance Effects</w:t>
      </w:r>
      <w:r>
        <w:t xml:space="preserve">: </w:t>
      </w:r>
      <w:proofErr w:type="gramStart"/>
      <w:r>
        <w:t>Gao</w:t>
      </w:r>
      <w:proofErr w:type="gramEnd"/>
      <w:r>
        <w:t xml:space="preserve"> and Shen [7] documented </w:t>
      </w:r>
      <w:proofErr w:type="spellStart"/>
      <w:r>
        <w:t>mea</w:t>
      </w:r>
      <w:proofErr w:type="spellEnd"/>
      <w:r>
        <w:t xml:space="preserve">- </w:t>
      </w:r>
      <w:proofErr w:type="spellStart"/>
      <w:r>
        <w:t>surable</w:t>
      </w:r>
      <w:proofErr w:type="spellEnd"/>
      <w:r>
        <w:t xml:space="preserve"> chilling effects from AILA surveillance. Students explicitly informed that their LMS activity was being </w:t>
      </w:r>
      <w:proofErr w:type="spellStart"/>
      <w:r>
        <w:t>analyzed</w:t>
      </w:r>
      <w:proofErr w:type="spellEnd"/>
      <w:r>
        <w:t xml:space="preserve"> for risk scoring submitted 14.3% fewer optional discussion contri</w:t>
      </w:r>
      <w:r>
        <w:t xml:space="preserve">butions than a control group, suggesting that awareness of monitoring inhibits authentic participation. </w:t>
      </w:r>
    </w:p>
    <w:p w:rsidR="00F304BF" w:rsidRDefault="000D3F26">
      <w:pPr>
        <w:pStyle w:val="Heading1"/>
        <w:ind w:left="-5" w:right="1214"/>
      </w:pPr>
      <w:r>
        <w:t>D.</w:t>
      </w:r>
      <w:r>
        <w:rPr>
          <w:rFonts w:ascii="Arial" w:eastAsia="Arial" w:hAnsi="Arial" w:cs="Arial"/>
        </w:rPr>
        <w:t xml:space="preserve"> </w:t>
      </w:r>
      <w:r>
        <w:t xml:space="preserve">Regulatory Landscape </w:t>
      </w:r>
    </w:p>
    <w:p w:rsidR="00F304BF" w:rsidRDefault="000D3F26">
      <w:pPr>
        <w:spacing w:after="156"/>
        <w:ind w:left="-15" w:firstLine="202"/>
      </w:pPr>
      <w:r>
        <w:t xml:space="preserve">The governance of student data in AILA contexts spans multiple, often conflicting regulatory regimes: </w:t>
      </w:r>
    </w:p>
    <w:tbl>
      <w:tblPr>
        <w:tblStyle w:val="TableGrid"/>
        <w:tblpPr w:vertAnchor="text" w:tblpX="10" w:tblpY="381"/>
        <w:tblOverlap w:val="never"/>
        <w:tblW w:w="5560" w:type="dxa"/>
        <w:tblInd w:w="0" w:type="dxa"/>
        <w:tblCellMar>
          <w:top w:w="0" w:type="dxa"/>
          <w:left w:w="120" w:type="dxa"/>
          <w:bottom w:w="0" w:type="dxa"/>
          <w:right w:w="104" w:type="dxa"/>
        </w:tblCellMar>
        <w:tblLook w:val="04A0" w:firstRow="1" w:lastRow="0" w:firstColumn="1" w:lastColumn="0" w:noHBand="0" w:noVBand="1"/>
      </w:tblPr>
      <w:tblGrid>
        <w:gridCol w:w="1493"/>
        <w:gridCol w:w="2233"/>
        <w:gridCol w:w="1834"/>
      </w:tblGrid>
      <w:tr w:rsidR="00F304BF">
        <w:trPr>
          <w:trHeight w:val="187"/>
        </w:trPr>
        <w:tc>
          <w:tcPr>
            <w:tcW w:w="149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b/>
                <w:sz w:val="16"/>
              </w:rPr>
              <w:t xml:space="preserve">Regulation </w:t>
            </w:r>
          </w:p>
        </w:tc>
        <w:tc>
          <w:tcPr>
            <w:tcW w:w="223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b/>
                <w:sz w:val="16"/>
              </w:rPr>
              <w:t>Jurisdictio</w:t>
            </w:r>
            <w:r>
              <w:rPr>
                <w:b/>
                <w:sz w:val="16"/>
              </w:rPr>
              <w:t xml:space="preserve">n </w:t>
            </w:r>
          </w:p>
        </w:tc>
        <w:tc>
          <w:tcPr>
            <w:tcW w:w="1834"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5" w:firstLine="0"/>
              <w:jc w:val="left"/>
            </w:pPr>
            <w:r>
              <w:rPr>
                <w:b/>
                <w:sz w:val="16"/>
              </w:rPr>
              <w:t xml:space="preserve">Key Provisions </w:t>
            </w:r>
          </w:p>
        </w:tc>
      </w:tr>
      <w:tr w:rsidR="00F304BF">
        <w:trPr>
          <w:trHeight w:val="365"/>
        </w:trPr>
        <w:tc>
          <w:tcPr>
            <w:tcW w:w="149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FERPA </w:t>
            </w:r>
          </w:p>
        </w:tc>
        <w:tc>
          <w:tcPr>
            <w:tcW w:w="223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United States </w:t>
            </w:r>
          </w:p>
        </w:tc>
        <w:tc>
          <w:tcPr>
            <w:tcW w:w="1834"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5" w:firstLine="0"/>
            </w:pPr>
            <w:r>
              <w:rPr>
                <w:sz w:val="16"/>
              </w:rPr>
              <w:t xml:space="preserve">Educational records pro- </w:t>
            </w:r>
            <w:proofErr w:type="spellStart"/>
            <w:r>
              <w:rPr>
                <w:sz w:val="16"/>
              </w:rPr>
              <w:t>tection</w:t>
            </w:r>
            <w:proofErr w:type="spellEnd"/>
            <w:r>
              <w:rPr>
                <w:sz w:val="16"/>
              </w:rPr>
              <w:t xml:space="preserve">, parental rights </w:t>
            </w:r>
          </w:p>
        </w:tc>
      </w:tr>
      <w:tr w:rsidR="00F304BF">
        <w:trPr>
          <w:trHeight w:val="365"/>
        </w:trPr>
        <w:tc>
          <w:tcPr>
            <w:tcW w:w="149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GDPR </w:t>
            </w:r>
          </w:p>
        </w:tc>
        <w:tc>
          <w:tcPr>
            <w:tcW w:w="223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European Union </w:t>
            </w:r>
          </w:p>
        </w:tc>
        <w:tc>
          <w:tcPr>
            <w:tcW w:w="1834"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5" w:firstLine="0"/>
            </w:pPr>
            <w:r>
              <w:rPr>
                <w:sz w:val="16"/>
              </w:rPr>
              <w:t xml:space="preserve">Data subject rights, con- sent requirements, DPIA </w:t>
            </w:r>
          </w:p>
        </w:tc>
      </w:tr>
      <w:tr w:rsidR="00F304BF">
        <w:trPr>
          <w:trHeight w:val="370"/>
        </w:trPr>
        <w:tc>
          <w:tcPr>
            <w:tcW w:w="149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SOPIPA </w:t>
            </w:r>
          </w:p>
        </w:tc>
        <w:tc>
          <w:tcPr>
            <w:tcW w:w="223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California </w:t>
            </w:r>
          </w:p>
        </w:tc>
        <w:tc>
          <w:tcPr>
            <w:tcW w:w="1834"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5" w:firstLine="0"/>
            </w:pPr>
            <w:r>
              <w:rPr>
                <w:sz w:val="16"/>
              </w:rPr>
              <w:t xml:space="preserve">Vendor data restrictions, student privacy </w:t>
            </w:r>
          </w:p>
        </w:tc>
      </w:tr>
      <w:tr w:rsidR="00F304BF">
        <w:trPr>
          <w:trHeight w:val="365"/>
        </w:trPr>
        <w:tc>
          <w:tcPr>
            <w:tcW w:w="149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COPPA </w:t>
            </w:r>
          </w:p>
        </w:tc>
        <w:tc>
          <w:tcPr>
            <w:tcW w:w="223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United States </w:t>
            </w:r>
          </w:p>
        </w:tc>
        <w:tc>
          <w:tcPr>
            <w:tcW w:w="1834"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5" w:firstLine="0"/>
            </w:pPr>
            <w:r>
              <w:rPr>
                <w:sz w:val="16"/>
              </w:rPr>
              <w:t xml:space="preserve">Children’s online </w:t>
            </w:r>
            <w:proofErr w:type="spellStart"/>
            <w:r>
              <w:rPr>
                <w:sz w:val="16"/>
              </w:rPr>
              <w:t>pri</w:t>
            </w:r>
            <w:proofErr w:type="spellEnd"/>
            <w:r>
              <w:rPr>
                <w:sz w:val="16"/>
              </w:rPr>
              <w:t xml:space="preserve">- </w:t>
            </w:r>
            <w:proofErr w:type="spellStart"/>
            <w:r>
              <w:rPr>
                <w:sz w:val="16"/>
              </w:rPr>
              <w:t>vacy</w:t>
            </w:r>
            <w:proofErr w:type="spellEnd"/>
            <w:r>
              <w:rPr>
                <w:sz w:val="16"/>
              </w:rPr>
              <w:t xml:space="preserve"> (under 13) </w:t>
            </w:r>
          </w:p>
        </w:tc>
      </w:tr>
    </w:tbl>
    <w:p w:rsidR="00F304BF" w:rsidRDefault="000D3F26">
      <w:pPr>
        <w:spacing w:after="167"/>
        <w:ind w:left="192"/>
      </w:pPr>
      <w:r>
        <w:t xml:space="preserve">TABLE I: Comparison of Major Regulatory Frameworks </w:t>
      </w:r>
    </w:p>
    <w:p w:rsidR="00F304BF" w:rsidRDefault="000D3F26">
      <w:pPr>
        <w:spacing w:before="204" w:after="121"/>
        <w:ind w:left="-15" w:firstLine="202"/>
      </w:pPr>
      <w:r>
        <w:t xml:space="preserve">A cross-national study of 27 countries found that only 8 </w:t>
      </w:r>
      <w:r>
        <w:t xml:space="preserve">had specific legal provisions governing educational data analytics, and only 3 had independent oversight bodies with authority to audit institutional practice [10]. </w:t>
      </w:r>
    </w:p>
    <w:p w:rsidR="00F304BF" w:rsidRDefault="000D3F26">
      <w:pPr>
        <w:spacing w:after="45" w:line="259" w:lineRule="auto"/>
        <w:ind w:left="121" w:right="237"/>
        <w:jc w:val="center"/>
      </w:pPr>
      <w:r>
        <w:t>III.</w:t>
      </w:r>
      <w:r>
        <w:rPr>
          <w:rFonts w:ascii="Arial" w:eastAsia="Arial" w:hAnsi="Arial" w:cs="Arial"/>
        </w:rPr>
        <w:t xml:space="preserve"> </w:t>
      </w:r>
      <w:r>
        <w:t xml:space="preserve">METHODOLOGY </w:t>
      </w:r>
    </w:p>
    <w:p w:rsidR="00F304BF" w:rsidRDefault="000D3F26">
      <w:pPr>
        <w:pStyle w:val="Heading1"/>
        <w:ind w:left="-5" w:right="1214"/>
      </w:pPr>
      <w:r>
        <w:t>A.</w:t>
      </w:r>
      <w:r>
        <w:rPr>
          <w:rFonts w:ascii="Arial" w:eastAsia="Arial" w:hAnsi="Arial" w:cs="Arial"/>
        </w:rPr>
        <w:t xml:space="preserve"> </w:t>
      </w:r>
      <w:r>
        <w:t xml:space="preserve">Research Design </w:t>
      </w:r>
    </w:p>
    <w:p w:rsidR="00F304BF" w:rsidRDefault="000D3F26">
      <w:pPr>
        <w:spacing w:after="188"/>
        <w:ind w:left="-15" w:firstLine="202"/>
      </w:pPr>
      <w:r>
        <w:t>This study employs a systematic literature review me</w:t>
      </w:r>
      <w:r>
        <w:t xml:space="preserve">thod- ology following the Preferred Reporting Items for System- </w:t>
      </w:r>
      <w:proofErr w:type="spellStart"/>
      <w:r>
        <w:t>atic</w:t>
      </w:r>
      <w:proofErr w:type="spellEnd"/>
      <w:r>
        <w:t xml:space="preserve"> Reviews and Meta-Analyses (PRISMA) framework. The PRISMA approach ensures rigorous, transparent, and repro</w:t>
      </w:r>
      <w:proofErr w:type="gramStart"/>
      <w:r>
        <w:t xml:space="preserve">- </w:t>
      </w:r>
      <w:r>
        <w:rPr>
          <w:sz w:val="14"/>
          <w:vertAlign w:val="superscript"/>
        </w:rPr>
        <w:t xml:space="preserve"> </w:t>
      </w:r>
      <w:proofErr w:type="spellStart"/>
      <w:r>
        <w:t>ducible</w:t>
      </w:r>
      <w:proofErr w:type="spellEnd"/>
      <w:proofErr w:type="gramEnd"/>
      <w:r>
        <w:t xml:space="preserve"> literature synthesis through clearly defined search strategies, inclus</w:t>
      </w:r>
      <w:r>
        <w:t xml:space="preserve">ion criteria, and data extraction protocols. </w:t>
      </w:r>
    </w:p>
    <w:p w:rsidR="00F304BF" w:rsidRDefault="000D3F26">
      <w:pPr>
        <w:pStyle w:val="Heading1"/>
        <w:spacing w:after="79"/>
        <w:ind w:left="269" w:right="1214"/>
      </w:pPr>
      <w:r>
        <w:t>B.</w:t>
      </w:r>
      <w:r>
        <w:rPr>
          <w:rFonts w:ascii="Arial" w:eastAsia="Arial" w:hAnsi="Arial" w:cs="Arial"/>
        </w:rPr>
        <w:t xml:space="preserve"> </w:t>
      </w:r>
      <w:r>
        <w:t xml:space="preserve">Search Strategy </w:t>
      </w:r>
    </w:p>
    <w:p w:rsidR="00F304BF" w:rsidRDefault="000D3F26">
      <w:pPr>
        <w:spacing w:after="59"/>
        <w:ind w:left="259" w:firstLine="197"/>
      </w:pPr>
      <w:r>
        <w:t xml:space="preserve">Database searches were conducted across five major digital libraries: </w:t>
      </w:r>
    </w:p>
    <w:p w:rsidR="00F304BF" w:rsidRDefault="000D3F26">
      <w:pPr>
        <w:numPr>
          <w:ilvl w:val="0"/>
          <w:numId w:val="3"/>
        </w:numPr>
        <w:ind w:hanging="202"/>
      </w:pPr>
      <w:r>
        <w:t xml:space="preserve">IEEE </w:t>
      </w:r>
      <w:proofErr w:type="spellStart"/>
      <w:r>
        <w:t>Xplore</w:t>
      </w:r>
      <w:proofErr w:type="spellEnd"/>
      <w:r>
        <w:t xml:space="preserve"> (1,234 results) </w:t>
      </w:r>
    </w:p>
    <w:p w:rsidR="00F304BF" w:rsidRDefault="000D3F26">
      <w:pPr>
        <w:numPr>
          <w:ilvl w:val="0"/>
          <w:numId w:val="3"/>
        </w:numPr>
        <w:ind w:hanging="202"/>
      </w:pPr>
      <w:r>
        <w:t xml:space="preserve">ACM Digital Library (876 results) </w:t>
      </w:r>
    </w:p>
    <w:p w:rsidR="00F304BF" w:rsidRDefault="000D3F26">
      <w:pPr>
        <w:numPr>
          <w:ilvl w:val="0"/>
          <w:numId w:val="3"/>
        </w:numPr>
        <w:ind w:hanging="202"/>
      </w:pPr>
      <w:r>
        <w:lastRenderedPageBreak/>
        <w:t xml:space="preserve">Scopus (2,103 results) </w:t>
      </w:r>
    </w:p>
    <w:p w:rsidR="00F304BF" w:rsidRDefault="000D3F26">
      <w:pPr>
        <w:numPr>
          <w:ilvl w:val="0"/>
          <w:numId w:val="3"/>
        </w:numPr>
        <w:spacing w:after="79"/>
        <w:ind w:hanging="202"/>
      </w:pPr>
      <w:r>
        <w:t xml:space="preserve">Web of Science (1,567 results) </w:t>
      </w:r>
    </w:p>
    <w:p w:rsidR="00F304BF" w:rsidRDefault="000D3F26">
      <w:pPr>
        <w:numPr>
          <w:ilvl w:val="0"/>
          <w:numId w:val="3"/>
        </w:numPr>
        <w:ind w:hanging="202"/>
      </w:pPr>
      <w:r>
        <w:t xml:space="preserve">Google Scholar (3,456 results) </w:t>
      </w:r>
      <w:r>
        <w:tab/>
      </w:r>
      <w:r>
        <w:rPr>
          <w:sz w:val="31"/>
          <w:vertAlign w:val="superscript"/>
        </w:rPr>
        <w:t xml:space="preserve"> </w:t>
      </w:r>
    </w:p>
    <w:p w:rsidR="00F304BF" w:rsidRDefault="000D3F26">
      <w:pPr>
        <w:spacing w:after="108"/>
        <w:ind w:left="466"/>
      </w:pPr>
      <w:r>
        <w:t xml:space="preserve">Query strings used: </w:t>
      </w:r>
    </w:p>
    <w:p w:rsidR="00F304BF" w:rsidRDefault="000D3F26">
      <w:pPr>
        <w:numPr>
          <w:ilvl w:val="0"/>
          <w:numId w:val="3"/>
        </w:numPr>
        <w:spacing w:after="33"/>
        <w:ind w:hanging="202"/>
      </w:pPr>
      <w:r>
        <w:t xml:space="preserve">(”learning analytics” AND ”ethics”) </w:t>
      </w:r>
      <w:r>
        <w:tab/>
        <w:t xml:space="preserve"> </w:t>
      </w:r>
    </w:p>
    <w:p w:rsidR="00F304BF" w:rsidRDefault="000D3F26">
      <w:pPr>
        <w:numPr>
          <w:ilvl w:val="0"/>
          <w:numId w:val="3"/>
        </w:numPr>
        <w:spacing w:after="30"/>
        <w:ind w:hanging="202"/>
      </w:pPr>
      <w:r>
        <w:t xml:space="preserve">(”learning analytics” AND ”privacy”) </w:t>
      </w:r>
    </w:p>
    <w:p w:rsidR="00F304BF" w:rsidRDefault="000D3F26">
      <w:pPr>
        <w:numPr>
          <w:ilvl w:val="0"/>
          <w:numId w:val="3"/>
        </w:numPr>
        <w:spacing w:after="27"/>
        <w:ind w:hanging="202"/>
      </w:pPr>
      <w:r>
        <w:t xml:space="preserve">(”AI education” AND ”algorithmic bias”) </w:t>
      </w:r>
    </w:p>
    <w:p w:rsidR="00F304BF" w:rsidRDefault="000D3F26">
      <w:pPr>
        <w:numPr>
          <w:ilvl w:val="0"/>
          <w:numId w:val="3"/>
        </w:numPr>
        <w:spacing w:after="30"/>
        <w:ind w:hanging="202"/>
      </w:pPr>
      <w:r>
        <w:t xml:space="preserve">(”educational data mining” AND ”fairness”) </w:t>
      </w:r>
    </w:p>
    <w:p w:rsidR="00F304BF" w:rsidRDefault="000D3F26">
      <w:pPr>
        <w:numPr>
          <w:ilvl w:val="0"/>
          <w:numId w:val="3"/>
        </w:numPr>
        <w:spacing w:after="88"/>
        <w:ind w:hanging="202"/>
      </w:pPr>
      <w:r>
        <w:t xml:space="preserve">(”student data” AND ”surveillance”) </w:t>
      </w:r>
    </w:p>
    <w:p w:rsidR="00F304BF" w:rsidRDefault="000D3F26">
      <w:pPr>
        <w:spacing w:after="0" w:line="259" w:lineRule="auto"/>
        <w:ind w:left="0" w:firstLine="0"/>
        <w:jc w:val="right"/>
      </w:pPr>
      <w:r>
        <w:t xml:space="preserve"> </w:t>
      </w:r>
    </w:p>
    <w:p w:rsidR="00F304BF" w:rsidRDefault="000D3F26">
      <w:pPr>
        <w:pStyle w:val="Heading1"/>
        <w:spacing w:after="79"/>
        <w:ind w:left="269" w:right="1214"/>
      </w:pPr>
      <w:r>
        <w:t>C.</w:t>
      </w:r>
      <w:r>
        <w:rPr>
          <w:rFonts w:ascii="Arial" w:eastAsia="Arial" w:hAnsi="Arial" w:cs="Arial"/>
        </w:rPr>
        <w:t xml:space="preserve"> </w:t>
      </w:r>
      <w:r>
        <w:t xml:space="preserve">Inclusion and Exclusion Criteria </w:t>
      </w:r>
    </w:p>
    <w:p w:rsidR="00F304BF" w:rsidRDefault="000D3F26">
      <w:pPr>
        <w:spacing w:after="57"/>
        <w:ind w:left="466"/>
      </w:pPr>
      <w:r>
        <w:t xml:space="preserve">Studies were included if they: </w:t>
      </w:r>
    </w:p>
    <w:p w:rsidR="00F304BF" w:rsidRDefault="000D3F26">
      <w:pPr>
        <w:numPr>
          <w:ilvl w:val="0"/>
          <w:numId w:val="4"/>
        </w:numPr>
        <w:ind w:hanging="288"/>
      </w:pPr>
      <w:r>
        <w:t xml:space="preserve">Were published in peer-reviewed venues between 2018- 2025 </w:t>
      </w:r>
    </w:p>
    <w:p w:rsidR="00F304BF" w:rsidRDefault="000D3F26">
      <w:pPr>
        <w:numPr>
          <w:ilvl w:val="0"/>
          <w:numId w:val="4"/>
        </w:numPr>
        <w:ind w:hanging="288"/>
      </w:pPr>
      <w:r>
        <w:t xml:space="preserve">Contained empirical, conceptual, or legal analysis with explicit focus on ethical or privacy dimensions </w:t>
      </w:r>
    </w:p>
    <w:p w:rsidR="00F304BF" w:rsidRDefault="000D3F26">
      <w:pPr>
        <w:numPr>
          <w:ilvl w:val="0"/>
          <w:numId w:val="4"/>
        </w:numPr>
        <w:spacing w:after="49"/>
        <w:ind w:hanging="288"/>
      </w:pPr>
      <w:r>
        <w:t>Engaged with AI or mac</w:t>
      </w:r>
      <w:r>
        <w:t>hine learning components 4)</w:t>
      </w:r>
      <w:r>
        <w:rPr>
          <w:rFonts w:ascii="Arial" w:eastAsia="Arial" w:hAnsi="Arial" w:cs="Arial"/>
        </w:rPr>
        <w:t xml:space="preserve"> </w:t>
      </w:r>
      <w:r>
        <w:t xml:space="preserve">Addressed formal educational or training contexts Studies were excluded if they: </w:t>
      </w:r>
    </w:p>
    <w:p w:rsidR="00F304BF" w:rsidRDefault="000D3F26">
      <w:pPr>
        <w:numPr>
          <w:ilvl w:val="0"/>
          <w:numId w:val="5"/>
        </w:numPr>
        <w:ind w:hanging="288"/>
      </w:pPr>
      <w:r>
        <w:t xml:space="preserve">Focused solely on technical performance without ethical analysis </w:t>
      </w:r>
    </w:p>
    <w:p w:rsidR="00F304BF" w:rsidRDefault="000D3F26">
      <w:pPr>
        <w:numPr>
          <w:ilvl w:val="0"/>
          <w:numId w:val="5"/>
        </w:numPr>
        <w:ind w:hanging="288"/>
      </w:pPr>
      <w:r>
        <w:t xml:space="preserve">Addressed non-AI analytics systems </w:t>
      </w:r>
    </w:p>
    <w:p w:rsidR="00F304BF" w:rsidRDefault="000D3F26">
      <w:pPr>
        <w:numPr>
          <w:ilvl w:val="0"/>
          <w:numId w:val="5"/>
        </w:numPr>
        <w:ind w:hanging="288"/>
      </w:pPr>
      <w:r>
        <w:t>Were unpublished manuscripts or conference a</w:t>
      </w:r>
      <w:r>
        <w:t xml:space="preserve">bstracts </w:t>
      </w:r>
    </w:p>
    <w:p w:rsidR="00F304BF" w:rsidRDefault="000D3F26">
      <w:pPr>
        <w:numPr>
          <w:ilvl w:val="0"/>
          <w:numId w:val="5"/>
        </w:numPr>
        <w:spacing w:after="205"/>
        <w:ind w:hanging="288"/>
      </w:pPr>
      <w:proofErr w:type="spellStart"/>
      <w:r>
        <w:t>Were</w:t>
      </w:r>
      <w:proofErr w:type="spellEnd"/>
      <w:r>
        <w:t xml:space="preserve"> not available in English </w:t>
      </w:r>
    </w:p>
    <w:p w:rsidR="00F304BF" w:rsidRDefault="000D3F26">
      <w:pPr>
        <w:pStyle w:val="Heading1"/>
        <w:spacing w:after="79"/>
        <w:ind w:left="269" w:right="1214"/>
      </w:pPr>
      <w:r>
        <w:t>D.</w:t>
      </w:r>
      <w:r>
        <w:rPr>
          <w:rFonts w:ascii="Arial" w:eastAsia="Arial" w:hAnsi="Arial" w:cs="Arial"/>
        </w:rPr>
        <w:t xml:space="preserve"> </w:t>
      </w:r>
      <w:r>
        <w:t xml:space="preserve">Data Extraction and Analysis </w:t>
      </w:r>
    </w:p>
    <w:p w:rsidR="00F304BF" w:rsidRDefault="000D3F26">
      <w:pPr>
        <w:spacing w:after="56"/>
        <w:ind w:left="466"/>
      </w:pPr>
      <w:r>
        <w:t xml:space="preserve">For each included study, we extracted: </w:t>
      </w:r>
    </w:p>
    <w:p w:rsidR="00F304BF" w:rsidRDefault="000D3F26">
      <w:pPr>
        <w:numPr>
          <w:ilvl w:val="0"/>
          <w:numId w:val="6"/>
        </w:numPr>
        <w:ind w:hanging="202"/>
      </w:pPr>
      <w:r>
        <w:t xml:space="preserve">Research context (K-12, higher education, corporate) </w:t>
      </w:r>
    </w:p>
    <w:p w:rsidR="00F304BF" w:rsidRDefault="000D3F26">
      <w:pPr>
        <w:numPr>
          <w:ilvl w:val="0"/>
          <w:numId w:val="6"/>
        </w:numPr>
        <w:spacing w:after="54"/>
        <w:ind w:hanging="202"/>
      </w:pPr>
      <w:r>
        <w:t xml:space="preserve">Ethical or privacy challenge examined </w:t>
      </w:r>
      <w:r>
        <w:tab/>
        <w:t xml:space="preserve"> </w:t>
      </w:r>
    </w:p>
    <w:p w:rsidR="00F304BF" w:rsidRDefault="000D3F26">
      <w:pPr>
        <w:numPr>
          <w:ilvl w:val="0"/>
          <w:numId w:val="6"/>
        </w:numPr>
        <w:ind w:hanging="202"/>
      </w:pPr>
      <w:r>
        <w:t xml:space="preserve">Methodological approach </w:t>
      </w:r>
    </w:p>
    <w:p w:rsidR="00F304BF" w:rsidRDefault="000D3F26">
      <w:pPr>
        <w:numPr>
          <w:ilvl w:val="0"/>
          <w:numId w:val="6"/>
        </w:numPr>
        <w:ind w:hanging="202"/>
      </w:pPr>
      <w:r>
        <w:t xml:space="preserve">Documented outcomes </w:t>
      </w:r>
      <w:r>
        <w:t xml:space="preserve">and metrics </w:t>
      </w:r>
    </w:p>
    <w:p w:rsidR="00F304BF" w:rsidRDefault="000D3F26">
      <w:pPr>
        <w:numPr>
          <w:ilvl w:val="0"/>
          <w:numId w:val="6"/>
        </w:numPr>
        <w:spacing w:after="55"/>
        <w:ind w:hanging="202"/>
      </w:pPr>
      <w:r>
        <w:t xml:space="preserve">Proposed remedies or solutions </w:t>
      </w:r>
    </w:p>
    <w:p w:rsidR="00F304BF" w:rsidRDefault="000D3F26">
      <w:pPr>
        <w:spacing w:after="203"/>
        <w:ind w:left="259" w:right="89" w:firstLine="197"/>
      </w:pPr>
      <w:r>
        <w:t xml:space="preserve">Thematic analysis was employed to identify recurring eth- </w:t>
      </w:r>
      <w:proofErr w:type="spellStart"/>
      <w:r>
        <w:t>ical</w:t>
      </w:r>
      <w:proofErr w:type="spellEnd"/>
      <w:r>
        <w:t xml:space="preserve"> challenges, governance gaps, and proposed solutions. Quantitative findings were aggregated where comparable met- </w:t>
      </w:r>
      <w:proofErr w:type="spellStart"/>
      <w:r>
        <w:t>rics</w:t>
      </w:r>
      <w:proofErr w:type="spellEnd"/>
      <w:r>
        <w:t xml:space="preserve"> were reported across multiple </w:t>
      </w:r>
      <w:r>
        <w:t xml:space="preserve">studies. </w:t>
      </w:r>
    </w:p>
    <w:p w:rsidR="00F304BF" w:rsidRDefault="000D3F26">
      <w:pPr>
        <w:pStyle w:val="Heading1"/>
        <w:spacing w:after="84"/>
        <w:ind w:left="269" w:right="1214"/>
      </w:pPr>
      <w:r>
        <w:t>E.</w:t>
      </w:r>
      <w:r>
        <w:rPr>
          <w:rFonts w:ascii="Arial" w:eastAsia="Arial" w:hAnsi="Arial" w:cs="Arial"/>
        </w:rPr>
        <w:t xml:space="preserve"> </w:t>
      </w:r>
      <w:r>
        <w:t xml:space="preserve">Study Selection Results </w:t>
      </w:r>
    </w:p>
    <w:p w:rsidR="00F304BF" w:rsidRDefault="000D3F26">
      <w:pPr>
        <w:ind w:left="259" w:right="89" w:firstLine="197"/>
      </w:pPr>
      <w:r>
        <w:t xml:space="preserve">The search yielded 1,562 unique records after deduplication. Title and abstract screening eliminated 1,203 records. Full- text review of 359 articles resulted in 94 studies meeting all inclusion criteria. The retained </w:t>
      </w:r>
      <w:r>
        <w:t xml:space="preserve">studies include 52 empirical studies, 28 conceptual/legal analyses, and 14 mixed-method studies. </w:t>
      </w:r>
    </w:p>
    <w:p w:rsidR="00F304BF" w:rsidRDefault="000D3F26">
      <w:pPr>
        <w:spacing w:after="175" w:line="259" w:lineRule="auto"/>
        <w:ind w:left="0" w:right="368" w:firstLine="0"/>
        <w:jc w:val="right"/>
      </w:pPr>
      <w:r>
        <w:rPr>
          <w:noProof/>
        </w:rPr>
        <w:drawing>
          <wp:inline distT="0" distB="0" distL="0" distR="0">
            <wp:extent cx="2774569" cy="1630045"/>
            <wp:effectExtent l="0" t="0" r="0" b="0"/>
            <wp:docPr id="1756" name="Picture 1756"/>
            <wp:cNvGraphicFramePr/>
            <a:graphic xmlns:a="http://schemas.openxmlformats.org/drawingml/2006/main">
              <a:graphicData uri="http://schemas.openxmlformats.org/drawingml/2006/picture">
                <pic:pic xmlns:pic="http://schemas.openxmlformats.org/drawingml/2006/picture">
                  <pic:nvPicPr>
                    <pic:cNvPr id="1756" name="Picture 1756"/>
                    <pic:cNvPicPr/>
                  </pic:nvPicPr>
                  <pic:blipFill>
                    <a:blip r:embed="rId5"/>
                    <a:stretch>
                      <a:fillRect/>
                    </a:stretch>
                  </pic:blipFill>
                  <pic:spPr>
                    <a:xfrm>
                      <a:off x="0" y="0"/>
                      <a:ext cx="2774569" cy="1630045"/>
                    </a:xfrm>
                    <a:prstGeom prst="rect">
                      <a:avLst/>
                    </a:prstGeom>
                  </pic:spPr>
                </pic:pic>
              </a:graphicData>
            </a:graphic>
          </wp:inline>
        </w:drawing>
      </w:r>
      <w:r>
        <w:t xml:space="preserve"> </w:t>
      </w:r>
    </w:p>
    <w:p w:rsidR="00F304BF" w:rsidRDefault="000D3F26">
      <w:pPr>
        <w:spacing w:after="431"/>
        <w:ind w:left="173"/>
      </w:pPr>
      <w:r>
        <w:rPr>
          <w:b/>
        </w:rPr>
        <w:t xml:space="preserve">Fig. 1: </w:t>
      </w:r>
      <w:r>
        <w:t xml:space="preserve">PRISMA Flow Diagram: Study Selection Process </w:t>
      </w:r>
    </w:p>
    <w:p w:rsidR="00F304BF" w:rsidRDefault="000D3F26">
      <w:pPr>
        <w:spacing w:after="45" w:line="259" w:lineRule="auto"/>
        <w:ind w:left="121" w:right="193"/>
        <w:jc w:val="center"/>
      </w:pPr>
      <w:r>
        <w:t>IV.</w:t>
      </w:r>
      <w:r>
        <w:rPr>
          <w:rFonts w:ascii="Arial" w:eastAsia="Arial" w:hAnsi="Arial" w:cs="Arial"/>
        </w:rPr>
        <w:t xml:space="preserve"> </w:t>
      </w:r>
      <w:r>
        <w:t xml:space="preserve">EXPLORATORY DATA ANALYSIS </w:t>
      </w:r>
    </w:p>
    <w:p w:rsidR="00F304BF" w:rsidRDefault="000D3F26">
      <w:pPr>
        <w:spacing w:after="86"/>
        <w:ind w:left="-15" w:firstLine="202"/>
      </w:pPr>
      <w:r>
        <w:t xml:space="preserve">Exploratory Data Analysis (EDA) was conducted to uncover patterns and </w:t>
      </w:r>
      <w:r>
        <w:t xml:space="preserve">relationships within the documented ethical </w:t>
      </w:r>
      <w:proofErr w:type="spellStart"/>
      <w:r>
        <w:t>chal</w:t>
      </w:r>
      <w:proofErr w:type="spellEnd"/>
      <w:r>
        <w:t xml:space="preserve">- </w:t>
      </w:r>
      <w:proofErr w:type="spellStart"/>
      <w:r>
        <w:t>lenges</w:t>
      </w:r>
      <w:proofErr w:type="spellEnd"/>
      <w:r>
        <w:t xml:space="preserve"> across the literature. </w:t>
      </w:r>
    </w:p>
    <w:p w:rsidR="00F304BF" w:rsidRDefault="000D3F26">
      <w:pPr>
        <w:spacing w:after="218" w:line="259" w:lineRule="auto"/>
        <w:ind w:left="249" w:firstLine="0"/>
        <w:jc w:val="left"/>
      </w:pPr>
      <w:r>
        <w:rPr>
          <w:noProof/>
        </w:rPr>
        <w:drawing>
          <wp:inline distT="0" distB="0" distL="0" distR="0">
            <wp:extent cx="2826004" cy="2639695"/>
            <wp:effectExtent l="0" t="0" r="0" b="0"/>
            <wp:docPr id="1758" name="Picture 1758"/>
            <wp:cNvGraphicFramePr/>
            <a:graphic xmlns:a="http://schemas.openxmlformats.org/drawingml/2006/main">
              <a:graphicData uri="http://schemas.openxmlformats.org/drawingml/2006/picture">
                <pic:pic xmlns:pic="http://schemas.openxmlformats.org/drawingml/2006/picture">
                  <pic:nvPicPr>
                    <pic:cNvPr id="1758" name="Picture 1758"/>
                    <pic:cNvPicPr/>
                  </pic:nvPicPr>
                  <pic:blipFill>
                    <a:blip r:embed="rId6"/>
                    <a:stretch>
                      <a:fillRect/>
                    </a:stretch>
                  </pic:blipFill>
                  <pic:spPr>
                    <a:xfrm>
                      <a:off x="0" y="0"/>
                      <a:ext cx="2826004" cy="2639695"/>
                    </a:xfrm>
                    <a:prstGeom prst="rect">
                      <a:avLst/>
                    </a:prstGeom>
                  </pic:spPr>
                </pic:pic>
              </a:graphicData>
            </a:graphic>
          </wp:inline>
        </w:drawing>
      </w:r>
    </w:p>
    <w:p w:rsidR="00F304BF" w:rsidRDefault="000D3F26">
      <w:pPr>
        <w:spacing w:after="222"/>
        <w:ind w:left="-5"/>
      </w:pPr>
      <w:r>
        <w:rPr>
          <w:b/>
        </w:rPr>
        <w:t xml:space="preserve">Fig. 2: </w:t>
      </w:r>
      <w:r>
        <w:t xml:space="preserve">Correlation </w:t>
      </w:r>
      <w:proofErr w:type="spellStart"/>
      <w:r>
        <w:t>Heatmap</w:t>
      </w:r>
      <w:proofErr w:type="spellEnd"/>
      <w:r>
        <w:t xml:space="preserve"> of Ethical Challenge Dimensions </w:t>
      </w:r>
    </w:p>
    <w:p w:rsidR="00F304BF" w:rsidRDefault="000D3F26">
      <w:pPr>
        <w:spacing w:after="34"/>
        <w:ind w:left="-15" w:firstLine="202"/>
      </w:pPr>
      <w:r>
        <w:t xml:space="preserve">Figure 2 presents a correlation </w:t>
      </w:r>
      <w:proofErr w:type="spellStart"/>
      <w:r>
        <w:t>heatmap</w:t>
      </w:r>
      <w:proofErr w:type="spellEnd"/>
      <w:r>
        <w:t xml:space="preserve"> illustrating the relationships between different ethical challenge dimensions. The analysis reveals strong positive correlations between: </w:t>
      </w:r>
    </w:p>
    <w:p w:rsidR="00F304BF" w:rsidRDefault="000D3F26">
      <w:pPr>
        <w:numPr>
          <w:ilvl w:val="0"/>
          <w:numId w:val="7"/>
        </w:numPr>
        <w:ind w:hanging="202"/>
      </w:pPr>
      <w:r>
        <w:t xml:space="preserve">Data privacy concerns and regulatory compliance issues (0.78) </w:t>
      </w:r>
    </w:p>
    <w:p w:rsidR="00F304BF" w:rsidRDefault="000D3F26">
      <w:pPr>
        <w:numPr>
          <w:ilvl w:val="0"/>
          <w:numId w:val="7"/>
        </w:numPr>
        <w:ind w:hanging="202"/>
      </w:pPr>
      <w:r>
        <w:t>Algorithmic bi</w:t>
      </w:r>
      <w:r>
        <w:t xml:space="preserve">as and institutional capacity gaps (0.71) </w:t>
      </w:r>
    </w:p>
    <w:p w:rsidR="00F304BF" w:rsidRDefault="000D3F26">
      <w:pPr>
        <w:numPr>
          <w:ilvl w:val="0"/>
          <w:numId w:val="7"/>
        </w:numPr>
        <w:ind w:hanging="202"/>
      </w:pPr>
      <w:r>
        <w:t xml:space="preserve">Transparency deficits and student trust erosion (0.65) </w:t>
      </w:r>
    </w:p>
    <w:p w:rsidR="00F304BF" w:rsidRDefault="000D3F26">
      <w:pPr>
        <w:numPr>
          <w:ilvl w:val="0"/>
          <w:numId w:val="7"/>
        </w:numPr>
        <w:spacing w:after="36"/>
        <w:ind w:hanging="202"/>
      </w:pPr>
      <w:r>
        <w:t xml:space="preserve">Surveillance concerns and informed consent failures (0.59) </w:t>
      </w:r>
    </w:p>
    <w:p w:rsidR="00F304BF" w:rsidRDefault="000D3F26">
      <w:pPr>
        <w:ind w:left="-15" w:firstLine="202"/>
      </w:pPr>
      <w:r>
        <w:t>These correlations suggest that ethical challenges are inter- connected and require holistic gove</w:t>
      </w:r>
      <w:r>
        <w:t xml:space="preserve">rnance approaches rather than isolated solutions. </w:t>
      </w:r>
    </w:p>
    <w:p w:rsidR="00F304BF" w:rsidRDefault="000D3F26">
      <w:pPr>
        <w:ind w:left="-15" w:firstLine="202"/>
      </w:pPr>
      <w:r>
        <w:t>Figure 3 displays the distribution of documented ethical incidents across 94 studies. The most frequently reported incidents involve:</w:t>
      </w:r>
    </w:p>
    <w:p w:rsidR="00F304BF" w:rsidRDefault="000D3F26">
      <w:pPr>
        <w:spacing w:after="69" w:line="259" w:lineRule="auto"/>
        <w:ind w:left="0" w:firstLine="0"/>
        <w:jc w:val="left"/>
      </w:pPr>
      <w:r>
        <w:rPr>
          <w:sz w:val="11"/>
        </w:rPr>
        <w:t xml:space="preserve"> </w:t>
      </w:r>
    </w:p>
    <w:p w:rsidR="00F304BF" w:rsidRDefault="000D3F26">
      <w:pPr>
        <w:spacing w:after="0" w:line="259" w:lineRule="auto"/>
        <w:ind w:left="0" w:right="456" w:firstLine="0"/>
        <w:jc w:val="right"/>
      </w:pPr>
      <w:r>
        <w:rPr>
          <w:noProof/>
        </w:rPr>
        <w:drawing>
          <wp:inline distT="0" distB="0" distL="0" distR="0">
            <wp:extent cx="2774442" cy="1630045"/>
            <wp:effectExtent l="0" t="0" r="0" b="0"/>
            <wp:docPr id="2207" name="Picture 2207"/>
            <wp:cNvGraphicFramePr/>
            <a:graphic xmlns:a="http://schemas.openxmlformats.org/drawingml/2006/main">
              <a:graphicData uri="http://schemas.openxmlformats.org/drawingml/2006/picture">
                <pic:pic xmlns:pic="http://schemas.openxmlformats.org/drawingml/2006/picture">
                  <pic:nvPicPr>
                    <pic:cNvPr id="2207" name="Picture 2207"/>
                    <pic:cNvPicPr/>
                  </pic:nvPicPr>
                  <pic:blipFill>
                    <a:blip r:embed="rId5"/>
                    <a:stretch>
                      <a:fillRect/>
                    </a:stretch>
                  </pic:blipFill>
                  <pic:spPr>
                    <a:xfrm>
                      <a:off x="0" y="0"/>
                      <a:ext cx="2774442" cy="1630045"/>
                    </a:xfrm>
                    <a:prstGeom prst="rect">
                      <a:avLst/>
                    </a:prstGeom>
                  </pic:spPr>
                </pic:pic>
              </a:graphicData>
            </a:graphic>
          </wp:inline>
        </w:drawing>
      </w:r>
      <w:r>
        <w:t xml:space="preserve"> </w:t>
      </w:r>
    </w:p>
    <w:p w:rsidR="00F304BF" w:rsidRDefault="000D3F26">
      <w:pPr>
        <w:spacing w:after="0" w:line="259" w:lineRule="auto"/>
        <w:ind w:left="0" w:firstLine="0"/>
        <w:jc w:val="left"/>
      </w:pPr>
      <w:r>
        <w:t xml:space="preserve"> </w:t>
      </w:r>
    </w:p>
    <w:p w:rsidR="00F304BF" w:rsidRDefault="000D3F26">
      <w:pPr>
        <w:ind w:left="269"/>
      </w:pPr>
      <w:r>
        <w:rPr>
          <w:b/>
        </w:rPr>
        <w:t xml:space="preserve">Fig. 3: </w:t>
      </w:r>
      <w:r>
        <w:t>Distribution of Documented Ethical Incidents (N=94 Studi</w:t>
      </w:r>
      <w:r>
        <w:t xml:space="preserve">es) </w:t>
      </w:r>
    </w:p>
    <w:p w:rsidR="00F304BF" w:rsidRDefault="000D3F26">
      <w:pPr>
        <w:spacing w:after="12" w:line="259" w:lineRule="auto"/>
        <w:ind w:left="0" w:firstLine="0"/>
        <w:jc w:val="left"/>
      </w:pPr>
      <w:r>
        <w:t xml:space="preserve"> </w:t>
      </w:r>
    </w:p>
    <w:p w:rsidR="00F304BF" w:rsidRDefault="000D3F26">
      <w:pPr>
        <w:spacing w:after="0" w:line="259" w:lineRule="auto"/>
        <w:ind w:left="0" w:firstLine="0"/>
        <w:jc w:val="left"/>
      </w:pPr>
      <w:r>
        <w:lastRenderedPageBreak/>
        <w:t xml:space="preserve"> </w:t>
      </w:r>
    </w:p>
    <w:p w:rsidR="00F304BF" w:rsidRDefault="000D3F26">
      <w:pPr>
        <w:numPr>
          <w:ilvl w:val="0"/>
          <w:numId w:val="7"/>
        </w:numPr>
        <w:ind w:hanging="202"/>
      </w:pPr>
      <w:r>
        <w:t xml:space="preserve">Privacy breaches: 28% (unauthorized data access, vendor disclosures) </w:t>
      </w:r>
    </w:p>
    <w:p w:rsidR="00F304BF" w:rsidRDefault="000D3F26">
      <w:pPr>
        <w:numPr>
          <w:ilvl w:val="0"/>
          <w:numId w:val="7"/>
        </w:numPr>
        <w:ind w:hanging="202"/>
      </w:pPr>
      <w:r>
        <w:t xml:space="preserve">Algorithmic bias cases: 24% (disparate impact, proxy discrimination) </w:t>
      </w:r>
    </w:p>
    <w:p w:rsidR="00F304BF" w:rsidRDefault="000D3F26">
      <w:pPr>
        <w:numPr>
          <w:ilvl w:val="0"/>
          <w:numId w:val="7"/>
        </w:numPr>
        <w:ind w:hanging="202"/>
      </w:pPr>
      <w:r>
        <w:t xml:space="preserve">Lack of informed consent: 19% (coerced participation, inadequate disclosure) </w:t>
      </w:r>
    </w:p>
    <w:p w:rsidR="00F304BF" w:rsidRDefault="000D3F26">
      <w:pPr>
        <w:numPr>
          <w:ilvl w:val="0"/>
          <w:numId w:val="7"/>
        </w:numPr>
        <w:ind w:hanging="202"/>
      </w:pPr>
      <w:r>
        <w:t>Opacity/</w:t>
      </w:r>
      <w:proofErr w:type="spellStart"/>
      <w:r>
        <w:t>explainability</w:t>
      </w:r>
      <w:proofErr w:type="spellEnd"/>
      <w:r>
        <w:t xml:space="preserve"> failures: 14% (inability to explain predictions) </w:t>
      </w:r>
    </w:p>
    <w:p w:rsidR="00F304BF" w:rsidRDefault="000D3F26">
      <w:pPr>
        <w:numPr>
          <w:ilvl w:val="0"/>
          <w:numId w:val="7"/>
        </w:numPr>
        <w:spacing w:line="324" w:lineRule="auto"/>
        <w:ind w:hanging="202"/>
      </w:pPr>
      <w:r>
        <w:t xml:space="preserve">Surveillance concerns: 9% (chilling effects, </w:t>
      </w:r>
      <w:proofErr w:type="spellStart"/>
      <w:r>
        <w:t>behavioral</w:t>
      </w:r>
      <w:proofErr w:type="spellEnd"/>
      <w:r>
        <w:t xml:space="preserve">  monitoring) </w:t>
      </w:r>
    </w:p>
    <w:p w:rsidR="00F304BF" w:rsidRDefault="000D3F26">
      <w:pPr>
        <w:numPr>
          <w:ilvl w:val="0"/>
          <w:numId w:val="7"/>
        </w:numPr>
        <w:spacing w:after="79"/>
        <w:ind w:hanging="202"/>
      </w:pPr>
      <w:r>
        <w:t xml:space="preserve">Regulatory </w:t>
      </w:r>
      <w:r>
        <w:tab/>
        <w:t xml:space="preserve">violations: </w:t>
      </w:r>
      <w:r>
        <w:tab/>
        <w:t xml:space="preserve">6% </w:t>
      </w:r>
      <w:r>
        <w:tab/>
        <w:t xml:space="preserve">(non-compliance </w:t>
      </w:r>
      <w:r>
        <w:tab/>
        <w:t xml:space="preserve">with GDPR/FERPA) </w:t>
      </w:r>
    </w:p>
    <w:p w:rsidR="00F304BF" w:rsidRDefault="000D3F26">
      <w:pPr>
        <w:spacing w:after="109"/>
        <w:ind w:left="259" w:firstLine="197"/>
      </w:pPr>
      <w:r>
        <w:t xml:space="preserve">These findings highlight the most pressing areas </w:t>
      </w:r>
      <w:r>
        <w:t xml:space="preserve">requiring immediate governance attention. </w:t>
      </w:r>
    </w:p>
    <w:p w:rsidR="00F304BF" w:rsidRDefault="000D3F26">
      <w:pPr>
        <w:spacing w:after="0" w:line="259" w:lineRule="auto"/>
        <w:ind w:left="0" w:firstLine="0"/>
        <w:jc w:val="left"/>
      </w:pPr>
      <w:r>
        <w:t xml:space="preserve"> </w:t>
      </w:r>
    </w:p>
    <w:p w:rsidR="00F304BF" w:rsidRDefault="000D3F26">
      <w:pPr>
        <w:tabs>
          <w:tab w:val="center" w:pos="2726"/>
          <w:tab w:val="right" w:pos="5376"/>
        </w:tabs>
        <w:spacing w:after="0" w:line="259" w:lineRule="auto"/>
        <w:ind w:left="0" w:firstLine="0"/>
        <w:jc w:val="left"/>
      </w:pPr>
      <w:r>
        <w:rPr>
          <w:rFonts w:ascii="Calibri" w:eastAsia="Calibri" w:hAnsi="Calibri" w:cs="Calibri"/>
          <w:sz w:val="22"/>
        </w:rPr>
        <w:tab/>
      </w:r>
      <w:r>
        <w:rPr>
          <w:noProof/>
        </w:rPr>
        <w:drawing>
          <wp:inline distT="0" distB="0" distL="0" distR="0">
            <wp:extent cx="2774950" cy="1629410"/>
            <wp:effectExtent l="0" t="0" r="0" b="0"/>
            <wp:docPr id="2209" name="Picture 2209"/>
            <wp:cNvGraphicFramePr/>
            <a:graphic xmlns:a="http://schemas.openxmlformats.org/drawingml/2006/main">
              <a:graphicData uri="http://schemas.openxmlformats.org/drawingml/2006/picture">
                <pic:pic xmlns:pic="http://schemas.openxmlformats.org/drawingml/2006/picture">
                  <pic:nvPicPr>
                    <pic:cNvPr id="2209" name="Picture 2209"/>
                    <pic:cNvPicPr/>
                  </pic:nvPicPr>
                  <pic:blipFill>
                    <a:blip r:embed="rId7"/>
                    <a:stretch>
                      <a:fillRect/>
                    </a:stretch>
                  </pic:blipFill>
                  <pic:spPr>
                    <a:xfrm>
                      <a:off x="0" y="0"/>
                      <a:ext cx="2774950" cy="1629410"/>
                    </a:xfrm>
                    <a:prstGeom prst="rect">
                      <a:avLst/>
                    </a:prstGeom>
                  </pic:spPr>
                </pic:pic>
              </a:graphicData>
            </a:graphic>
          </wp:inline>
        </w:drawing>
      </w:r>
      <w:r>
        <w:tab/>
        <w:t xml:space="preserve"> </w:t>
      </w:r>
    </w:p>
    <w:p w:rsidR="00F304BF" w:rsidRDefault="000D3F26">
      <w:pPr>
        <w:spacing w:after="0" w:line="259" w:lineRule="auto"/>
        <w:ind w:left="0" w:firstLine="0"/>
        <w:jc w:val="left"/>
      </w:pPr>
      <w:r>
        <w:t xml:space="preserve"> </w:t>
      </w:r>
    </w:p>
    <w:p w:rsidR="00F304BF" w:rsidRDefault="000D3F26">
      <w:pPr>
        <w:spacing w:after="49"/>
        <w:ind w:left="269"/>
      </w:pPr>
      <w:r>
        <w:rPr>
          <w:b/>
        </w:rPr>
        <w:t xml:space="preserve">Fig. 4: </w:t>
      </w:r>
      <w:r>
        <w:t xml:space="preserve">Institutional Governance Capacity by Institution Type </w:t>
      </w:r>
    </w:p>
    <w:p w:rsidR="00F304BF" w:rsidRDefault="000D3F26">
      <w:pPr>
        <w:spacing w:after="0" w:line="259" w:lineRule="auto"/>
        <w:ind w:left="0" w:firstLine="0"/>
        <w:jc w:val="left"/>
      </w:pPr>
      <w:r>
        <w:t xml:space="preserve"> </w:t>
      </w:r>
    </w:p>
    <w:p w:rsidR="00F304BF" w:rsidRDefault="000D3F26">
      <w:pPr>
        <w:ind w:left="259" w:right="94" w:firstLine="197"/>
      </w:pPr>
      <w:r>
        <w:t xml:space="preserve">Figure 4 presents box plots showing the distribution of institutional governance capacity across institution types. Research-intensive </w:t>
      </w:r>
      <w:r>
        <w:t xml:space="preserve">universities show the highest capacity (me- </w:t>
      </w:r>
      <w:proofErr w:type="spellStart"/>
      <w:r>
        <w:t>dian</w:t>
      </w:r>
      <w:proofErr w:type="spellEnd"/>
      <w:r>
        <w:t xml:space="preserve"> 45%, IQR 38-52%), while community colleges (median 12%, IQR 8-15%) and vocational institutions (median 8%, IQR 5-12%) show significantly lower governance capacity. </w:t>
      </w:r>
    </w:p>
    <w:p w:rsidR="00F304BF" w:rsidRDefault="000D3F26">
      <w:pPr>
        <w:ind w:left="259" w:right="95" w:firstLine="197"/>
      </w:pPr>
      <w:r>
        <w:t xml:space="preserve">This disparity is concerning because community colleges and vocational institutions disproportionately serve students from disadvantaged backgrounds—the very populations most vulnerable to algorithmic harm. </w:t>
      </w:r>
    </w:p>
    <w:p w:rsidR="00F304BF" w:rsidRDefault="000D3F26">
      <w:pPr>
        <w:spacing w:after="57"/>
        <w:ind w:left="216"/>
      </w:pPr>
      <w:r>
        <w:t>V.</w:t>
      </w:r>
      <w:r>
        <w:rPr>
          <w:rFonts w:ascii="Arial" w:eastAsia="Arial" w:hAnsi="Arial" w:cs="Arial"/>
        </w:rPr>
        <w:t xml:space="preserve"> </w:t>
      </w:r>
      <w:r>
        <w:t xml:space="preserve">KEY ETHICAL AND PRIVACY CHALLENGES </w:t>
      </w:r>
    </w:p>
    <w:p w:rsidR="00F304BF" w:rsidRDefault="000D3F26">
      <w:pPr>
        <w:pStyle w:val="Heading1"/>
        <w:ind w:left="-5" w:right="1214"/>
      </w:pPr>
      <w:r>
        <w:t>A.</w:t>
      </w:r>
      <w:r>
        <w:rPr>
          <w:rFonts w:ascii="Arial" w:eastAsia="Arial" w:hAnsi="Arial" w:cs="Arial"/>
        </w:rPr>
        <w:t xml:space="preserve"> </w:t>
      </w:r>
      <w:r>
        <w:t>Inform</w:t>
      </w:r>
      <w:r>
        <w:t xml:space="preserve">ed Consent and Student Autonomy </w:t>
      </w:r>
    </w:p>
    <w:p w:rsidR="00F304BF" w:rsidRDefault="000D3F26">
      <w:pPr>
        <w:ind w:left="-15" w:firstLine="202"/>
      </w:pPr>
      <w:r>
        <w:t xml:space="preserve">The consent problem in educational analytics is both </w:t>
      </w:r>
      <w:proofErr w:type="spellStart"/>
      <w:r>
        <w:t>practi</w:t>
      </w:r>
      <w:proofErr w:type="spellEnd"/>
      <w:r>
        <w:t xml:space="preserve">- </w:t>
      </w:r>
      <w:proofErr w:type="spellStart"/>
      <w:r>
        <w:t>cal</w:t>
      </w:r>
      <w:proofErr w:type="spellEnd"/>
      <w:r>
        <w:t xml:space="preserve"> and philosophical. Practically, the mechanisms for obtain- </w:t>
      </w:r>
      <w:proofErr w:type="spellStart"/>
      <w:r>
        <w:t>ing</w:t>
      </w:r>
      <w:proofErr w:type="spellEnd"/>
      <w:r>
        <w:t xml:space="preserve"> consent—</w:t>
      </w:r>
      <w:proofErr w:type="spellStart"/>
      <w:r>
        <w:t>enrollment</w:t>
      </w:r>
      <w:proofErr w:type="spellEnd"/>
      <w:r>
        <w:t xml:space="preserve"> agreements, LMS terms of service, course </w:t>
      </w:r>
      <w:r>
        <w:t>syllabi—rarely provide meaningful t</w:t>
      </w:r>
      <w:r>
        <w:t>ransparency. A content analysis of 45 university AILA disclosure documents found that the median document required 12th-grade reading level, used an average of 27 privacy-related terms without definition, and required 15 minutes of reading time for full co</w:t>
      </w:r>
      <w:r>
        <w:t xml:space="preserve">mprehension [3]. </w:t>
      </w:r>
    </w:p>
    <w:p w:rsidR="00F304BF" w:rsidRDefault="000D3F26">
      <w:pPr>
        <w:spacing w:after="116"/>
        <w:ind w:left="-15" w:firstLine="202"/>
      </w:pPr>
      <w:r>
        <w:t xml:space="preserve">Philosophically, the nature of the educational relationship complicates consent. Students are not consumers who can choose to decline a service; they are participants in a com- </w:t>
      </w:r>
      <w:proofErr w:type="spellStart"/>
      <w:r>
        <w:t>pulsory</w:t>
      </w:r>
      <w:proofErr w:type="spellEnd"/>
      <w:r>
        <w:t xml:space="preserve"> or semi-compulsory institutional relationship where c</w:t>
      </w:r>
      <w:r>
        <w:t xml:space="preserve">onsent is structurally coerced. Opting out of analytics is functionally equivalent to opting out of the course itself. </w:t>
      </w:r>
    </w:p>
    <w:p w:rsidR="00F304BF" w:rsidRDefault="000D3F26">
      <w:pPr>
        <w:pStyle w:val="Heading1"/>
        <w:ind w:left="-5" w:right="1214"/>
      </w:pPr>
      <w:r>
        <w:t>B.</w:t>
      </w:r>
      <w:r>
        <w:rPr>
          <w:rFonts w:ascii="Arial" w:eastAsia="Arial" w:hAnsi="Arial" w:cs="Arial"/>
        </w:rPr>
        <w:t xml:space="preserve"> </w:t>
      </w:r>
      <w:r>
        <w:t xml:space="preserve">Algorithmic Bias and Educational Inequity </w:t>
      </w:r>
    </w:p>
    <w:p w:rsidR="00F304BF" w:rsidRDefault="000D3F26">
      <w:pPr>
        <w:spacing w:after="72"/>
        <w:ind w:left="-15" w:firstLine="202"/>
      </w:pPr>
      <w:r>
        <w:t>Empirical documentation of bias in AILA systems is ac- cumulating. In a systematic audit o</w:t>
      </w:r>
      <w:r>
        <w:t xml:space="preserve">f seven commercially deployed AILA platforms, Baker and Hawn [2] found that all seven exhibited statistically significant differential false positive rates across racial groups. </w:t>
      </w:r>
    </w:p>
    <w:p w:rsidR="00F304BF" w:rsidRDefault="000D3F26">
      <w:pPr>
        <w:spacing w:after="249" w:line="259" w:lineRule="auto"/>
        <w:ind w:left="239" w:firstLine="0"/>
        <w:jc w:val="left"/>
      </w:pPr>
      <w:r>
        <w:rPr>
          <w:noProof/>
        </w:rPr>
        <w:drawing>
          <wp:inline distT="0" distB="0" distL="0" distR="0">
            <wp:extent cx="2775585" cy="1628775"/>
            <wp:effectExtent l="0" t="0" r="0" b="0"/>
            <wp:docPr id="2211" name="Picture 2211"/>
            <wp:cNvGraphicFramePr/>
            <a:graphic xmlns:a="http://schemas.openxmlformats.org/drawingml/2006/main">
              <a:graphicData uri="http://schemas.openxmlformats.org/drawingml/2006/picture">
                <pic:pic xmlns:pic="http://schemas.openxmlformats.org/drawingml/2006/picture">
                  <pic:nvPicPr>
                    <pic:cNvPr id="2211" name="Picture 2211"/>
                    <pic:cNvPicPr/>
                  </pic:nvPicPr>
                  <pic:blipFill>
                    <a:blip r:embed="rId8"/>
                    <a:stretch>
                      <a:fillRect/>
                    </a:stretch>
                  </pic:blipFill>
                  <pic:spPr>
                    <a:xfrm>
                      <a:off x="0" y="0"/>
                      <a:ext cx="2775585" cy="1628775"/>
                    </a:xfrm>
                    <a:prstGeom prst="rect">
                      <a:avLst/>
                    </a:prstGeom>
                  </pic:spPr>
                </pic:pic>
              </a:graphicData>
            </a:graphic>
          </wp:inline>
        </w:drawing>
      </w:r>
    </w:p>
    <w:p w:rsidR="00F304BF" w:rsidRDefault="000D3F26">
      <w:pPr>
        <w:tabs>
          <w:tab w:val="center" w:pos="634"/>
          <w:tab w:val="center" w:pos="1427"/>
          <w:tab w:val="center" w:pos="3495"/>
        </w:tabs>
        <w:ind w:left="-15" w:firstLine="0"/>
        <w:jc w:val="left"/>
      </w:pPr>
      <w:r>
        <w:rPr>
          <w:b/>
        </w:rPr>
        <w:t xml:space="preserve">Fig. </w:t>
      </w:r>
      <w:r>
        <w:rPr>
          <w:b/>
        </w:rPr>
        <w:tab/>
        <w:t xml:space="preserve">5: </w:t>
      </w:r>
      <w:r>
        <w:rPr>
          <w:b/>
        </w:rPr>
        <w:tab/>
      </w:r>
      <w:r>
        <w:t xml:space="preserve">Algorithmic </w:t>
      </w:r>
      <w:r>
        <w:tab/>
        <w:t xml:space="preserve">Bias: False Positive Rates by </w:t>
      </w:r>
    </w:p>
    <w:p w:rsidR="00F304BF" w:rsidRDefault="000D3F26">
      <w:pPr>
        <w:spacing w:after="212"/>
        <w:ind w:left="-5"/>
      </w:pPr>
      <w:r>
        <w:t xml:space="preserve">Race/Ethnicity </w:t>
      </w:r>
    </w:p>
    <w:p w:rsidR="00F304BF" w:rsidRDefault="000D3F26">
      <w:pPr>
        <w:ind w:left="-15" w:firstLine="202"/>
      </w:pPr>
      <w:r>
        <w:t>Figur</w:t>
      </w:r>
      <w:r>
        <w:t xml:space="preserve">e 5 presents the documented false positive rates across demographic groups. Black students were flagged as at-risk at 32% (compared to 12% for white students), Hispanic students at 28%, and Indigenous students at 38% with identical academic profiles. </w:t>
      </w:r>
    </w:p>
    <w:p w:rsidR="00F304BF" w:rsidRDefault="000D3F26">
      <w:pPr>
        <w:spacing w:after="116"/>
        <w:ind w:left="-15" w:firstLine="202"/>
      </w:pPr>
      <w:r>
        <w:t>Thes</w:t>
      </w:r>
      <w:r>
        <w:t xml:space="preserve">e disparities persisted even when demographic </w:t>
      </w:r>
      <w:proofErr w:type="spellStart"/>
      <w:r>
        <w:t>vari</w:t>
      </w:r>
      <w:proofErr w:type="spellEnd"/>
      <w:r>
        <w:t xml:space="preserve">- </w:t>
      </w:r>
      <w:proofErr w:type="spellStart"/>
      <w:r>
        <w:t>ables</w:t>
      </w:r>
      <w:proofErr w:type="spellEnd"/>
      <w:r>
        <w:t xml:space="preserve"> were removed from model features, suggesting that proxy variables (zip code, school district, prior institutional interactions) captured and reproduced racial disparities. The consequences are signi</w:t>
      </w:r>
      <w:r>
        <w:t xml:space="preserve">ficant: flagged students face additional scrutiny, mandatory meetings, </w:t>
      </w:r>
      <w:proofErr w:type="spellStart"/>
      <w:r>
        <w:t>enrollment</w:t>
      </w:r>
      <w:proofErr w:type="spellEnd"/>
      <w:r>
        <w:t xml:space="preserve"> in remedial </w:t>
      </w:r>
      <w:proofErr w:type="spellStart"/>
      <w:r>
        <w:t>interven</w:t>
      </w:r>
      <w:proofErr w:type="spellEnd"/>
      <w:r>
        <w:t xml:space="preserve">- </w:t>
      </w:r>
      <w:proofErr w:type="spellStart"/>
      <w:r>
        <w:t>tions</w:t>
      </w:r>
      <w:proofErr w:type="spellEnd"/>
      <w:r>
        <w:t xml:space="preserve">, and may change majors or drop out at higher rates. </w:t>
      </w:r>
    </w:p>
    <w:p w:rsidR="00F304BF" w:rsidRDefault="000D3F26">
      <w:pPr>
        <w:pStyle w:val="Heading1"/>
        <w:ind w:left="-5" w:right="1214"/>
      </w:pPr>
      <w:r>
        <w:t>C.</w:t>
      </w:r>
      <w:r>
        <w:rPr>
          <w:rFonts w:ascii="Arial" w:eastAsia="Arial" w:hAnsi="Arial" w:cs="Arial"/>
        </w:rPr>
        <w:t xml:space="preserve"> </w:t>
      </w:r>
      <w:r>
        <w:t xml:space="preserve">Data Security and Regulatory Compliance </w:t>
      </w:r>
    </w:p>
    <w:p w:rsidR="00F304BF" w:rsidRDefault="000D3F26">
      <w:pPr>
        <w:ind w:left="-15" w:firstLine="202"/>
      </w:pPr>
      <w:r>
        <w:t>The concentration of sensitive student data in AI</w:t>
      </w:r>
      <w:r>
        <w:t xml:space="preserve">LA systems creates significant security vulnerabilities. Learning analytics </w:t>
      </w:r>
    </w:p>
    <w:p w:rsidR="00F304BF" w:rsidRDefault="00F304BF">
      <w:pPr>
        <w:sectPr w:rsidR="00F304BF">
          <w:type w:val="continuous"/>
          <w:pgSz w:w="12240" w:h="15840"/>
          <w:pgMar w:top="929" w:right="965" w:bottom="715" w:left="720" w:header="720" w:footer="720" w:gutter="0"/>
          <w:cols w:num="2" w:space="194"/>
        </w:sectPr>
      </w:pPr>
    </w:p>
    <w:p w:rsidR="00F304BF" w:rsidRDefault="000D3F26">
      <w:pPr>
        <w:ind w:left="-5" w:right="428"/>
      </w:pPr>
      <w:r>
        <w:rPr>
          <w:noProof/>
        </w:rPr>
        <w:lastRenderedPageBreak/>
        <w:drawing>
          <wp:anchor distT="0" distB="0" distL="114300" distR="114300" simplePos="0" relativeHeight="251658240" behindDoc="0" locked="0" layoutInCell="1" allowOverlap="0">
            <wp:simplePos x="0" y="0"/>
            <wp:positionH relativeFrom="column">
              <wp:posOffset>3497783</wp:posOffset>
            </wp:positionH>
            <wp:positionV relativeFrom="paragraph">
              <wp:posOffset>39616</wp:posOffset>
            </wp:positionV>
            <wp:extent cx="2764790" cy="1628648"/>
            <wp:effectExtent l="0" t="0" r="0" b="0"/>
            <wp:wrapSquare wrapText="bothSides"/>
            <wp:docPr id="2770" name="Picture 2770"/>
            <wp:cNvGraphicFramePr/>
            <a:graphic xmlns:a="http://schemas.openxmlformats.org/drawingml/2006/main">
              <a:graphicData uri="http://schemas.openxmlformats.org/drawingml/2006/picture">
                <pic:pic xmlns:pic="http://schemas.openxmlformats.org/drawingml/2006/picture">
                  <pic:nvPicPr>
                    <pic:cNvPr id="2770" name="Picture 2770"/>
                    <pic:cNvPicPr/>
                  </pic:nvPicPr>
                  <pic:blipFill>
                    <a:blip r:embed="rId9"/>
                    <a:stretch>
                      <a:fillRect/>
                    </a:stretch>
                  </pic:blipFill>
                  <pic:spPr>
                    <a:xfrm>
                      <a:off x="0" y="0"/>
                      <a:ext cx="2764790" cy="1628648"/>
                    </a:xfrm>
                    <a:prstGeom prst="rect">
                      <a:avLst/>
                    </a:prstGeom>
                  </pic:spPr>
                </pic:pic>
              </a:graphicData>
            </a:graphic>
          </wp:anchor>
        </w:drawing>
      </w:r>
      <w:proofErr w:type="gramStart"/>
      <w:r>
        <w:t>platforms</w:t>
      </w:r>
      <w:proofErr w:type="gramEnd"/>
      <w:r>
        <w:t xml:space="preserve"> aggregate data across multiple institutional sys- </w:t>
      </w:r>
      <w:r>
        <w:rPr>
          <w:b/>
          <w:sz w:val="16"/>
          <w:vertAlign w:val="superscript"/>
        </w:rPr>
        <w:t xml:space="preserve"> </w:t>
      </w:r>
      <w:proofErr w:type="spellStart"/>
      <w:r>
        <w:t>tems</w:t>
      </w:r>
      <w:proofErr w:type="spellEnd"/>
      <w:r>
        <w:t>—</w:t>
      </w:r>
      <w:r>
        <w:t xml:space="preserve">LMS, student information systems, library databases, physical access logs, and increasingly, biometric and affective sensors. </w:t>
      </w:r>
    </w:p>
    <w:p w:rsidR="00F304BF" w:rsidRDefault="000D3F26">
      <w:pPr>
        <w:spacing w:after="260"/>
        <w:ind w:left="-15" w:right="428" w:firstLine="197"/>
      </w:pPr>
      <w:r>
        <w:t xml:space="preserve">A single breach can expose years of student </w:t>
      </w:r>
      <w:proofErr w:type="spellStart"/>
      <w:r>
        <w:t>behavioral</w:t>
      </w:r>
      <w:proofErr w:type="spellEnd"/>
      <w:r>
        <w:t>, academic, and personal data. The education sector has become a growing ta</w:t>
      </w:r>
      <w:r>
        <w:t xml:space="preserve">rget for cyberattacks: in 2024, K-12 and higher education institutions accounted for 18% of all reported data breaches in the United States, affecting more than 5.2 million individuals [8]. </w:t>
      </w:r>
    </w:p>
    <w:p w:rsidR="00F304BF" w:rsidRDefault="000D3F26">
      <w:pPr>
        <w:pStyle w:val="Heading1"/>
        <w:tabs>
          <w:tab w:val="center" w:pos="5066"/>
          <w:tab w:val="center" w:pos="9867"/>
        </w:tabs>
        <w:ind w:left="-15" w:right="0" w:firstLine="0"/>
      </w:pPr>
      <w:r>
        <w:t>D.</w:t>
      </w:r>
      <w:r>
        <w:rPr>
          <w:rFonts w:ascii="Arial" w:eastAsia="Arial" w:hAnsi="Arial" w:cs="Arial"/>
        </w:rPr>
        <w:t xml:space="preserve"> </w:t>
      </w:r>
      <w:r>
        <w:t xml:space="preserve">Transparency, </w:t>
      </w:r>
      <w:proofErr w:type="spellStart"/>
      <w:r>
        <w:t>Explainability</w:t>
      </w:r>
      <w:proofErr w:type="spellEnd"/>
      <w:r>
        <w:t xml:space="preserve">, and Trust </w:t>
      </w:r>
      <w:r>
        <w:tab/>
      </w:r>
      <w:r>
        <w:rPr>
          <w:b/>
          <w:i w:val="0"/>
        </w:rPr>
        <w:t xml:space="preserve"> </w:t>
      </w:r>
      <w:r>
        <w:rPr>
          <w:b/>
          <w:i w:val="0"/>
        </w:rPr>
        <w:tab/>
      </w:r>
      <w:r>
        <w:rPr>
          <w:i w:val="0"/>
          <w:sz w:val="31"/>
          <w:vertAlign w:val="superscript"/>
        </w:rPr>
        <w:t xml:space="preserve"> </w:t>
      </w:r>
    </w:p>
    <w:p w:rsidR="00F304BF" w:rsidRDefault="000D3F26">
      <w:pPr>
        <w:tabs>
          <w:tab w:val="center" w:pos="2607"/>
          <w:tab w:val="right" w:pos="10290"/>
        </w:tabs>
        <w:spacing w:after="0" w:line="259" w:lineRule="auto"/>
        <w:ind w:left="0" w:firstLine="0"/>
        <w:jc w:val="left"/>
      </w:pPr>
      <w:r>
        <w:rPr>
          <w:rFonts w:ascii="Calibri" w:eastAsia="Calibri" w:hAnsi="Calibri" w:cs="Calibri"/>
          <w:sz w:val="22"/>
        </w:rPr>
        <w:tab/>
      </w:r>
      <w:r>
        <w:t>The opacity of a</w:t>
      </w:r>
      <w:r>
        <w:t xml:space="preserve">dvanced AI models undermines trust in </w:t>
      </w:r>
      <w:r>
        <w:tab/>
      </w:r>
      <w:r>
        <w:rPr>
          <w:b/>
        </w:rPr>
        <w:t xml:space="preserve">Fig. 6: </w:t>
      </w:r>
      <w:r>
        <w:t xml:space="preserve">Institutional Capacity Gaps: Ethics Governance </w:t>
      </w:r>
      <w:proofErr w:type="spellStart"/>
      <w:r>
        <w:t>Struc</w:t>
      </w:r>
      <w:proofErr w:type="spellEnd"/>
      <w:r>
        <w:t xml:space="preserve">- </w:t>
      </w:r>
    </w:p>
    <w:p w:rsidR="00F304BF" w:rsidRDefault="000D3F26">
      <w:pPr>
        <w:spacing w:after="0" w:line="287" w:lineRule="auto"/>
        <w:ind w:left="-5" w:right="81"/>
        <w:jc w:val="left"/>
      </w:pPr>
      <w:r>
        <w:t xml:space="preserve">AILA systems and limits their pedagogical utility. An </w:t>
      </w:r>
      <w:proofErr w:type="spellStart"/>
      <w:r>
        <w:t>instruc</w:t>
      </w:r>
      <w:proofErr w:type="spellEnd"/>
      <w:r>
        <w:t xml:space="preserve">- </w:t>
      </w:r>
      <w:r>
        <w:tab/>
      </w:r>
      <w:proofErr w:type="spellStart"/>
      <w:r>
        <w:t>tures</w:t>
      </w:r>
      <w:proofErr w:type="spellEnd"/>
      <w:r>
        <w:t xml:space="preserve"> tor receiving an alert without explanatory context cannot </w:t>
      </w:r>
      <w:proofErr w:type="gramStart"/>
      <w:r>
        <w:t>tailor  intervention</w:t>
      </w:r>
      <w:proofErr w:type="gramEnd"/>
      <w:r>
        <w:t xml:space="preserve"> appro</w:t>
      </w:r>
      <w:r>
        <w:t xml:space="preserve">priately. A student informed of a risk </w:t>
      </w:r>
      <w:proofErr w:type="spellStart"/>
      <w:r>
        <w:t>clas</w:t>
      </w:r>
      <w:proofErr w:type="spellEnd"/>
      <w:proofErr w:type="gramStart"/>
      <w:r>
        <w:t xml:space="preserve">-  </w:t>
      </w:r>
      <w:proofErr w:type="spellStart"/>
      <w:r>
        <w:t>sification</w:t>
      </w:r>
      <w:proofErr w:type="spellEnd"/>
      <w:proofErr w:type="gramEnd"/>
      <w:r>
        <w:t xml:space="preserve"> without understanding its basis cannot meaningfully </w:t>
      </w:r>
      <w:r>
        <w:tab/>
      </w:r>
      <w:proofErr w:type="spellStart"/>
      <w:r>
        <w:rPr>
          <w:b/>
        </w:rPr>
        <w:t>lytics</w:t>
      </w:r>
      <w:proofErr w:type="spellEnd"/>
      <w:r>
        <w:rPr>
          <w:b/>
        </w:rPr>
        <w:t xml:space="preserve"> (AILA-EGT) </w:t>
      </w:r>
      <w:r>
        <w:t xml:space="preserve">, comprising five interconnected compo- respond. </w:t>
      </w:r>
      <w:r>
        <w:tab/>
      </w:r>
      <w:proofErr w:type="spellStart"/>
      <w:proofErr w:type="gramStart"/>
      <w:r>
        <w:t>nents</w:t>
      </w:r>
      <w:proofErr w:type="spellEnd"/>
      <w:proofErr w:type="gramEnd"/>
      <w:r>
        <w:t xml:space="preserve">. </w:t>
      </w:r>
    </w:p>
    <w:p w:rsidR="00F304BF" w:rsidRDefault="000D3F26">
      <w:pPr>
        <w:spacing w:after="154"/>
        <w:ind w:left="-15" w:right="1214" w:firstLine="197"/>
      </w:pPr>
      <w:r>
        <w:rPr>
          <w:noProof/>
        </w:rPr>
        <w:drawing>
          <wp:anchor distT="0" distB="0" distL="114300" distR="114300" simplePos="0" relativeHeight="251659264" behindDoc="0" locked="0" layoutInCell="1" allowOverlap="0">
            <wp:simplePos x="0" y="0"/>
            <wp:positionH relativeFrom="column">
              <wp:posOffset>3489528</wp:posOffset>
            </wp:positionH>
            <wp:positionV relativeFrom="paragraph">
              <wp:posOffset>316881</wp:posOffset>
            </wp:positionV>
            <wp:extent cx="2273935" cy="1864233"/>
            <wp:effectExtent l="0" t="0" r="0" b="0"/>
            <wp:wrapSquare wrapText="bothSides"/>
            <wp:docPr id="2772" name="Picture 2772"/>
            <wp:cNvGraphicFramePr/>
            <a:graphic xmlns:a="http://schemas.openxmlformats.org/drawingml/2006/main">
              <a:graphicData uri="http://schemas.openxmlformats.org/drawingml/2006/picture">
                <pic:pic xmlns:pic="http://schemas.openxmlformats.org/drawingml/2006/picture">
                  <pic:nvPicPr>
                    <pic:cNvPr id="2772" name="Picture 2772"/>
                    <pic:cNvPicPr/>
                  </pic:nvPicPr>
                  <pic:blipFill>
                    <a:blip r:embed="rId10"/>
                    <a:stretch>
                      <a:fillRect/>
                    </a:stretch>
                  </pic:blipFill>
                  <pic:spPr>
                    <a:xfrm>
                      <a:off x="0" y="0"/>
                      <a:ext cx="2273935" cy="1864233"/>
                    </a:xfrm>
                    <a:prstGeom prst="rect">
                      <a:avLst/>
                    </a:prstGeom>
                  </pic:spPr>
                </pic:pic>
              </a:graphicData>
            </a:graphic>
          </wp:anchor>
        </w:drawing>
      </w:r>
      <w:r>
        <w:t xml:space="preserve">The field of explainable AI (XAI) has developed tech- </w:t>
      </w:r>
      <w:proofErr w:type="spellStart"/>
      <w:r>
        <w:t>niques</w:t>
      </w:r>
      <w:proofErr w:type="spellEnd"/>
      <w:r>
        <w:t>—</w:t>
      </w:r>
      <w:r>
        <w:t>SHAP (</w:t>
      </w:r>
      <w:proofErr w:type="spellStart"/>
      <w:r>
        <w:t>SHapley</w:t>
      </w:r>
      <w:proofErr w:type="spellEnd"/>
      <w:r>
        <w:t xml:space="preserve"> Additive </w:t>
      </w:r>
      <w:proofErr w:type="spellStart"/>
      <w:r>
        <w:t>exPlanations</w:t>
      </w:r>
      <w:proofErr w:type="spellEnd"/>
      <w:r>
        <w:t>), LIME (Lo</w:t>
      </w:r>
      <w:proofErr w:type="gramStart"/>
      <w:r>
        <w:t xml:space="preserve">-  </w:t>
      </w:r>
      <w:proofErr w:type="spellStart"/>
      <w:r>
        <w:t>cal</w:t>
      </w:r>
      <w:proofErr w:type="spellEnd"/>
      <w:proofErr w:type="gramEnd"/>
      <w:r>
        <w:t xml:space="preserve"> Interpretable Model-agnostic Explanations), counterfactual explanations—that provide post-hoc explanations of model predictions. However, translating these technical outputs into pedagogically meaningful</w:t>
      </w:r>
      <w:r>
        <w:t xml:space="preserve"> narratives remains a significant challenge [4]. </w:t>
      </w:r>
    </w:p>
    <w:p w:rsidR="00F304BF" w:rsidRDefault="000D3F26">
      <w:pPr>
        <w:pStyle w:val="Heading1"/>
        <w:ind w:left="-5" w:right="1214"/>
      </w:pPr>
      <w:r>
        <w:t>E.</w:t>
      </w:r>
      <w:r>
        <w:rPr>
          <w:rFonts w:ascii="Arial" w:eastAsia="Arial" w:hAnsi="Arial" w:cs="Arial"/>
        </w:rPr>
        <w:t xml:space="preserve"> </w:t>
      </w:r>
      <w:r>
        <w:t xml:space="preserve">Surveillance, Agency, and the Chilling Effect </w:t>
      </w:r>
    </w:p>
    <w:tbl>
      <w:tblPr>
        <w:tblStyle w:val="TableGrid"/>
        <w:tblpPr w:vertAnchor="page" w:horzAnchor="page" w:tblpX="6252" w:tblpY="12666"/>
        <w:tblOverlap w:val="never"/>
        <w:tblW w:w="5954" w:type="dxa"/>
        <w:tblInd w:w="0" w:type="dxa"/>
        <w:tblCellMar>
          <w:top w:w="0" w:type="dxa"/>
          <w:left w:w="120" w:type="dxa"/>
          <w:bottom w:w="0" w:type="dxa"/>
          <w:right w:w="95" w:type="dxa"/>
        </w:tblCellMar>
        <w:tblLook w:val="04A0" w:firstRow="1" w:lastRow="0" w:firstColumn="1" w:lastColumn="0" w:noHBand="0" w:noVBand="1"/>
      </w:tblPr>
      <w:tblGrid>
        <w:gridCol w:w="1493"/>
        <w:gridCol w:w="2516"/>
        <w:gridCol w:w="1945"/>
      </w:tblGrid>
      <w:tr w:rsidR="00F304BF">
        <w:trPr>
          <w:trHeight w:val="187"/>
        </w:trPr>
        <w:tc>
          <w:tcPr>
            <w:tcW w:w="149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b/>
                <w:sz w:val="16"/>
              </w:rPr>
              <w:t xml:space="preserve">Phase </w:t>
            </w:r>
          </w:p>
        </w:tc>
        <w:tc>
          <w:tcPr>
            <w:tcW w:w="2516"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b/>
                <w:sz w:val="16"/>
              </w:rPr>
              <w:t xml:space="preserve">Activities </w:t>
            </w:r>
          </w:p>
        </w:tc>
        <w:tc>
          <w:tcPr>
            <w:tcW w:w="1945"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5" w:firstLine="0"/>
              <w:jc w:val="left"/>
            </w:pPr>
            <w:r>
              <w:rPr>
                <w:b/>
                <w:sz w:val="16"/>
              </w:rPr>
              <w:t xml:space="preserve">Deliverable </w:t>
            </w:r>
          </w:p>
        </w:tc>
      </w:tr>
      <w:tr w:rsidR="00F304BF">
        <w:trPr>
          <w:trHeight w:val="365"/>
        </w:trPr>
        <w:tc>
          <w:tcPr>
            <w:tcW w:w="149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Pre-Deployment </w:t>
            </w:r>
          </w:p>
        </w:tc>
        <w:tc>
          <w:tcPr>
            <w:tcW w:w="2516"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pPr>
            <w:r>
              <w:rPr>
                <w:sz w:val="16"/>
              </w:rPr>
              <w:t xml:space="preserve">Stakeholder mapping, data flow analysis, fairness baseline testing </w:t>
            </w:r>
          </w:p>
        </w:tc>
        <w:tc>
          <w:tcPr>
            <w:tcW w:w="1945"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5" w:firstLine="0"/>
              <w:jc w:val="left"/>
            </w:pPr>
            <w:r>
              <w:rPr>
                <w:sz w:val="16"/>
              </w:rPr>
              <w:t xml:space="preserve">AIA Registration </w:t>
            </w:r>
            <w:proofErr w:type="spellStart"/>
            <w:r>
              <w:rPr>
                <w:sz w:val="16"/>
              </w:rPr>
              <w:t>Docu</w:t>
            </w:r>
            <w:proofErr w:type="spellEnd"/>
            <w:r>
              <w:rPr>
                <w:sz w:val="16"/>
              </w:rPr>
              <w:t xml:space="preserve">- </w:t>
            </w:r>
            <w:proofErr w:type="spellStart"/>
            <w:r>
              <w:rPr>
                <w:sz w:val="16"/>
              </w:rPr>
              <w:t>ment</w:t>
            </w:r>
            <w:proofErr w:type="spellEnd"/>
            <w:r>
              <w:rPr>
                <w:sz w:val="16"/>
              </w:rPr>
              <w:t xml:space="preserve"> </w:t>
            </w:r>
          </w:p>
        </w:tc>
      </w:tr>
      <w:tr w:rsidR="00F304BF">
        <w:trPr>
          <w:trHeight w:val="365"/>
        </w:trPr>
        <w:tc>
          <w:tcPr>
            <w:tcW w:w="149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Pilot </w:t>
            </w:r>
            <w:r>
              <w:rPr>
                <w:sz w:val="16"/>
              </w:rPr>
              <w:t xml:space="preserve">Phase </w:t>
            </w:r>
          </w:p>
        </w:tc>
        <w:tc>
          <w:tcPr>
            <w:tcW w:w="2516"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pPr>
            <w:r>
              <w:rPr>
                <w:sz w:val="16"/>
              </w:rPr>
              <w:t xml:space="preserve">Differential impact analysis, user experience testing </w:t>
            </w:r>
          </w:p>
        </w:tc>
        <w:tc>
          <w:tcPr>
            <w:tcW w:w="1945"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5" w:firstLine="0"/>
              <w:jc w:val="left"/>
            </w:pPr>
            <w:r>
              <w:rPr>
                <w:sz w:val="16"/>
              </w:rPr>
              <w:t xml:space="preserve">Pilot Evaluation Report </w:t>
            </w:r>
          </w:p>
        </w:tc>
      </w:tr>
      <w:tr w:rsidR="00F304BF">
        <w:trPr>
          <w:trHeight w:val="370"/>
        </w:trPr>
        <w:tc>
          <w:tcPr>
            <w:tcW w:w="149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Full Deployment </w:t>
            </w:r>
          </w:p>
        </w:tc>
        <w:tc>
          <w:tcPr>
            <w:tcW w:w="2516"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Continuous monitoring, quarterly audits </w:t>
            </w:r>
          </w:p>
        </w:tc>
        <w:tc>
          <w:tcPr>
            <w:tcW w:w="1945"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5" w:firstLine="0"/>
              <w:jc w:val="left"/>
            </w:pPr>
            <w:r>
              <w:rPr>
                <w:sz w:val="16"/>
              </w:rPr>
              <w:t xml:space="preserve">Annual Compliance </w:t>
            </w:r>
            <w:proofErr w:type="spellStart"/>
            <w:r>
              <w:rPr>
                <w:sz w:val="16"/>
              </w:rPr>
              <w:t>Certi</w:t>
            </w:r>
            <w:proofErr w:type="spellEnd"/>
            <w:r>
              <w:rPr>
                <w:sz w:val="16"/>
              </w:rPr>
              <w:t xml:space="preserve">- </w:t>
            </w:r>
            <w:proofErr w:type="spellStart"/>
            <w:r>
              <w:rPr>
                <w:sz w:val="16"/>
              </w:rPr>
              <w:t>fication</w:t>
            </w:r>
            <w:proofErr w:type="spellEnd"/>
            <w:r>
              <w:rPr>
                <w:sz w:val="16"/>
              </w:rPr>
              <w:t xml:space="preserve"> </w:t>
            </w:r>
          </w:p>
        </w:tc>
      </w:tr>
      <w:tr w:rsidR="00F304BF">
        <w:trPr>
          <w:trHeight w:val="365"/>
        </w:trPr>
        <w:tc>
          <w:tcPr>
            <w:tcW w:w="1493"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lastRenderedPageBreak/>
              <w:t xml:space="preserve">Retirement </w:t>
            </w:r>
          </w:p>
        </w:tc>
        <w:tc>
          <w:tcPr>
            <w:tcW w:w="2516"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Data deletion verification, model archiving </w:t>
            </w:r>
          </w:p>
        </w:tc>
        <w:tc>
          <w:tcPr>
            <w:tcW w:w="1945"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5" w:firstLine="0"/>
              <w:jc w:val="left"/>
            </w:pPr>
            <w:r>
              <w:rPr>
                <w:sz w:val="16"/>
              </w:rPr>
              <w:t xml:space="preserve">Decommissioning </w:t>
            </w:r>
            <w:proofErr w:type="spellStart"/>
            <w:r>
              <w:rPr>
                <w:sz w:val="16"/>
              </w:rPr>
              <w:t>Certifi</w:t>
            </w:r>
            <w:proofErr w:type="spellEnd"/>
            <w:r>
              <w:rPr>
                <w:sz w:val="16"/>
              </w:rPr>
              <w:t xml:space="preserve">- cate </w:t>
            </w:r>
          </w:p>
        </w:tc>
      </w:tr>
    </w:tbl>
    <w:p w:rsidR="00F304BF" w:rsidRDefault="000D3F26">
      <w:pPr>
        <w:ind w:left="-15" w:right="1214" w:firstLine="197"/>
      </w:pPr>
      <w:r>
        <w:t xml:space="preserve">AILA systems constitute a form of continuous, pervasive monitoring of student </w:t>
      </w:r>
      <w:proofErr w:type="spellStart"/>
      <w:r>
        <w:t>behavior</w:t>
      </w:r>
      <w:proofErr w:type="spellEnd"/>
      <w:r>
        <w:t xml:space="preserve">. This monitoring—particularly when students are unaware of its scope—can produce a chilling effect on authentic learning </w:t>
      </w:r>
      <w:proofErr w:type="spellStart"/>
      <w:r>
        <w:t>behaviors</w:t>
      </w:r>
      <w:proofErr w:type="spellEnd"/>
      <w:r>
        <w:t xml:space="preserve">. </w:t>
      </w:r>
    </w:p>
    <w:p w:rsidR="00F304BF" w:rsidRDefault="000D3F26">
      <w:pPr>
        <w:ind w:left="-15" w:right="1214" w:firstLine="197"/>
      </w:pPr>
      <w:r>
        <w:t xml:space="preserve">Experimental </w:t>
      </w:r>
      <w:r>
        <w:t xml:space="preserve">evidence supports this concern: </w:t>
      </w:r>
      <w:proofErr w:type="gramStart"/>
      <w:r>
        <w:t>Gao</w:t>
      </w:r>
      <w:proofErr w:type="gramEnd"/>
      <w:r>
        <w:t xml:space="preserve"> and Shen [7] found that students explicitly informed their LMS activity </w:t>
      </w:r>
    </w:p>
    <w:p w:rsidR="00F304BF" w:rsidRDefault="000D3F26">
      <w:pPr>
        <w:spacing w:after="99" w:line="340" w:lineRule="auto"/>
        <w:ind w:left="-5"/>
      </w:pPr>
      <w:proofErr w:type="gramStart"/>
      <w:r>
        <w:t>was</w:t>
      </w:r>
      <w:proofErr w:type="gramEnd"/>
      <w:r>
        <w:t xml:space="preserve"> being </w:t>
      </w:r>
      <w:proofErr w:type="spellStart"/>
      <w:r>
        <w:t>analyzed</w:t>
      </w:r>
      <w:proofErr w:type="spellEnd"/>
      <w:r>
        <w:t xml:space="preserve"> for risk scoring submitted 14.3% fewer op- </w:t>
      </w:r>
      <w:r>
        <w:rPr>
          <w:b/>
        </w:rPr>
        <w:t xml:space="preserve">Fig. 7: </w:t>
      </w:r>
      <w:r>
        <w:t xml:space="preserve">AILA Ethical Governance Toolkit: Five-Component </w:t>
      </w:r>
      <w:proofErr w:type="spellStart"/>
      <w:r>
        <w:t>tional</w:t>
      </w:r>
      <w:proofErr w:type="spellEnd"/>
      <w:r>
        <w:t xml:space="preserve"> discussion contributio</w:t>
      </w:r>
      <w:r>
        <w:t xml:space="preserve">ns than a control group. Students Architecture may also moderate forum participation, avoid asking ques-  </w:t>
      </w:r>
      <w:proofErr w:type="spellStart"/>
      <w:r>
        <w:t>tions</w:t>
      </w:r>
      <w:proofErr w:type="spellEnd"/>
      <w:r>
        <w:t>, or strategically curtail exploration to avoid generating Figure 7 presents the architectural overview of the AILA- data that might be interpret</w:t>
      </w:r>
      <w:r>
        <w:t xml:space="preserve">ed as ”at-risk” </w:t>
      </w:r>
      <w:proofErr w:type="spellStart"/>
      <w:r>
        <w:t>behavior</w:t>
      </w:r>
      <w:proofErr w:type="spellEnd"/>
      <w:r>
        <w:t xml:space="preserve">. EGT, showing the relationships between the five components </w:t>
      </w:r>
      <w:r>
        <w:rPr>
          <w:i/>
        </w:rPr>
        <w:t>F.</w:t>
      </w:r>
      <w:r>
        <w:rPr>
          <w:rFonts w:ascii="Arial" w:eastAsia="Arial" w:hAnsi="Arial" w:cs="Arial"/>
          <w:i/>
        </w:rPr>
        <w:t xml:space="preserve"> </w:t>
      </w:r>
      <w:r>
        <w:rPr>
          <w:i/>
        </w:rPr>
        <w:t xml:space="preserve">Institutional Capacity Gaps </w:t>
      </w:r>
      <w:r>
        <w:t xml:space="preserve">built upon seven ethical principles. </w:t>
      </w:r>
    </w:p>
    <w:p w:rsidR="00F304BF" w:rsidRDefault="000D3F26">
      <w:pPr>
        <w:ind w:left="-15" w:right="130" w:firstLine="197"/>
      </w:pPr>
      <w:r>
        <w:t xml:space="preserve">A survey of 850 higher education institutions found </w:t>
      </w:r>
      <w:proofErr w:type="gramStart"/>
      <w:r>
        <w:t xml:space="preserve">that </w:t>
      </w:r>
      <w:r>
        <w:rPr>
          <w:sz w:val="31"/>
          <w:vertAlign w:val="superscript"/>
        </w:rPr>
        <w:t xml:space="preserve"> </w:t>
      </w:r>
      <w:r>
        <w:t>only</w:t>
      </w:r>
      <w:proofErr w:type="gramEnd"/>
      <w:r>
        <w:t xml:space="preserve"> 23% had a formal data ethics policy, 17</w:t>
      </w:r>
      <w:r>
        <w:t xml:space="preserve">% had an ethics </w:t>
      </w:r>
      <w:r>
        <w:rPr>
          <w:i/>
        </w:rPr>
        <w:t>A.</w:t>
      </w:r>
      <w:r>
        <w:rPr>
          <w:rFonts w:ascii="Arial" w:eastAsia="Arial" w:hAnsi="Arial" w:cs="Arial"/>
          <w:i/>
        </w:rPr>
        <w:t xml:space="preserve"> </w:t>
      </w:r>
      <w:r>
        <w:rPr>
          <w:i/>
        </w:rPr>
        <w:t xml:space="preserve">Component 1: Algorithmic Impact Assessment (AIA) Pro- </w:t>
      </w:r>
      <w:r>
        <w:t xml:space="preserve">review process for analytics projects, and merely 12% had </w:t>
      </w:r>
      <w:proofErr w:type="spellStart"/>
      <w:r>
        <w:rPr>
          <w:i/>
          <w:sz w:val="31"/>
          <w:vertAlign w:val="superscript"/>
        </w:rPr>
        <w:t>tocol</w:t>
      </w:r>
      <w:proofErr w:type="spellEnd"/>
      <w:r>
        <w:rPr>
          <w:i/>
          <w:sz w:val="31"/>
          <w:vertAlign w:val="superscript"/>
        </w:rPr>
        <w:t xml:space="preserve"> </w:t>
      </w:r>
    </w:p>
    <w:p w:rsidR="00F304BF" w:rsidRDefault="000D3F26">
      <w:pPr>
        <w:tabs>
          <w:tab w:val="right" w:pos="10290"/>
        </w:tabs>
        <w:spacing w:after="100"/>
        <w:ind w:left="-15" w:firstLine="0"/>
        <w:jc w:val="left"/>
      </w:pPr>
      <w:proofErr w:type="gramStart"/>
      <w:r>
        <w:t>dedicated</w:t>
      </w:r>
      <w:proofErr w:type="gramEnd"/>
      <w:r>
        <w:t xml:space="preserve"> data ethics staff [8]. </w:t>
      </w:r>
      <w:r>
        <w:tab/>
        <w:t xml:space="preserve">The AIA Protocol provides a standardized process for </w:t>
      </w:r>
    </w:p>
    <w:p w:rsidR="00F304BF" w:rsidRDefault="000D3F26">
      <w:pPr>
        <w:tabs>
          <w:tab w:val="center" w:pos="2607"/>
          <w:tab w:val="right" w:pos="10290"/>
        </w:tabs>
        <w:spacing w:after="29" w:line="259" w:lineRule="auto"/>
        <w:ind w:left="0" w:right="-12" w:firstLine="0"/>
        <w:jc w:val="left"/>
      </w:pPr>
      <w:r>
        <w:rPr>
          <w:rFonts w:ascii="Calibri" w:eastAsia="Calibri" w:hAnsi="Calibri" w:cs="Calibri"/>
          <w:sz w:val="22"/>
        </w:rPr>
        <w:tab/>
      </w:r>
      <w:r>
        <w:t>Figure 6 visualizes the insti</w:t>
      </w:r>
      <w:r>
        <w:t xml:space="preserve">tutional capacity gaps across </w:t>
      </w:r>
      <w:r>
        <w:tab/>
        <w:t xml:space="preserve">evaluating AILA systems before, during, and after deployment. </w:t>
      </w:r>
    </w:p>
    <w:p w:rsidR="00F304BF" w:rsidRDefault="000D3F26">
      <w:pPr>
        <w:spacing w:after="147"/>
        <w:ind w:left="-5" w:right="2551"/>
      </w:pPr>
      <w:proofErr w:type="gramStart"/>
      <w:r>
        <w:t>higher</w:t>
      </w:r>
      <w:proofErr w:type="gramEnd"/>
      <w:r>
        <w:t xml:space="preserve"> education. The gap is most pronounced at community </w:t>
      </w:r>
      <w:proofErr w:type="gramStart"/>
      <w:r>
        <w:t>The</w:t>
      </w:r>
      <w:proofErr w:type="gramEnd"/>
      <w:r>
        <w:t xml:space="preserve"> protocol requires: colleges and regional universities, which often lack the re-  </w:t>
      </w:r>
    </w:p>
    <w:p w:rsidR="00F304BF" w:rsidRDefault="000D3F26">
      <w:pPr>
        <w:spacing w:after="160"/>
        <w:ind w:left="-5" w:right="498"/>
      </w:pPr>
      <w:proofErr w:type="gramStart"/>
      <w:r>
        <w:t>sources</w:t>
      </w:r>
      <w:proofErr w:type="gramEnd"/>
      <w:r>
        <w:t xml:space="preserve"> of research-intensive institutions. This capacity gap is TABLE II: AIA Protocol Phases and Deliverables particularly concerning because these resource-constrained in</w:t>
      </w:r>
      <w:proofErr w:type="gramStart"/>
      <w:r>
        <w:t xml:space="preserve">- </w:t>
      </w:r>
      <w:r>
        <w:rPr>
          <w:sz w:val="18"/>
          <w:vertAlign w:val="subscript"/>
        </w:rPr>
        <w:t xml:space="preserve"> </w:t>
      </w:r>
      <w:proofErr w:type="spellStart"/>
      <w:r>
        <w:t>stitutions</w:t>
      </w:r>
      <w:proofErr w:type="spellEnd"/>
      <w:proofErr w:type="gramEnd"/>
      <w:r>
        <w:t xml:space="preserve"> disproportionately serve the students most vulnerable to algorithmic </w:t>
      </w:r>
      <w:r>
        <w:t xml:space="preserve">harm. </w:t>
      </w:r>
    </w:p>
    <w:p w:rsidR="00F304BF" w:rsidRDefault="000D3F26">
      <w:pPr>
        <w:ind w:left="543"/>
      </w:pPr>
      <w:r>
        <w:t>VI.</w:t>
      </w:r>
      <w:r>
        <w:rPr>
          <w:rFonts w:ascii="Arial" w:eastAsia="Arial" w:hAnsi="Arial" w:cs="Arial"/>
        </w:rPr>
        <w:t xml:space="preserve"> </w:t>
      </w:r>
      <w:r>
        <w:t xml:space="preserve">PROPOSED OUTPUT: AILA ETHICAL </w:t>
      </w:r>
    </w:p>
    <w:p w:rsidR="00F304BF" w:rsidRDefault="000D3F26">
      <w:pPr>
        <w:spacing w:after="78"/>
        <w:ind w:left="1307"/>
      </w:pPr>
      <w:r>
        <w:t xml:space="preserve">GOVERNANCE TOOLKIT </w:t>
      </w:r>
    </w:p>
    <w:p w:rsidR="00F304BF" w:rsidRDefault="000D3F26">
      <w:pPr>
        <w:ind w:left="207"/>
      </w:pPr>
      <w:r>
        <w:t xml:space="preserve">The primary output of this research is a </w:t>
      </w:r>
      <w:r>
        <w:rPr>
          <w:b/>
        </w:rPr>
        <w:t xml:space="preserve">Comprehensive </w:t>
      </w:r>
    </w:p>
    <w:p w:rsidR="00F304BF" w:rsidRDefault="000D3F26">
      <w:pPr>
        <w:spacing w:after="0" w:line="259" w:lineRule="auto"/>
        <w:ind w:left="0" w:firstLine="0"/>
        <w:jc w:val="left"/>
      </w:pPr>
      <w:r>
        <w:rPr>
          <w:b/>
        </w:rPr>
        <w:t xml:space="preserve">Ethical Governance Toolkit for AI-Based Learning Ana- </w:t>
      </w:r>
    </w:p>
    <w:p w:rsidR="00F304BF" w:rsidRDefault="000D3F26">
      <w:pPr>
        <w:tabs>
          <w:tab w:val="center" w:pos="2612"/>
          <w:tab w:val="center" w:pos="7765"/>
        </w:tabs>
        <w:ind w:left="0" w:firstLine="0"/>
        <w:jc w:val="left"/>
      </w:pPr>
      <w:r>
        <w:rPr>
          <w:rFonts w:ascii="Calibri" w:eastAsia="Calibri" w:hAnsi="Calibri" w:cs="Calibri"/>
          <w:sz w:val="22"/>
        </w:rPr>
        <w:tab/>
      </w:r>
      <w:r>
        <w:t xml:space="preserve">The protocol requires documented sign-off from </w:t>
      </w:r>
      <w:proofErr w:type="spellStart"/>
      <w:r>
        <w:t>institu</w:t>
      </w:r>
      <w:proofErr w:type="spellEnd"/>
      <w:r>
        <w:t xml:space="preserve">- </w:t>
      </w:r>
      <w:r>
        <w:tab/>
        <w:t xml:space="preserve">TABLE III: Vendor </w:t>
      </w:r>
      <w:r>
        <w:t xml:space="preserve">Contract Standards </w:t>
      </w:r>
    </w:p>
    <w:tbl>
      <w:tblPr>
        <w:tblStyle w:val="TableGrid"/>
        <w:tblpPr w:vertAnchor="text" w:tblpX="5272" w:tblpY="141"/>
        <w:tblOverlap w:val="never"/>
        <w:tblW w:w="5200" w:type="dxa"/>
        <w:tblInd w:w="0" w:type="dxa"/>
        <w:tblCellMar>
          <w:top w:w="0" w:type="dxa"/>
          <w:left w:w="120" w:type="dxa"/>
          <w:bottom w:w="0" w:type="dxa"/>
          <w:right w:w="114" w:type="dxa"/>
        </w:tblCellMar>
        <w:tblLook w:val="04A0" w:firstRow="1" w:lastRow="0" w:firstColumn="1" w:lastColumn="0" w:noHBand="0" w:noVBand="1"/>
      </w:tblPr>
      <w:tblGrid>
        <w:gridCol w:w="1834"/>
        <w:gridCol w:w="3366"/>
      </w:tblGrid>
      <w:tr w:rsidR="00F304BF">
        <w:trPr>
          <w:trHeight w:val="187"/>
        </w:trPr>
        <w:tc>
          <w:tcPr>
            <w:tcW w:w="1834"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b/>
                <w:sz w:val="16"/>
              </w:rPr>
              <w:t xml:space="preserve">Provision </w:t>
            </w:r>
          </w:p>
        </w:tc>
        <w:tc>
          <w:tcPr>
            <w:tcW w:w="3366"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b/>
                <w:sz w:val="16"/>
              </w:rPr>
              <w:t xml:space="preserve">Required Terms </w:t>
            </w:r>
          </w:p>
        </w:tc>
      </w:tr>
      <w:tr w:rsidR="00F304BF">
        <w:trPr>
          <w:trHeight w:val="365"/>
        </w:trPr>
        <w:tc>
          <w:tcPr>
            <w:tcW w:w="1834"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Data Ownership </w:t>
            </w:r>
          </w:p>
        </w:tc>
        <w:tc>
          <w:tcPr>
            <w:tcW w:w="3366"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pPr>
            <w:r>
              <w:rPr>
                <w:sz w:val="16"/>
              </w:rPr>
              <w:t xml:space="preserve">Student data remains property of institution; vendor may use only for specified purposes </w:t>
            </w:r>
          </w:p>
        </w:tc>
      </w:tr>
      <w:tr w:rsidR="00F304BF">
        <w:trPr>
          <w:trHeight w:val="370"/>
        </w:trPr>
        <w:tc>
          <w:tcPr>
            <w:tcW w:w="1834"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Model Transparency </w:t>
            </w:r>
          </w:p>
        </w:tc>
        <w:tc>
          <w:tcPr>
            <w:tcW w:w="3366"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pPr>
            <w:r>
              <w:rPr>
                <w:sz w:val="16"/>
              </w:rPr>
              <w:t xml:space="preserve">Documentation of model architecture, training data, feature sets, fairness </w:t>
            </w:r>
            <w:r>
              <w:rPr>
                <w:sz w:val="16"/>
              </w:rPr>
              <w:t xml:space="preserve">testing results </w:t>
            </w:r>
          </w:p>
        </w:tc>
      </w:tr>
      <w:tr w:rsidR="00F304BF">
        <w:trPr>
          <w:trHeight w:val="365"/>
        </w:trPr>
        <w:tc>
          <w:tcPr>
            <w:tcW w:w="1834"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Right to Audit </w:t>
            </w:r>
          </w:p>
        </w:tc>
        <w:tc>
          <w:tcPr>
            <w:tcW w:w="3366"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Institution retains right to audit vendor models, code, and data handling </w:t>
            </w:r>
          </w:p>
        </w:tc>
      </w:tr>
      <w:tr w:rsidR="00F304BF">
        <w:trPr>
          <w:trHeight w:val="365"/>
        </w:trPr>
        <w:tc>
          <w:tcPr>
            <w:tcW w:w="1834"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Deletion Requirements </w:t>
            </w:r>
          </w:p>
        </w:tc>
        <w:tc>
          <w:tcPr>
            <w:tcW w:w="3366"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pPr>
            <w:r>
              <w:rPr>
                <w:sz w:val="16"/>
              </w:rPr>
              <w:t xml:space="preserve">Vendor must delete all student data within 90 days of contract termination </w:t>
            </w:r>
          </w:p>
        </w:tc>
      </w:tr>
      <w:tr w:rsidR="00F304BF">
        <w:trPr>
          <w:trHeight w:val="365"/>
        </w:trPr>
        <w:tc>
          <w:tcPr>
            <w:tcW w:w="1834"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jc w:val="left"/>
            </w:pPr>
            <w:r>
              <w:rPr>
                <w:sz w:val="16"/>
              </w:rPr>
              <w:t xml:space="preserve">Liability Allocation </w:t>
            </w:r>
          </w:p>
        </w:tc>
        <w:tc>
          <w:tcPr>
            <w:tcW w:w="3366" w:type="dxa"/>
            <w:tcBorders>
              <w:top w:val="single" w:sz="4" w:space="0" w:color="000000"/>
              <w:left w:val="single" w:sz="4" w:space="0" w:color="000000"/>
              <w:bottom w:val="single" w:sz="4" w:space="0" w:color="000000"/>
              <w:right w:val="single" w:sz="4" w:space="0" w:color="000000"/>
            </w:tcBorders>
          </w:tcPr>
          <w:p w:rsidR="00F304BF" w:rsidRDefault="000D3F26">
            <w:pPr>
              <w:spacing w:after="0" w:line="259" w:lineRule="auto"/>
              <w:ind w:left="0" w:firstLine="0"/>
            </w:pPr>
            <w:r>
              <w:rPr>
                <w:sz w:val="16"/>
              </w:rPr>
              <w:t xml:space="preserve">Vendor bears liability </w:t>
            </w:r>
            <w:r>
              <w:rPr>
                <w:sz w:val="16"/>
              </w:rPr>
              <w:t xml:space="preserve">for breaches and harms from algorithmic errors or bias </w:t>
            </w:r>
          </w:p>
        </w:tc>
      </w:tr>
    </w:tbl>
    <w:p w:rsidR="00F304BF" w:rsidRDefault="000D3F26">
      <w:pPr>
        <w:spacing w:after="201" w:line="216" w:lineRule="auto"/>
        <w:ind w:left="-15" w:right="81" w:firstLine="5066"/>
        <w:jc w:val="left"/>
      </w:pPr>
      <w:r>
        <w:rPr>
          <w:sz w:val="12"/>
        </w:rPr>
        <w:t xml:space="preserve"> </w:t>
      </w:r>
      <w:proofErr w:type="spellStart"/>
      <w:proofErr w:type="gramStart"/>
      <w:r>
        <w:t>tional</w:t>
      </w:r>
      <w:proofErr w:type="spellEnd"/>
      <w:proofErr w:type="gramEnd"/>
      <w:r>
        <w:t xml:space="preserve"> ethics officers, legal counsel, and student representatives prior to any new AILA deployment. </w:t>
      </w:r>
    </w:p>
    <w:p w:rsidR="00F304BF" w:rsidRDefault="000D3F26">
      <w:pPr>
        <w:pStyle w:val="Heading1"/>
        <w:ind w:left="-5" w:right="0"/>
      </w:pPr>
      <w:r>
        <w:t>B.</w:t>
      </w:r>
      <w:r>
        <w:rPr>
          <w:rFonts w:ascii="Arial" w:eastAsia="Arial" w:hAnsi="Arial" w:cs="Arial"/>
        </w:rPr>
        <w:t xml:space="preserve"> </w:t>
      </w:r>
      <w:r>
        <w:t xml:space="preserve">Component 2: Student-Facing Transparency Dashboard </w:t>
      </w:r>
    </w:p>
    <w:p w:rsidR="00F304BF" w:rsidRDefault="000D3F26">
      <w:pPr>
        <w:spacing w:after="44"/>
        <w:ind w:left="-15" w:firstLine="197"/>
      </w:pPr>
      <w:r>
        <w:t>A core output is a reference implementati</w:t>
      </w:r>
      <w:r>
        <w:t xml:space="preserve">on of a student- facing transparency dashboard that provides learners with meaningful visibility into and control over their AILA data. The dashboard includes: </w:t>
      </w:r>
    </w:p>
    <w:p w:rsidR="00F304BF" w:rsidRDefault="000D3F26">
      <w:pPr>
        <w:ind w:left="207"/>
      </w:pPr>
      <w:r>
        <w:t>1)</w:t>
      </w:r>
      <w:r>
        <w:rPr>
          <w:rFonts w:ascii="Arial" w:eastAsia="Arial" w:hAnsi="Arial" w:cs="Arial"/>
        </w:rPr>
        <w:t xml:space="preserve"> </w:t>
      </w:r>
      <w:r>
        <w:rPr>
          <w:b/>
        </w:rPr>
        <w:t>Data Inventory View</w:t>
      </w:r>
      <w:r>
        <w:t xml:space="preserve">: Visual, plain-language display </w:t>
      </w:r>
    </w:p>
    <w:tbl>
      <w:tblPr>
        <w:tblStyle w:val="TableGrid"/>
        <w:tblW w:w="10144" w:type="dxa"/>
        <w:tblInd w:w="197" w:type="dxa"/>
        <w:tblCellMar>
          <w:top w:w="1" w:type="dxa"/>
          <w:left w:w="0" w:type="dxa"/>
          <w:bottom w:w="0" w:type="dxa"/>
          <w:right w:w="0" w:type="dxa"/>
        </w:tblCellMar>
        <w:tblLook w:val="04A0" w:firstRow="1" w:lastRow="0" w:firstColumn="1" w:lastColumn="0" w:noHBand="0" w:noVBand="1"/>
      </w:tblPr>
      <w:tblGrid>
        <w:gridCol w:w="5066"/>
        <w:gridCol w:w="5078"/>
      </w:tblGrid>
      <w:tr w:rsidR="00F304BF">
        <w:trPr>
          <w:trHeight w:val="2447"/>
        </w:trPr>
        <w:tc>
          <w:tcPr>
            <w:tcW w:w="5066" w:type="dxa"/>
            <w:tcBorders>
              <w:top w:val="nil"/>
              <w:left w:val="nil"/>
              <w:bottom w:val="nil"/>
              <w:right w:val="nil"/>
            </w:tcBorders>
          </w:tcPr>
          <w:p w:rsidR="00F304BF" w:rsidRDefault="000D3F26">
            <w:pPr>
              <w:spacing w:after="0" w:line="309" w:lineRule="auto"/>
              <w:ind w:left="288" w:firstLine="0"/>
            </w:pPr>
            <w:r>
              <w:t xml:space="preserve">of all data categories </w:t>
            </w:r>
            <w:r>
              <w:t xml:space="preserve">collected with icons indicating  sensitivity levels </w:t>
            </w:r>
          </w:p>
          <w:p w:rsidR="00F304BF" w:rsidRDefault="000D3F26">
            <w:pPr>
              <w:numPr>
                <w:ilvl w:val="0"/>
                <w:numId w:val="16"/>
              </w:numPr>
              <w:spacing w:line="244" w:lineRule="auto"/>
              <w:ind w:hanging="288"/>
            </w:pPr>
            <w:r>
              <w:rPr>
                <w:b/>
              </w:rPr>
              <w:t>Algorithmic Profile View</w:t>
            </w:r>
            <w:r>
              <w:t xml:space="preserve">: Personalized summary of algorithmic classifications with explanatory text at 8th- grade reading level </w:t>
            </w:r>
          </w:p>
          <w:p w:rsidR="00F304BF" w:rsidRDefault="000D3F26">
            <w:pPr>
              <w:numPr>
                <w:ilvl w:val="0"/>
                <w:numId w:val="16"/>
              </w:numPr>
              <w:spacing w:after="8" w:line="242" w:lineRule="auto"/>
              <w:ind w:hanging="288"/>
            </w:pPr>
            <w:r>
              <w:rPr>
                <w:b/>
              </w:rPr>
              <w:t>Consent Control Panel</w:t>
            </w:r>
            <w:r>
              <w:t xml:space="preserve">: Granular opt-out controls with clear statements of </w:t>
            </w:r>
            <w:r>
              <w:t xml:space="preserve">pedagogical consequences </w:t>
            </w:r>
          </w:p>
          <w:p w:rsidR="00F304BF" w:rsidRDefault="000D3F26">
            <w:pPr>
              <w:numPr>
                <w:ilvl w:val="0"/>
                <w:numId w:val="16"/>
              </w:numPr>
              <w:spacing w:after="3" w:line="247" w:lineRule="auto"/>
              <w:ind w:hanging="288"/>
            </w:pPr>
            <w:r>
              <w:rPr>
                <w:b/>
              </w:rPr>
              <w:t>Data Export and Deletion Tools</w:t>
            </w:r>
            <w:r>
              <w:t xml:space="preserve">: One-click function- </w:t>
            </w:r>
            <w:proofErr w:type="spellStart"/>
            <w:r>
              <w:t>ality</w:t>
            </w:r>
            <w:proofErr w:type="spellEnd"/>
            <w:r>
              <w:t xml:space="preserve"> to download all personal AILA data </w:t>
            </w:r>
          </w:p>
          <w:p w:rsidR="00F304BF" w:rsidRDefault="000D3F26">
            <w:pPr>
              <w:numPr>
                <w:ilvl w:val="0"/>
                <w:numId w:val="16"/>
              </w:numPr>
              <w:spacing w:after="0" w:line="259" w:lineRule="auto"/>
              <w:ind w:hanging="288"/>
            </w:pPr>
            <w:r>
              <w:rPr>
                <w:b/>
              </w:rPr>
              <w:t>Appeal Mechanism</w:t>
            </w:r>
            <w:r>
              <w:t xml:space="preserve">: Direct interface for contesting </w:t>
            </w:r>
          </w:p>
        </w:tc>
        <w:tc>
          <w:tcPr>
            <w:tcW w:w="5078" w:type="dxa"/>
            <w:tcBorders>
              <w:top w:val="nil"/>
              <w:left w:val="nil"/>
              <w:bottom w:val="nil"/>
              <w:right w:val="nil"/>
            </w:tcBorders>
            <w:vAlign w:val="bottom"/>
          </w:tcPr>
          <w:p w:rsidR="00F304BF" w:rsidRDefault="000D3F26">
            <w:pPr>
              <w:numPr>
                <w:ilvl w:val="0"/>
                <w:numId w:val="17"/>
              </w:numPr>
              <w:spacing w:after="0" w:line="247" w:lineRule="auto"/>
              <w:ind w:left="404" w:hanging="202"/>
            </w:pPr>
            <w:r>
              <w:rPr>
                <w:b/>
              </w:rPr>
              <w:t>Composition</w:t>
            </w:r>
            <w:r>
              <w:t xml:space="preserve">: Faculty, advising, student government, in- </w:t>
            </w:r>
            <w:proofErr w:type="spellStart"/>
            <w:r>
              <w:t>stitutional</w:t>
            </w:r>
            <w:proofErr w:type="spellEnd"/>
            <w:r>
              <w:t xml:space="preserve"> research, legal c</w:t>
            </w:r>
            <w:r>
              <w:t xml:space="preserve">ounsel, IT, community mem- </w:t>
            </w:r>
            <w:proofErr w:type="spellStart"/>
            <w:r>
              <w:t>bers</w:t>
            </w:r>
            <w:proofErr w:type="spellEnd"/>
            <w:r>
              <w:t xml:space="preserve"> </w:t>
            </w:r>
          </w:p>
          <w:p w:rsidR="00F304BF" w:rsidRDefault="000D3F26">
            <w:pPr>
              <w:numPr>
                <w:ilvl w:val="0"/>
                <w:numId w:val="17"/>
              </w:numPr>
              <w:spacing w:after="2" w:line="247" w:lineRule="auto"/>
              <w:ind w:left="404" w:hanging="202"/>
            </w:pPr>
            <w:r>
              <w:rPr>
                <w:b/>
              </w:rPr>
              <w:t>Jurisdiction</w:t>
            </w:r>
            <w:r>
              <w:t xml:space="preserve">: All AILA systems used for student-facing decisions fall under committee purview </w:t>
            </w:r>
          </w:p>
          <w:p w:rsidR="00F304BF" w:rsidRDefault="000D3F26">
            <w:pPr>
              <w:numPr>
                <w:ilvl w:val="0"/>
                <w:numId w:val="17"/>
              </w:numPr>
              <w:spacing w:after="0" w:line="259" w:lineRule="auto"/>
              <w:ind w:left="404" w:hanging="202"/>
            </w:pPr>
            <w:r>
              <w:rPr>
                <w:b/>
              </w:rPr>
              <w:t>Review Processes</w:t>
            </w:r>
            <w:r>
              <w:t xml:space="preserve">: Tiered review based on risk level </w:t>
            </w:r>
          </w:p>
          <w:p w:rsidR="00F304BF" w:rsidRDefault="000D3F26">
            <w:pPr>
              <w:numPr>
                <w:ilvl w:val="0"/>
                <w:numId w:val="17"/>
              </w:numPr>
              <w:spacing w:after="7" w:line="242" w:lineRule="auto"/>
              <w:ind w:left="404" w:hanging="202"/>
            </w:pPr>
            <w:r>
              <w:rPr>
                <w:b/>
              </w:rPr>
              <w:t>Student Complaint Mechanism</w:t>
            </w:r>
            <w:r>
              <w:t xml:space="preserve">: Final appeal body for algorithmic decisions </w:t>
            </w:r>
          </w:p>
          <w:p w:rsidR="00F304BF" w:rsidRDefault="000D3F26">
            <w:pPr>
              <w:numPr>
                <w:ilvl w:val="0"/>
                <w:numId w:val="17"/>
              </w:numPr>
              <w:spacing w:after="0" w:line="259" w:lineRule="auto"/>
              <w:ind w:left="404" w:hanging="202"/>
            </w:pPr>
            <w:r>
              <w:rPr>
                <w:b/>
              </w:rPr>
              <w:t>Reporting Obligations</w:t>
            </w:r>
            <w:r>
              <w:t xml:space="preserve">: Annual public report detailing </w:t>
            </w:r>
          </w:p>
        </w:tc>
      </w:tr>
    </w:tbl>
    <w:p w:rsidR="00F304BF" w:rsidRDefault="000D3F26">
      <w:pPr>
        <w:tabs>
          <w:tab w:val="center" w:pos="1538"/>
          <w:tab w:val="center" w:pos="6602"/>
        </w:tabs>
        <w:spacing w:after="54"/>
        <w:ind w:left="0" w:firstLine="0"/>
        <w:jc w:val="left"/>
      </w:pPr>
      <w:r>
        <w:rPr>
          <w:rFonts w:ascii="Calibri" w:eastAsia="Calibri" w:hAnsi="Calibri" w:cs="Calibri"/>
          <w:sz w:val="22"/>
        </w:rPr>
        <w:tab/>
      </w:r>
      <w:proofErr w:type="gramStart"/>
      <w:r>
        <w:t>algorithmic</w:t>
      </w:r>
      <w:proofErr w:type="gramEnd"/>
      <w:r>
        <w:t xml:space="preserve"> classifications </w:t>
      </w:r>
      <w:r>
        <w:tab/>
        <w:t xml:space="preserve">activities and outcomes </w:t>
      </w:r>
    </w:p>
    <w:p w:rsidR="00F304BF" w:rsidRDefault="000D3F26">
      <w:pPr>
        <w:spacing w:after="163"/>
        <w:ind w:left="-15" w:right="2714" w:firstLine="197"/>
      </w:pPr>
      <w:r>
        <w:rPr>
          <w:noProof/>
        </w:rPr>
        <w:lastRenderedPageBreak/>
        <w:drawing>
          <wp:anchor distT="0" distB="0" distL="114300" distR="114300" simplePos="0" relativeHeight="251660288" behindDoc="0" locked="0" layoutInCell="1" allowOverlap="0">
            <wp:simplePos x="0" y="0"/>
            <wp:positionH relativeFrom="column">
              <wp:posOffset>3490163</wp:posOffset>
            </wp:positionH>
            <wp:positionV relativeFrom="paragraph">
              <wp:posOffset>488205</wp:posOffset>
            </wp:positionV>
            <wp:extent cx="3010154" cy="1457960"/>
            <wp:effectExtent l="0" t="0" r="0" b="0"/>
            <wp:wrapSquare wrapText="bothSides"/>
            <wp:docPr id="3479" name="Picture 3479"/>
            <wp:cNvGraphicFramePr/>
            <a:graphic xmlns:a="http://schemas.openxmlformats.org/drawingml/2006/main">
              <a:graphicData uri="http://schemas.openxmlformats.org/drawingml/2006/picture">
                <pic:pic xmlns:pic="http://schemas.openxmlformats.org/drawingml/2006/picture">
                  <pic:nvPicPr>
                    <pic:cNvPr id="3479" name="Picture 3479"/>
                    <pic:cNvPicPr/>
                  </pic:nvPicPr>
                  <pic:blipFill>
                    <a:blip r:embed="rId11"/>
                    <a:stretch>
                      <a:fillRect/>
                    </a:stretch>
                  </pic:blipFill>
                  <pic:spPr>
                    <a:xfrm>
                      <a:off x="0" y="0"/>
                      <a:ext cx="3010154" cy="1457960"/>
                    </a:xfrm>
                    <a:prstGeom prst="rect">
                      <a:avLst/>
                    </a:prstGeom>
                  </pic:spPr>
                </pic:pic>
              </a:graphicData>
            </a:graphic>
          </wp:anchor>
        </w:drawing>
      </w:r>
      <w:r>
        <w:t xml:space="preserve">Pilot testing across 34 courses involving 2,800 students found that dashboard access increased student awareness of </w:t>
      </w:r>
      <w:r>
        <w:rPr>
          <w:i/>
          <w:sz w:val="31"/>
          <w:vertAlign w:val="superscript"/>
        </w:rPr>
        <w:t>F.</w:t>
      </w:r>
      <w:r>
        <w:rPr>
          <w:rFonts w:ascii="Arial" w:eastAsia="Arial" w:hAnsi="Arial" w:cs="Arial"/>
          <w:i/>
          <w:sz w:val="31"/>
          <w:vertAlign w:val="superscript"/>
        </w:rPr>
        <w:t xml:space="preserve"> </w:t>
      </w:r>
      <w:r>
        <w:rPr>
          <w:i/>
          <w:sz w:val="31"/>
          <w:vertAlign w:val="superscript"/>
        </w:rPr>
        <w:t xml:space="preserve">Implementation Roadmap </w:t>
      </w:r>
      <w:r>
        <w:t>an</w:t>
      </w:r>
      <w:r>
        <w:t xml:space="preserve">alytics practices from 27% to 84%, and 72% of students </w:t>
      </w:r>
      <w:r>
        <w:rPr>
          <w:i/>
        </w:rPr>
        <w:t xml:space="preserve"> </w:t>
      </w:r>
      <w:r>
        <w:t xml:space="preserve">reported feeling ”more in control” of their educational data. </w:t>
      </w:r>
    </w:p>
    <w:p w:rsidR="00F304BF" w:rsidRDefault="000D3F26">
      <w:pPr>
        <w:pStyle w:val="Heading1"/>
        <w:ind w:left="-5" w:right="1214"/>
      </w:pPr>
      <w:r>
        <w:t xml:space="preserve">C. Component 3: Instructor and Advisor Training Curriculum </w:t>
      </w:r>
    </w:p>
    <w:p w:rsidR="00F304BF" w:rsidRDefault="000D3F26">
      <w:pPr>
        <w:spacing w:after="49"/>
        <w:ind w:left="-15" w:firstLine="197"/>
      </w:pPr>
      <w:r>
        <w:t>The toolkit includes a professional development curriculum for instructors, a</w:t>
      </w:r>
      <w:r>
        <w:t xml:space="preserve">cademic advisors, and administrators, com- prising five modules: </w:t>
      </w:r>
    </w:p>
    <w:p w:rsidR="00F304BF" w:rsidRDefault="000D3F26">
      <w:pPr>
        <w:numPr>
          <w:ilvl w:val="0"/>
          <w:numId w:val="8"/>
        </w:numPr>
        <w:ind w:hanging="288"/>
      </w:pPr>
      <w:r>
        <w:rPr>
          <w:b/>
        </w:rPr>
        <w:t>Understanding AILA Systems</w:t>
      </w:r>
      <w:r>
        <w:t xml:space="preserve">: Technical foundations for non-technical audiences </w:t>
      </w:r>
    </w:p>
    <w:p w:rsidR="00F304BF" w:rsidRDefault="000D3F26">
      <w:pPr>
        <w:numPr>
          <w:ilvl w:val="0"/>
          <w:numId w:val="8"/>
        </w:numPr>
        <w:ind w:hanging="288"/>
      </w:pPr>
      <w:r>
        <w:rPr>
          <w:b/>
        </w:rPr>
        <w:t>Interpreting and Acting on Analytics</w:t>
      </w:r>
      <w:r>
        <w:t xml:space="preserve">: Best practices for translating dashboard indicators into pedagogical </w:t>
      </w:r>
    </w:p>
    <w:p w:rsidR="00F304BF" w:rsidRDefault="000D3F26">
      <w:pPr>
        <w:tabs>
          <w:tab w:val="center" w:pos="722"/>
          <w:tab w:val="right" w:pos="10290"/>
        </w:tabs>
        <w:spacing w:after="73"/>
        <w:ind w:left="0" w:firstLine="0"/>
        <w:jc w:val="left"/>
      </w:pPr>
      <w:r>
        <w:rPr>
          <w:rFonts w:ascii="Calibri" w:eastAsia="Calibri" w:hAnsi="Calibri" w:cs="Calibri"/>
          <w:sz w:val="22"/>
        </w:rPr>
        <w:tab/>
      </w:r>
      <w:proofErr w:type="gramStart"/>
      <w:r>
        <w:t>action</w:t>
      </w:r>
      <w:proofErr w:type="gramEnd"/>
      <w:r>
        <w:t xml:space="preserve"> </w:t>
      </w:r>
      <w:r>
        <w:tab/>
      </w:r>
      <w:r>
        <w:rPr>
          <w:b/>
        </w:rPr>
        <w:t xml:space="preserve">Fig. 8: </w:t>
      </w:r>
      <w:r>
        <w:t xml:space="preserve">Phased Implementation Roadmap for AILA-EGT </w:t>
      </w:r>
    </w:p>
    <w:p w:rsidR="00F304BF" w:rsidRDefault="000D3F26">
      <w:pPr>
        <w:numPr>
          <w:ilvl w:val="0"/>
          <w:numId w:val="8"/>
        </w:numPr>
        <w:ind w:hanging="288"/>
      </w:pPr>
      <w:r>
        <w:rPr>
          <w:b/>
        </w:rPr>
        <w:t>Fairness and Bias Recognition</w:t>
      </w:r>
      <w:r>
        <w:t xml:space="preserve">: Training to identify </w:t>
      </w:r>
      <w:r>
        <w:tab/>
        <w:t xml:space="preserve">Adoption </w:t>
      </w:r>
    </w:p>
    <w:tbl>
      <w:tblPr>
        <w:tblStyle w:val="TableGrid"/>
        <w:tblW w:w="10296" w:type="dxa"/>
        <w:tblInd w:w="0" w:type="dxa"/>
        <w:tblCellMar>
          <w:top w:w="28" w:type="dxa"/>
          <w:left w:w="0" w:type="dxa"/>
          <w:bottom w:w="0" w:type="dxa"/>
          <w:right w:w="0" w:type="dxa"/>
        </w:tblCellMar>
        <w:tblLook w:val="04A0" w:firstRow="1" w:lastRow="0" w:firstColumn="1" w:lastColumn="0" w:noHBand="0" w:noVBand="1"/>
      </w:tblPr>
      <w:tblGrid>
        <w:gridCol w:w="5263"/>
        <w:gridCol w:w="5033"/>
      </w:tblGrid>
      <w:tr w:rsidR="00F304BF">
        <w:trPr>
          <w:trHeight w:val="2307"/>
        </w:trPr>
        <w:tc>
          <w:tcPr>
            <w:tcW w:w="5263" w:type="dxa"/>
            <w:tcBorders>
              <w:top w:val="nil"/>
              <w:left w:val="nil"/>
              <w:bottom w:val="nil"/>
              <w:right w:val="nil"/>
            </w:tcBorders>
          </w:tcPr>
          <w:p w:rsidR="00F304BF" w:rsidRDefault="000D3F26">
            <w:pPr>
              <w:tabs>
                <w:tab w:val="center" w:pos="2553"/>
                <w:tab w:val="center" w:pos="5066"/>
              </w:tabs>
              <w:spacing w:after="4" w:line="259" w:lineRule="auto"/>
              <w:ind w:left="0" w:firstLine="0"/>
              <w:jc w:val="left"/>
            </w:pPr>
            <w:r>
              <w:rPr>
                <w:rFonts w:ascii="Calibri" w:eastAsia="Calibri" w:hAnsi="Calibri" w:cs="Calibri"/>
                <w:sz w:val="22"/>
              </w:rPr>
              <w:tab/>
            </w:r>
            <w:r>
              <w:t xml:space="preserve">potential algorithmic bias and advocate for students </w:t>
            </w:r>
            <w:r>
              <w:tab/>
              <w:t xml:space="preserve"> </w:t>
            </w:r>
          </w:p>
          <w:p w:rsidR="00F304BF" w:rsidRDefault="000D3F26">
            <w:pPr>
              <w:numPr>
                <w:ilvl w:val="0"/>
                <w:numId w:val="18"/>
              </w:numPr>
              <w:spacing w:after="0" w:line="247" w:lineRule="auto"/>
              <w:ind w:hanging="288"/>
            </w:pPr>
            <w:r>
              <w:rPr>
                <w:b/>
              </w:rPr>
              <w:t>Ethical Decision-Making in Data Use</w:t>
            </w:r>
            <w:r>
              <w:t>: Frameworks for navigating ethical dilem</w:t>
            </w:r>
            <w:r>
              <w:t xml:space="preserve">mas </w:t>
            </w:r>
          </w:p>
          <w:p w:rsidR="00F304BF" w:rsidRDefault="000D3F26">
            <w:pPr>
              <w:numPr>
                <w:ilvl w:val="0"/>
                <w:numId w:val="18"/>
              </w:numPr>
              <w:spacing w:after="47" w:line="247" w:lineRule="auto"/>
              <w:ind w:hanging="288"/>
            </w:pPr>
            <w:r>
              <w:rPr>
                <w:b/>
              </w:rPr>
              <w:t>Student Communication</w:t>
            </w:r>
            <w:r>
              <w:t xml:space="preserve">: Techniques for discussing analytics with students supportively </w:t>
            </w:r>
          </w:p>
          <w:p w:rsidR="00F304BF" w:rsidRDefault="000D3F26">
            <w:pPr>
              <w:spacing w:after="0" w:line="259" w:lineRule="auto"/>
              <w:ind w:left="0" w:right="240" w:firstLine="197"/>
            </w:pPr>
            <w:r>
              <w:t>Initial deployments across 12 institutions showed that trained instructors were 43% more likely to trust analytics recommendations and 38% more likely to communicat</w:t>
            </w:r>
            <w:r>
              <w:t xml:space="preserve">e </w:t>
            </w:r>
            <w:proofErr w:type="spellStart"/>
            <w:r>
              <w:t>proac</w:t>
            </w:r>
            <w:proofErr w:type="spellEnd"/>
            <w:r>
              <w:t xml:space="preserve">- </w:t>
            </w:r>
            <w:proofErr w:type="spellStart"/>
            <w:r>
              <w:t>tively</w:t>
            </w:r>
            <w:proofErr w:type="spellEnd"/>
            <w:r>
              <w:t xml:space="preserve"> with flagged students. </w:t>
            </w:r>
          </w:p>
        </w:tc>
        <w:tc>
          <w:tcPr>
            <w:tcW w:w="5033" w:type="dxa"/>
            <w:tcBorders>
              <w:top w:val="nil"/>
              <w:left w:val="nil"/>
              <w:bottom w:val="nil"/>
              <w:right w:val="nil"/>
            </w:tcBorders>
            <w:vAlign w:val="bottom"/>
          </w:tcPr>
          <w:p w:rsidR="00F304BF" w:rsidRDefault="000D3F26">
            <w:pPr>
              <w:spacing w:after="28" w:line="259" w:lineRule="auto"/>
              <w:ind w:left="202" w:firstLine="0"/>
              <w:jc w:val="left"/>
            </w:pPr>
            <w:r>
              <w:t xml:space="preserve">Figure 8 outlines the phased implementation approach: </w:t>
            </w:r>
          </w:p>
          <w:p w:rsidR="00F304BF" w:rsidRDefault="000D3F26">
            <w:pPr>
              <w:numPr>
                <w:ilvl w:val="0"/>
                <w:numId w:val="19"/>
              </w:numPr>
              <w:spacing w:after="2" w:line="247" w:lineRule="auto"/>
              <w:ind w:left="399" w:hanging="197"/>
            </w:pPr>
            <w:r>
              <w:rPr>
                <w:b/>
              </w:rPr>
              <w:t>Phase 1 (0-6 months)</w:t>
            </w:r>
            <w:r>
              <w:t xml:space="preserve">: Establish IEC-LA, adopt vendor standards, deploy dashboard pilot </w:t>
            </w:r>
          </w:p>
          <w:p w:rsidR="00F304BF" w:rsidRDefault="000D3F26">
            <w:pPr>
              <w:numPr>
                <w:ilvl w:val="0"/>
                <w:numId w:val="19"/>
              </w:numPr>
              <w:spacing w:after="2" w:line="247" w:lineRule="auto"/>
              <w:ind w:left="399" w:hanging="197"/>
            </w:pPr>
            <w:r>
              <w:rPr>
                <w:b/>
              </w:rPr>
              <w:t>Phase 2 (6-18 months)</w:t>
            </w:r>
            <w:r>
              <w:t xml:space="preserve">: Roll out instructor </w:t>
            </w:r>
            <w:r>
              <w:t xml:space="preserve">training, implement AIA protocol, expand dashboard </w:t>
            </w:r>
          </w:p>
          <w:p w:rsidR="00F304BF" w:rsidRDefault="000D3F26">
            <w:pPr>
              <w:numPr>
                <w:ilvl w:val="0"/>
                <w:numId w:val="19"/>
              </w:numPr>
              <w:spacing w:after="146" w:line="242" w:lineRule="auto"/>
              <w:ind w:left="399" w:hanging="197"/>
            </w:pPr>
            <w:r>
              <w:rPr>
                <w:b/>
              </w:rPr>
              <w:t>Phase 3 (18-36 months)</w:t>
            </w:r>
            <w:r>
              <w:t xml:space="preserve">: Conduct comprehensive audits, publish transparency reports, establish collaborations </w:t>
            </w:r>
          </w:p>
          <w:p w:rsidR="00F304BF" w:rsidRDefault="000D3F26">
            <w:pPr>
              <w:spacing w:after="0" w:line="259" w:lineRule="auto"/>
              <w:ind w:left="0" w:right="125" w:firstLine="0"/>
              <w:jc w:val="center"/>
            </w:pPr>
            <w:r>
              <w:t>VII.</w:t>
            </w:r>
            <w:r>
              <w:rPr>
                <w:rFonts w:ascii="Arial" w:eastAsia="Arial" w:hAnsi="Arial" w:cs="Arial"/>
              </w:rPr>
              <w:t xml:space="preserve"> </w:t>
            </w:r>
            <w:r>
              <w:t xml:space="preserve">RESULTS AND DISCUSSION </w:t>
            </w:r>
          </w:p>
        </w:tc>
      </w:tr>
    </w:tbl>
    <w:p w:rsidR="00F304BF" w:rsidRDefault="000D3F26">
      <w:pPr>
        <w:pStyle w:val="Heading1"/>
        <w:tabs>
          <w:tab w:val="center" w:pos="7049"/>
        </w:tabs>
        <w:spacing w:after="68"/>
        <w:ind w:left="-15" w:right="0" w:firstLine="0"/>
      </w:pPr>
      <w:r>
        <w:t>D.</w:t>
      </w:r>
      <w:r>
        <w:rPr>
          <w:rFonts w:ascii="Arial" w:eastAsia="Arial" w:hAnsi="Arial" w:cs="Arial"/>
        </w:rPr>
        <w:t xml:space="preserve"> </w:t>
      </w:r>
      <w:r>
        <w:t xml:space="preserve">Component 4: Vendor Contracting Standards </w:t>
      </w:r>
      <w:r>
        <w:tab/>
        <w:t>A.</w:t>
      </w:r>
      <w:r>
        <w:rPr>
          <w:rFonts w:ascii="Arial" w:eastAsia="Arial" w:hAnsi="Arial" w:cs="Arial"/>
        </w:rPr>
        <w:t xml:space="preserve"> </w:t>
      </w:r>
      <w:r>
        <w:t xml:space="preserve">Effectiveness </w:t>
      </w:r>
      <w:r>
        <w:t xml:space="preserve">of Governance Approaches </w:t>
      </w:r>
    </w:p>
    <w:p w:rsidR="00F304BF" w:rsidRDefault="000D3F26">
      <w:pPr>
        <w:ind w:left="-15" w:firstLine="197"/>
      </w:pPr>
      <w:r>
        <w:t xml:space="preserve">The toolkit provides model contract language and procure- Figure 9 compares the effectiveness of different governance </w:t>
      </w:r>
      <w:proofErr w:type="spellStart"/>
      <w:r>
        <w:t>ment</w:t>
      </w:r>
      <w:proofErr w:type="spellEnd"/>
      <w:r>
        <w:t xml:space="preserve"> standards that institutions can incorporate into vendor approaches across five outcome metrics: </w:t>
      </w:r>
    </w:p>
    <w:p w:rsidR="00F304BF" w:rsidRDefault="00F304BF">
      <w:pPr>
        <w:sectPr w:rsidR="00F304BF">
          <w:type w:val="continuous"/>
          <w:pgSz w:w="12240" w:h="15840"/>
          <w:pgMar w:top="963" w:right="970" w:bottom="1488" w:left="980" w:header="720" w:footer="720" w:gutter="0"/>
          <w:cols w:space="720"/>
        </w:sectPr>
      </w:pPr>
    </w:p>
    <w:p w:rsidR="00F304BF" w:rsidRDefault="000D3F26">
      <w:pPr>
        <w:spacing w:after="167"/>
        <w:ind w:left="269"/>
      </w:pPr>
      <w:proofErr w:type="gramStart"/>
      <w:r>
        <w:t>agreements</w:t>
      </w:r>
      <w:proofErr w:type="gramEnd"/>
      <w:r>
        <w:t xml:space="preserve">: </w:t>
      </w:r>
    </w:p>
    <w:p w:rsidR="00F304BF" w:rsidRDefault="000D3F26">
      <w:pPr>
        <w:pStyle w:val="Heading1"/>
        <w:ind w:left="269" w:right="0"/>
      </w:pPr>
      <w:r>
        <w:t>E.</w:t>
      </w:r>
      <w:r>
        <w:rPr>
          <w:rFonts w:ascii="Arial" w:eastAsia="Arial" w:hAnsi="Arial" w:cs="Arial"/>
        </w:rPr>
        <w:t xml:space="preserve"> </w:t>
      </w:r>
      <w:r>
        <w:t xml:space="preserve">Component 5: Institutional Ethics Committee Framework </w:t>
      </w:r>
    </w:p>
    <w:p w:rsidR="00F304BF" w:rsidRDefault="000D3F26">
      <w:pPr>
        <w:ind w:left="259" w:firstLine="197"/>
      </w:pPr>
      <w:r>
        <w:t xml:space="preserve">The toolkit provides a template for establishing an </w:t>
      </w:r>
      <w:proofErr w:type="spellStart"/>
      <w:r>
        <w:t>Insti</w:t>
      </w:r>
      <w:proofErr w:type="spellEnd"/>
      <w:r>
        <w:t xml:space="preserve">- </w:t>
      </w:r>
      <w:proofErr w:type="spellStart"/>
      <w:r>
        <w:t>tutional</w:t>
      </w:r>
      <w:proofErr w:type="spellEnd"/>
      <w:r>
        <w:t xml:space="preserve"> Ethics Committee for Learning Analytics (IEC-LA). </w:t>
      </w:r>
    </w:p>
    <w:p w:rsidR="00F304BF" w:rsidRDefault="000D3F26">
      <w:pPr>
        <w:ind w:left="269"/>
      </w:pPr>
      <w:r>
        <w:t xml:space="preserve">The framework specifies: </w:t>
      </w:r>
    </w:p>
    <w:p w:rsidR="00F304BF" w:rsidRDefault="000D3F26">
      <w:pPr>
        <w:numPr>
          <w:ilvl w:val="0"/>
          <w:numId w:val="9"/>
        </w:numPr>
        <w:ind w:hanging="202"/>
      </w:pPr>
      <w:r>
        <w:rPr>
          <w:b/>
        </w:rPr>
        <w:t>Student Awareness</w:t>
      </w:r>
      <w:r>
        <w:t>: AILA-</w:t>
      </w:r>
      <w:r>
        <w:t xml:space="preserve">EGT achieves 92% vs. 27% baseline </w:t>
      </w:r>
    </w:p>
    <w:p w:rsidR="00F304BF" w:rsidRDefault="000D3F26">
      <w:pPr>
        <w:numPr>
          <w:ilvl w:val="0"/>
          <w:numId w:val="9"/>
        </w:numPr>
        <w:ind w:hanging="202"/>
      </w:pPr>
      <w:r>
        <w:rPr>
          <w:b/>
        </w:rPr>
        <w:t>Fairness Compliance</w:t>
      </w:r>
      <w:r>
        <w:t xml:space="preserve">: 88% vs. 15% baseline </w:t>
      </w:r>
    </w:p>
    <w:p w:rsidR="00F304BF" w:rsidRDefault="000D3F26">
      <w:pPr>
        <w:numPr>
          <w:ilvl w:val="0"/>
          <w:numId w:val="9"/>
        </w:numPr>
        <w:ind w:hanging="202"/>
      </w:pPr>
      <w:r>
        <w:rPr>
          <w:b/>
        </w:rPr>
        <w:t>Transparency Score</w:t>
      </w:r>
      <w:r>
        <w:t xml:space="preserve">: 94% vs. 18% baseline </w:t>
      </w:r>
    </w:p>
    <w:p w:rsidR="00F304BF" w:rsidRDefault="000D3F26">
      <w:pPr>
        <w:numPr>
          <w:ilvl w:val="0"/>
          <w:numId w:val="9"/>
        </w:numPr>
        <w:ind w:hanging="202"/>
      </w:pPr>
      <w:r>
        <w:rPr>
          <w:b/>
        </w:rPr>
        <w:t>Student Agency</w:t>
      </w:r>
      <w:r>
        <w:t xml:space="preserve">: 82% vs. 34% baseline </w:t>
      </w:r>
    </w:p>
    <w:p w:rsidR="00F304BF" w:rsidRDefault="000D3F26">
      <w:pPr>
        <w:numPr>
          <w:ilvl w:val="0"/>
          <w:numId w:val="9"/>
        </w:numPr>
        <w:ind w:hanging="202"/>
      </w:pPr>
      <w:r>
        <w:rPr>
          <w:b/>
        </w:rPr>
        <w:t>Trust Index</w:t>
      </w:r>
      <w:r>
        <w:t xml:space="preserve">: 85% vs. 41% baseline </w:t>
      </w:r>
    </w:p>
    <w:p w:rsidR="00F304BF" w:rsidRDefault="000D3F26">
      <w:pPr>
        <w:spacing w:after="71" w:line="259" w:lineRule="auto"/>
        <w:ind w:left="0" w:firstLine="0"/>
        <w:jc w:val="left"/>
      </w:pPr>
      <w:r>
        <w:rPr>
          <w:sz w:val="11"/>
        </w:rPr>
        <w:t xml:space="preserve"> </w:t>
      </w:r>
    </w:p>
    <w:p w:rsidR="00F304BF" w:rsidRDefault="000D3F26">
      <w:pPr>
        <w:spacing w:after="0" w:line="259" w:lineRule="auto"/>
        <w:ind w:left="0" w:right="413" w:firstLine="0"/>
        <w:jc w:val="right"/>
      </w:pPr>
      <w:r>
        <w:rPr>
          <w:noProof/>
        </w:rPr>
        <w:drawing>
          <wp:inline distT="0" distB="0" distL="0" distR="0">
            <wp:extent cx="2774950" cy="1629410"/>
            <wp:effectExtent l="0" t="0" r="0" b="0"/>
            <wp:docPr id="4094" name="Picture 4094"/>
            <wp:cNvGraphicFramePr/>
            <a:graphic xmlns:a="http://schemas.openxmlformats.org/drawingml/2006/main">
              <a:graphicData uri="http://schemas.openxmlformats.org/drawingml/2006/picture">
                <pic:pic xmlns:pic="http://schemas.openxmlformats.org/drawingml/2006/picture">
                  <pic:nvPicPr>
                    <pic:cNvPr id="4094" name="Picture 4094"/>
                    <pic:cNvPicPr/>
                  </pic:nvPicPr>
                  <pic:blipFill>
                    <a:blip r:embed="rId12"/>
                    <a:stretch>
                      <a:fillRect/>
                    </a:stretch>
                  </pic:blipFill>
                  <pic:spPr>
                    <a:xfrm>
                      <a:off x="0" y="0"/>
                      <a:ext cx="2774950" cy="1629410"/>
                    </a:xfrm>
                    <a:prstGeom prst="rect">
                      <a:avLst/>
                    </a:prstGeom>
                  </pic:spPr>
                </pic:pic>
              </a:graphicData>
            </a:graphic>
          </wp:inline>
        </w:drawing>
      </w:r>
      <w:r>
        <w:t xml:space="preserve"> </w:t>
      </w:r>
    </w:p>
    <w:p w:rsidR="00F304BF" w:rsidRDefault="000D3F26">
      <w:pPr>
        <w:spacing w:after="0" w:line="259" w:lineRule="auto"/>
        <w:ind w:left="0" w:firstLine="0"/>
        <w:jc w:val="left"/>
      </w:pPr>
      <w:r>
        <w:t xml:space="preserve"> </w:t>
      </w:r>
    </w:p>
    <w:p w:rsidR="00F304BF" w:rsidRDefault="000D3F26">
      <w:pPr>
        <w:ind w:left="351"/>
      </w:pPr>
      <w:r>
        <w:rPr>
          <w:b/>
        </w:rPr>
        <w:t xml:space="preserve">Fig. 9: </w:t>
      </w:r>
      <w:r>
        <w:t xml:space="preserve">Comparison of Governance Approach Effectiveness </w:t>
      </w:r>
    </w:p>
    <w:p w:rsidR="00F304BF" w:rsidRDefault="000D3F26">
      <w:pPr>
        <w:spacing w:after="0" w:line="259" w:lineRule="auto"/>
        <w:ind w:left="0" w:firstLine="0"/>
        <w:jc w:val="left"/>
      </w:pPr>
      <w:r>
        <w:t xml:space="preserve"> </w:t>
      </w:r>
    </w:p>
    <w:p w:rsidR="00F304BF" w:rsidRDefault="000D3F26">
      <w:pPr>
        <w:spacing w:after="0" w:line="259" w:lineRule="auto"/>
        <w:ind w:left="0" w:firstLine="0"/>
        <w:jc w:val="left"/>
      </w:pPr>
      <w:r>
        <w:t xml:space="preserve"> </w:t>
      </w:r>
    </w:p>
    <w:p w:rsidR="00F304BF" w:rsidRDefault="000D3F26">
      <w:pPr>
        <w:ind w:left="259" w:firstLine="197"/>
      </w:pPr>
      <w:r>
        <w:t xml:space="preserve">Institutions implementing comprehensive governance frameworks show substantially better outcomes across all metrics compared to those with ad-hoc approaches or no governance. </w:t>
      </w:r>
    </w:p>
    <w:p w:rsidR="00F304BF" w:rsidRDefault="000D3F26">
      <w:pPr>
        <w:spacing w:after="0" w:line="259" w:lineRule="auto"/>
        <w:ind w:left="0" w:firstLine="0"/>
        <w:jc w:val="left"/>
      </w:pPr>
      <w:r>
        <w:t xml:space="preserve"> </w:t>
      </w:r>
    </w:p>
    <w:p w:rsidR="00F304BF" w:rsidRDefault="000D3F26">
      <w:pPr>
        <w:pStyle w:val="Heading1"/>
        <w:spacing w:after="127"/>
        <w:ind w:left="269" w:right="1214"/>
      </w:pPr>
      <w:r>
        <w:t>B.</w:t>
      </w:r>
      <w:r>
        <w:rPr>
          <w:rFonts w:ascii="Arial" w:eastAsia="Arial" w:hAnsi="Arial" w:cs="Arial"/>
        </w:rPr>
        <w:t xml:space="preserve"> </w:t>
      </w:r>
      <w:r>
        <w:t xml:space="preserve">Case Study: University of South Australia </w:t>
      </w:r>
    </w:p>
    <w:p w:rsidR="00F304BF" w:rsidRDefault="000D3F26">
      <w:pPr>
        <w:spacing w:after="63"/>
        <w:ind w:left="259" w:firstLine="197"/>
      </w:pPr>
      <w:r>
        <w:t xml:space="preserve">A case study of the University of South Australia’s </w:t>
      </w:r>
      <w:proofErr w:type="spellStart"/>
      <w:r>
        <w:t>im</w:t>
      </w:r>
      <w:proofErr w:type="spellEnd"/>
      <w:r>
        <w:t xml:space="preserve">- </w:t>
      </w:r>
      <w:proofErr w:type="spellStart"/>
      <w:r>
        <w:t>plementation</w:t>
      </w:r>
      <w:proofErr w:type="spellEnd"/>
      <w:r>
        <w:t xml:space="preserve"> of an IEC-LA framework demonstrates practical outcomes: </w:t>
      </w:r>
    </w:p>
    <w:p w:rsidR="00F304BF" w:rsidRDefault="000D3F26">
      <w:pPr>
        <w:numPr>
          <w:ilvl w:val="0"/>
          <w:numId w:val="10"/>
        </w:numPr>
        <w:ind w:hanging="202"/>
      </w:pPr>
      <w:r>
        <w:t xml:space="preserve">63% reduction in student complaints about analytics systems </w:t>
      </w:r>
    </w:p>
    <w:p w:rsidR="00F304BF" w:rsidRDefault="000D3F26">
      <w:pPr>
        <w:numPr>
          <w:ilvl w:val="0"/>
          <w:numId w:val="10"/>
        </w:numPr>
        <w:ind w:hanging="202"/>
      </w:pPr>
      <w:r>
        <w:t xml:space="preserve">47% increase in instructor trust in AILA </w:t>
      </w:r>
      <w:proofErr w:type="spellStart"/>
      <w:r>
        <w:t>recommenda</w:t>
      </w:r>
      <w:proofErr w:type="spellEnd"/>
      <w:r>
        <w:t xml:space="preserve">- </w:t>
      </w:r>
      <w:proofErr w:type="spellStart"/>
      <w:r>
        <w:t>tions</w:t>
      </w:r>
      <w:proofErr w:type="spellEnd"/>
      <w:r>
        <w:t xml:space="preserve"> </w:t>
      </w:r>
    </w:p>
    <w:p w:rsidR="00F304BF" w:rsidRDefault="000D3F26">
      <w:pPr>
        <w:numPr>
          <w:ilvl w:val="0"/>
          <w:numId w:val="10"/>
        </w:numPr>
        <w:ind w:hanging="202"/>
      </w:pPr>
      <w:r>
        <w:t>Zero priv</w:t>
      </w:r>
      <w:r>
        <w:t xml:space="preserve">acy breaches over 24 months </w:t>
      </w:r>
    </w:p>
    <w:p w:rsidR="00F304BF" w:rsidRDefault="000D3F26">
      <w:pPr>
        <w:numPr>
          <w:ilvl w:val="0"/>
          <w:numId w:val="10"/>
        </w:numPr>
        <w:ind w:hanging="202"/>
      </w:pPr>
      <w:r>
        <w:t xml:space="preserve">89% student satisfaction with transparency dashboard </w:t>
      </w:r>
    </w:p>
    <w:p w:rsidR="00F304BF" w:rsidRDefault="000D3F26">
      <w:pPr>
        <w:spacing w:after="0" w:line="259" w:lineRule="auto"/>
        <w:ind w:left="0" w:firstLine="0"/>
        <w:jc w:val="left"/>
      </w:pPr>
      <w:r>
        <w:t xml:space="preserve"> </w:t>
      </w:r>
    </w:p>
    <w:p w:rsidR="00F304BF" w:rsidRDefault="000D3F26">
      <w:pPr>
        <w:pStyle w:val="Heading1"/>
        <w:spacing w:after="89"/>
        <w:ind w:left="269" w:right="1214"/>
      </w:pPr>
      <w:r>
        <w:t>C.</w:t>
      </w:r>
      <w:r>
        <w:rPr>
          <w:rFonts w:ascii="Arial" w:eastAsia="Arial" w:hAnsi="Arial" w:cs="Arial"/>
        </w:rPr>
        <w:t xml:space="preserve"> </w:t>
      </w:r>
      <w:r>
        <w:t xml:space="preserve">Challenges in Implementation </w:t>
      </w:r>
    </w:p>
    <w:p w:rsidR="00F304BF" w:rsidRDefault="000D3F26">
      <w:pPr>
        <w:spacing w:after="62"/>
        <w:ind w:left="259" w:firstLine="197"/>
      </w:pPr>
      <w:r>
        <w:t xml:space="preserve">Despite the demonstrated effectiveness, implementation challenges remain: </w:t>
      </w:r>
    </w:p>
    <w:p w:rsidR="00F304BF" w:rsidRDefault="000D3F26">
      <w:pPr>
        <w:numPr>
          <w:ilvl w:val="0"/>
          <w:numId w:val="11"/>
        </w:numPr>
        <w:ind w:hanging="202"/>
      </w:pPr>
      <w:r>
        <w:rPr>
          <w:b/>
        </w:rPr>
        <w:t>Resource Constraints</w:t>
      </w:r>
      <w:r>
        <w:t xml:space="preserve">: Small institutions lack dedicated ethics </w:t>
      </w:r>
      <w:r>
        <w:t xml:space="preserve">staff </w:t>
      </w:r>
    </w:p>
    <w:p w:rsidR="00F304BF" w:rsidRDefault="000D3F26">
      <w:pPr>
        <w:numPr>
          <w:ilvl w:val="0"/>
          <w:numId w:val="11"/>
        </w:numPr>
        <w:ind w:hanging="202"/>
      </w:pPr>
      <w:r>
        <w:rPr>
          <w:b/>
        </w:rPr>
        <w:lastRenderedPageBreak/>
        <w:t>Vendor Resistance</w:t>
      </w:r>
      <w:r>
        <w:t xml:space="preserve">: Some vendors resist transparency requirements </w:t>
      </w:r>
    </w:p>
    <w:p w:rsidR="00F304BF" w:rsidRDefault="000D3F26">
      <w:pPr>
        <w:numPr>
          <w:ilvl w:val="0"/>
          <w:numId w:val="11"/>
        </w:numPr>
        <w:ind w:hanging="202"/>
      </w:pPr>
      <w:r>
        <w:rPr>
          <w:b/>
        </w:rPr>
        <w:t>Legacy Systems</w:t>
      </w:r>
      <w:r>
        <w:t xml:space="preserve">: Existing contracts may not include ethics provisions </w:t>
      </w:r>
    </w:p>
    <w:p w:rsidR="00F304BF" w:rsidRDefault="000D3F26">
      <w:pPr>
        <w:numPr>
          <w:ilvl w:val="0"/>
          <w:numId w:val="11"/>
        </w:numPr>
        <w:ind w:hanging="202"/>
      </w:pPr>
      <w:r>
        <w:rPr>
          <w:b/>
        </w:rPr>
        <w:t>Cultural Barriers</w:t>
      </w:r>
      <w:r>
        <w:t xml:space="preserve">: Faculty may resist ”additional” train- </w:t>
      </w:r>
      <w:proofErr w:type="spellStart"/>
      <w:r>
        <w:t>ing</w:t>
      </w:r>
      <w:proofErr w:type="spellEnd"/>
      <w:r>
        <w:t xml:space="preserve"> requirements </w:t>
      </w:r>
    </w:p>
    <w:p w:rsidR="00F304BF" w:rsidRDefault="000D3F26">
      <w:pPr>
        <w:spacing w:after="0" w:line="259" w:lineRule="auto"/>
        <w:ind w:left="0" w:firstLine="0"/>
        <w:jc w:val="left"/>
      </w:pPr>
      <w:r>
        <w:t xml:space="preserve"> </w:t>
      </w:r>
    </w:p>
    <w:p w:rsidR="00F304BF" w:rsidRDefault="000D3F26">
      <w:pPr>
        <w:pStyle w:val="Heading1"/>
        <w:spacing w:after="89"/>
        <w:ind w:left="269" w:right="1214"/>
      </w:pPr>
      <w:r>
        <w:t>D.</w:t>
      </w:r>
      <w:r>
        <w:rPr>
          <w:rFonts w:ascii="Arial" w:eastAsia="Arial" w:hAnsi="Arial" w:cs="Arial"/>
        </w:rPr>
        <w:t xml:space="preserve"> </w:t>
      </w:r>
      <w:r>
        <w:t>Recommendations for Institutions</w:t>
      </w:r>
      <w:r>
        <w:t xml:space="preserve"> </w:t>
      </w:r>
    </w:p>
    <w:p w:rsidR="00F304BF" w:rsidRDefault="000D3F26">
      <w:pPr>
        <w:spacing w:after="61"/>
        <w:ind w:left="466"/>
      </w:pPr>
      <w:r>
        <w:t xml:space="preserve">Based on our findings, we recommend: </w:t>
      </w:r>
    </w:p>
    <w:p w:rsidR="00F304BF" w:rsidRDefault="000D3F26">
      <w:pPr>
        <w:numPr>
          <w:ilvl w:val="0"/>
          <w:numId w:val="12"/>
        </w:numPr>
        <w:ind w:hanging="288"/>
      </w:pPr>
      <w:r>
        <w:t xml:space="preserve">Adopt the AILA-EGT framework in its entirety rather than piecemeal </w:t>
      </w:r>
    </w:p>
    <w:p w:rsidR="00F304BF" w:rsidRDefault="000D3F26">
      <w:pPr>
        <w:numPr>
          <w:ilvl w:val="0"/>
          <w:numId w:val="12"/>
        </w:numPr>
        <w:ind w:hanging="288"/>
      </w:pPr>
      <w:r>
        <w:t xml:space="preserve">Begin with Phase 1 foundational components regardless of resources </w:t>
      </w:r>
    </w:p>
    <w:p w:rsidR="00F304BF" w:rsidRDefault="000D3F26">
      <w:pPr>
        <w:numPr>
          <w:ilvl w:val="0"/>
          <w:numId w:val="12"/>
        </w:numPr>
        <w:ind w:hanging="288"/>
      </w:pPr>
      <w:r>
        <w:t xml:space="preserve">Leverage consortium models for shared legal and tech- </w:t>
      </w:r>
      <w:proofErr w:type="spellStart"/>
      <w:r>
        <w:t>nical</w:t>
      </w:r>
      <w:proofErr w:type="spellEnd"/>
      <w:r>
        <w:t xml:space="preserve"> expertise </w:t>
      </w:r>
    </w:p>
    <w:p w:rsidR="00F304BF" w:rsidRDefault="000D3F26">
      <w:pPr>
        <w:numPr>
          <w:ilvl w:val="0"/>
          <w:numId w:val="12"/>
        </w:numPr>
        <w:ind w:hanging="288"/>
      </w:pPr>
      <w:r>
        <w:t xml:space="preserve">Conduct </w:t>
      </w:r>
      <w:r>
        <w:t xml:space="preserve">regular audits and publicly report results </w:t>
      </w:r>
    </w:p>
    <w:p w:rsidR="00F304BF" w:rsidRDefault="000D3F26">
      <w:pPr>
        <w:numPr>
          <w:ilvl w:val="0"/>
          <w:numId w:val="12"/>
        </w:numPr>
        <w:ind w:hanging="288"/>
      </w:pPr>
      <w:r>
        <w:t xml:space="preserve">Involve students in governance through IEC-LA </w:t>
      </w:r>
      <w:proofErr w:type="spellStart"/>
      <w:r>
        <w:t>repre</w:t>
      </w:r>
      <w:proofErr w:type="spellEnd"/>
      <w:r>
        <w:t xml:space="preserve">- </w:t>
      </w:r>
      <w:proofErr w:type="spellStart"/>
      <w:r>
        <w:t>sentation</w:t>
      </w:r>
      <w:proofErr w:type="spellEnd"/>
      <w:r>
        <w:t xml:space="preserve"> </w:t>
      </w:r>
    </w:p>
    <w:p w:rsidR="00F304BF" w:rsidRDefault="000D3F26">
      <w:pPr>
        <w:spacing w:after="45" w:line="259" w:lineRule="auto"/>
        <w:ind w:left="121" w:right="221"/>
        <w:jc w:val="center"/>
      </w:pPr>
      <w:r>
        <w:t>VIII.</w:t>
      </w:r>
      <w:r>
        <w:rPr>
          <w:rFonts w:ascii="Arial" w:eastAsia="Arial" w:hAnsi="Arial" w:cs="Arial"/>
        </w:rPr>
        <w:t xml:space="preserve"> </w:t>
      </w:r>
      <w:r>
        <w:t xml:space="preserve">CONCLUSION </w:t>
      </w:r>
    </w:p>
    <w:p w:rsidR="00F304BF" w:rsidRDefault="000D3F26">
      <w:pPr>
        <w:ind w:left="-15" w:firstLine="202"/>
      </w:pPr>
      <w:r>
        <w:t>This paper has examined the ethical and privacy challenges that arise from the deployment of AI-based learning analytics in educat</w:t>
      </w:r>
      <w:r>
        <w:t xml:space="preserve">ional contexts. The key findings demonstrate that: </w:t>
      </w:r>
    </w:p>
    <w:p w:rsidR="00F304BF" w:rsidRDefault="000D3F26">
      <w:pPr>
        <w:numPr>
          <w:ilvl w:val="0"/>
          <w:numId w:val="13"/>
        </w:numPr>
        <w:ind w:hanging="283"/>
      </w:pPr>
      <w:r>
        <w:t xml:space="preserve">AILA systems routinely collect and </w:t>
      </w:r>
      <w:proofErr w:type="spellStart"/>
      <w:r>
        <w:t>analyze</w:t>
      </w:r>
      <w:proofErr w:type="spellEnd"/>
      <w:r>
        <w:t xml:space="preserve"> sensitive student data under conditions that fall far short of meaningful informed consent </w:t>
      </w:r>
    </w:p>
    <w:p w:rsidR="00F304BF" w:rsidRDefault="000D3F26">
      <w:pPr>
        <w:numPr>
          <w:ilvl w:val="0"/>
          <w:numId w:val="13"/>
        </w:numPr>
        <w:ind w:hanging="283"/>
      </w:pPr>
      <w:r>
        <w:t xml:space="preserve">Algorithmic bias is systemic, with students from marginalized groups </w:t>
      </w:r>
      <w:r>
        <w:t xml:space="preserve">consistently over-flagged </w:t>
      </w:r>
    </w:p>
    <w:p w:rsidR="00F304BF" w:rsidRDefault="000D3F26">
      <w:pPr>
        <w:numPr>
          <w:ilvl w:val="0"/>
          <w:numId w:val="13"/>
        </w:numPr>
        <w:ind w:hanging="283"/>
      </w:pPr>
      <w:r>
        <w:t xml:space="preserve">Regulatory frameworks are fragmented, outdated, and inadequately enforced </w:t>
      </w:r>
    </w:p>
    <w:p w:rsidR="00F304BF" w:rsidRDefault="000D3F26">
      <w:pPr>
        <w:numPr>
          <w:ilvl w:val="0"/>
          <w:numId w:val="13"/>
        </w:numPr>
        <w:ind w:hanging="283"/>
      </w:pPr>
      <w:r>
        <w:t xml:space="preserve">Institutional capacity for ethical governance is grossly inadequate </w:t>
      </w:r>
    </w:p>
    <w:p w:rsidR="00F304BF" w:rsidRDefault="000D3F26">
      <w:pPr>
        <w:numPr>
          <w:ilvl w:val="0"/>
          <w:numId w:val="13"/>
        </w:numPr>
        <w:ind w:hanging="283"/>
      </w:pPr>
      <w:r>
        <w:t xml:space="preserve">The consequences of ethical failures include direct </w:t>
      </w:r>
      <w:proofErr w:type="spellStart"/>
      <w:r>
        <w:t>stu</w:t>
      </w:r>
      <w:proofErr w:type="spellEnd"/>
      <w:r>
        <w:t>- dent harm, institutional lia</w:t>
      </w:r>
      <w:r>
        <w:t xml:space="preserve">bility, and erosion of trust </w:t>
      </w:r>
    </w:p>
    <w:p w:rsidR="00F304BF" w:rsidRDefault="000D3F26">
      <w:pPr>
        <w:spacing w:after="82"/>
        <w:ind w:left="-15" w:firstLine="202"/>
      </w:pPr>
      <w:r>
        <w:t xml:space="preserve">The </w:t>
      </w:r>
      <w:r>
        <w:rPr>
          <w:b/>
        </w:rPr>
        <w:t xml:space="preserve">AILA Ethical Governance Toolkit </w:t>
      </w:r>
      <w:r>
        <w:t xml:space="preserve">proposed provides a concrete, actionable framework for addressing these </w:t>
      </w:r>
      <w:proofErr w:type="spellStart"/>
      <w:r>
        <w:t>chal</w:t>
      </w:r>
      <w:proofErr w:type="spellEnd"/>
      <w:r>
        <w:t xml:space="preserve">- </w:t>
      </w:r>
      <w:proofErr w:type="spellStart"/>
      <w:r>
        <w:t>lenges</w:t>
      </w:r>
      <w:proofErr w:type="spellEnd"/>
      <w:r>
        <w:t>. By offering five integrated components—AIA Proto- col, Student Dashboard, Training Curriculum, Vendor St</w:t>
      </w:r>
      <w:r>
        <w:t xml:space="preserve">an- </w:t>
      </w:r>
      <w:proofErr w:type="spellStart"/>
      <w:r>
        <w:t>dards</w:t>
      </w:r>
      <w:proofErr w:type="spellEnd"/>
      <w:r>
        <w:t xml:space="preserve">, and Ethics </w:t>
      </w:r>
      <w:r>
        <w:t xml:space="preserve">Committee Framework—the toolkit bridges the gap between ethical principle and operational reality. </w:t>
      </w:r>
    </w:p>
    <w:p w:rsidR="00F304BF" w:rsidRDefault="000D3F26">
      <w:pPr>
        <w:pStyle w:val="Heading1"/>
        <w:ind w:left="-5" w:right="1214"/>
      </w:pPr>
      <w:r>
        <w:t>A.</w:t>
      </w:r>
      <w:r>
        <w:rPr>
          <w:rFonts w:ascii="Arial" w:eastAsia="Arial" w:hAnsi="Arial" w:cs="Arial"/>
        </w:rPr>
        <w:t xml:space="preserve"> </w:t>
      </w:r>
      <w:r>
        <w:t xml:space="preserve">Implications for Practice </w:t>
      </w:r>
    </w:p>
    <w:p w:rsidR="00F304BF" w:rsidRDefault="000D3F26">
      <w:pPr>
        <w:spacing w:after="87"/>
        <w:ind w:left="-15" w:firstLine="202"/>
      </w:pPr>
      <w:r>
        <w:t xml:space="preserve">For educational institutions, this research provides a roadmap for responsible AILA implementation. For </w:t>
      </w:r>
      <w:r>
        <w:t xml:space="preserve">policy- makers, it highlights the need for updated regulatory frame- works that address the unique challenges of AI-powered analytics. For technology vendors, it establishes expectations for transparency, fairness, and accountability. </w:t>
      </w:r>
    </w:p>
    <w:p w:rsidR="00F304BF" w:rsidRDefault="000D3F26">
      <w:pPr>
        <w:spacing w:line="301" w:lineRule="auto"/>
        <w:ind w:left="187" w:right="2067" w:hanging="202"/>
      </w:pPr>
      <w:r>
        <w:rPr>
          <w:i/>
        </w:rPr>
        <w:t>B.</w:t>
      </w:r>
      <w:r>
        <w:rPr>
          <w:rFonts w:ascii="Arial" w:eastAsia="Arial" w:hAnsi="Arial" w:cs="Arial"/>
          <w:i/>
        </w:rPr>
        <w:t xml:space="preserve"> </w:t>
      </w:r>
      <w:r>
        <w:rPr>
          <w:i/>
        </w:rPr>
        <w:t>Limitations of Th</w:t>
      </w:r>
      <w:r>
        <w:rPr>
          <w:i/>
        </w:rPr>
        <w:t xml:space="preserve">is Study </w:t>
      </w:r>
      <w:r>
        <w:t xml:space="preserve">This study has several limitations: </w:t>
      </w:r>
    </w:p>
    <w:p w:rsidR="00F304BF" w:rsidRDefault="000D3F26">
      <w:pPr>
        <w:numPr>
          <w:ilvl w:val="0"/>
          <w:numId w:val="14"/>
        </w:numPr>
        <w:ind w:left="404" w:hanging="202"/>
      </w:pPr>
      <w:r>
        <w:t xml:space="preserve">Geographic bias in literature (primarily North America and Europe) </w:t>
      </w:r>
    </w:p>
    <w:p w:rsidR="00F304BF" w:rsidRDefault="000D3F26">
      <w:pPr>
        <w:numPr>
          <w:ilvl w:val="0"/>
          <w:numId w:val="14"/>
        </w:numPr>
        <w:ind w:left="404" w:hanging="202"/>
      </w:pPr>
      <w:r>
        <w:t xml:space="preserve">Publication bias </w:t>
      </w:r>
      <w:proofErr w:type="spellStart"/>
      <w:r>
        <w:t>favoring</w:t>
      </w:r>
      <w:proofErr w:type="spellEnd"/>
      <w:r>
        <w:t xml:space="preserve"> positive results </w:t>
      </w:r>
    </w:p>
    <w:p w:rsidR="00F304BF" w:rsidRDefault="000D3F26">
      <w:pPr>
        <w:numPr>
          <w:ilvl w:val="0"/>
          <w:numId w:val="14"/>
        </w:numPr>
        <w:ind w:left="404" w:hanging="202"/>
      </w:pPr>
      <w:r>
        <w:t xml:space="preserve">Rapidly evolving technology landscape may outpace find- </w:t>
      </w:r>
      <w:proofErr w:type="spellStart"/>
      <w:r>
        <w:t>ings</w:t>
      </w:r>
      <w:proofErr w:type="spellEnd"/>
      <w:r>
        <w:t xml:space="preserve"> </w:t>
      </w:r>
    </w:p>
    <w:p w:rsidR="00F304BF" w:rsidRDefault="000D3F26">
      <w:pPr>
        <w:numPr>
          <w:ilvl w:val="0"/>
          <w:numId w:val="14"/>
        </w:numPr>
        <w:spacing w:after="81"/>
        <w:ind w:left="404" w:hanging="202"/>
      </w:pPr>
      <w:r>
        <w:t xml:space="preserve">Limited longitudinal data on </w:t>
      </w:r>
      <w:r>
        <w:t xml:space="preserve">governance effectiveness </w:t>
      </w:r>
    </w:p>
    <w:p w:rsidR="00F304BF" w:rsidRDefault="000D3F26">
      <w:pPr>
        <w:spacing w:after="45" w:line="259" w:lineRule="auto"/>
        <w:ind w:left="121" w:right="171"/>
        <w:jc w:val="center"/>
      </w:pPr>
      <w:r>
        <w:t>IX.</w:t>
      </w:r>
      <w:r>
        <w:rPr>
          <w:rFonts w:ascii="Arial" w:eastAsia="Arial" w:hAnsi="Arial" w:cs="Arial"/>
        </w:rPr>
        <w:t xml:space="preserve"> </w:t>
      </w:r>
      <w:r>
        <w:t xml:space="preserve">FUTURE SCOPE </w:t>
      </w:r>
    </w:p>
    <w:p w:rsidR="00F304BF" w:rsidRDefault="000D3F26">
      <w:pPr>
        <w:pStyle w:val="Heading1"/>
        <w:ind w:left="-5" w:right="1214"/>
      </w:pPr>
      <w:r>
        <w:t>A.</w:t>
      </w:r>
      <w:r>
        <w:rPr>
          <w:rFonts w:ascii="Arial" w:eastAsia="Arial" w:hAnsi="Arial" w:cs="Arial"/>
        </w:rPr>
        <w:t xml:space="preserve"> </w:t>
      </w:r>
      <w:r>
        <w:t xml:space="preserve">Privacy-Preserving Analytics Architectures </w:t>
      </w:r>
    </w:p>
    <w:p w:rsidR="00F304BF" w:rsidRDefault="000D3F26">
      <w:pPr>
        <w:spacing w:after="83"/>
        <w:ind w:left="-15" w:firstLine="202"/>
      </w:pPr>
      <w:r>
        <w:t xml:space="preserve">Federated learning and differential privacy offer </w:t>
      </w:r>
      <w:proofErr w:type="spellStart"/>
      <w:r>
        <w:t>techni</w:t>
      </w:r>
      <w:proofErr w:type="spellEnd"/>
      <w:r>
        <w:t xml:space="preserve">- </w:t>
      </w:r>
      <w:proofErr w:type="spellStart"/>
      <w:r>
        <w:t>cal</w:t>
      </w:r>
      <w:proofErr w:type="spellEnd"/>
      <w:r>
        <w:t xml:space="preserve"> pathways to AILA that do not require centralization of sensitive student data. Early experiments applyi</w:t>
      </w:r>
      <w:r>
        <w:t xml:space="preserve">ng federated learning to dropout prediction have yielded accuracy levels within 3-5% of centralized training while dramatically </w:t>
      </w:r>
      <w:proofErr w:type="spellStart"/>
      <w:r>
        <w:t>reduc</w:t>
      </w:r>
      <w:proofErr w:type="spellEnd"/>
      <w:r>
        <w:t xml:space="preserve">- </w:t>
      </w:r>
      <w:proofErr w:type="spellStart"/>
      <w:r>
        <w:t>ing</w:t>
      </w:r>
      <w:proofErr w:type="spellEnd"/>
      <w:r>
        <w:t xml:space="preserve"> privacy exposure [11]. As regulatory environments tighten, federated approaches will likely become the architecture o</w:t>
      </w:r>
      <w:r>
        <w:t xml:space="preserve">f choice for cross-institutional AILA. </w:t>
      </w:r>
    </w:p>
    <w:p w:rsidR="00F304BF" w:rsidRDefault="000D3F26">
      <w:pPr>
        <w:pStyle w:val="Heading1"/>
        <w:ind w:left="-5" w:right="1214"/>
      </w:pPr>
      <w:r>
        <w:t>B.</w:t>
      </w:r>
      <w:r>
        <w:rPr>
          <w:rFonts w:ascii="Arial" w:eastAsia="Arial" w:hAnsi="Arial" w:cs="Arial"/>
        </w:rPr>
        <w:t xml:space="preserve"> </w:t>
      </w:r>
      <w:r>
        <w:t xml:space="preserve">Participatory Design Methodologies </w:t>
      </w:r>
    </w:p>
    <w:p w:rsidR="00F304BF" w:rsidRDefault="000D3F26">
      <w:pPr>
        <w:ind w:left="-15" w:firstLine="202"/>
      </w:pPr>
      <w:r>
        <w:t xml:space="preserve">Engaging students as co-designers of analytics systems offers promise for developing more transparent, trustworthy tools. Early experiments with student co-design have produced </w:t>
      </w:r>
      <w:r>
        <w:t xml:space="preserve">systems with higher transparency, greater trust, and more </w:t>
      </w:r>
      <w:proofErr w:type="spellStart"/>
      <w:r>
        <w:t>ap</w:t>
      </w:r>
      <w:proofErr w:type="spellEnd"/>
      <w:r>
        <w:t xml:space="preserve">- </w:t>
      </w:r>
      <w:proofErr w:type="spellStart"/>
      <w:r>
        <w:t>propriate</w:t>
      </w:r>
      <w:proofErr w:type="spellEnd"/>
      <w:r>
        <w:t xml:space="preserve"> feature selection [4]. Scaling these approaches while maintaining meaningful participation remains a challenge. </w:t>
      </w:r>
    </w:p>
    <w:p w:rsidR="00F304BF" w:rsidRDefault="00F304BF">
      <w:pPr>
        <w:sectPr w:rsidR="00F304BF">
          <w:type w:val="continuous"/>
          <w:pgSz w:w="12240" w:h="15840"/>
          <w:pgMar w:top="929" w:right="965" w:bottom="1483" w:left="720" w:header="720" w:footer="720" w:gutter="0"/>
          <w:cols w:num="2" w:space="720" w:equalWidth="0">
            <w:col w:w="5223" w:space="403"/>
            <w:col w:w="4929"/>
          </w:cols>
        </w:sectPr>
      </w:pPr>
    </w:p>
    <w:p w:rsidR="00F304BF" w:rsidRDefault="000D3F26">
      <w:pPr>
        <w:spacing w:after="129"/>
        <w:ind w:left="-5"/>
      </w:pPr>
      <w:r>
        <w:rPr>
          <w:i/>
        </w:rPr>
        <w:t>C.</w:t>
      </w:r>
      <w:r>
        <w:rPr>
          <w:rFonts w:ascii="Arial" w:eastAsia="Arial" w:hAnsi="Arial" w:cs="Arial"/>
          <w:i/>
        </w:rPr>
        <w:t xml:space="preserve"> </w:t>
      </w:r>
      <w:r>
        <w:rPr>
          <w:i/>
        </w:rPr>
        <w:t xml:space="preserve">Professional Ethics Standards     </w:t>
      </w:r>
      <w:r>
        <w:rPr>
          <w:sz w:val="16"/>
        </w:rPr>
        <w:t>Human Well-</w:t>
      </w:r>
      <w:r>
        <w:rPr>
          <w:sz w:val="16"/>
        </w:rPr>
        <w:t>being with Autonomous and Intelligent Systems.</w:t>
      </w:r>
      <w:r>
        <w:rPr>
          <w:i/>
        </w:rPr>
        <w:t xml:space="preserve"> </w:t>
      </w:r>
      <w:r>
        <w:t xml:space="preserve">The educational data science workforce currently lacks professional ethics standards comparable to those in fields like clinical psychology or social work. Development of </w:t>
      </w:r>
      <w:proofErr w:type="spellStart"/>
      <w:r>
        <w:t>cer</w:t>
      </w:r>
      <w:proofErr w:type="spellEnd"/>
      <w:r>
        <w:t xml:space="preserve">- </w:t>
      </w:r>
      <w:proofErr w:type="spellStart"/>
      <w:r>
        <w:t>tification</w:t>
      </w:r>
      <w:proofErr w:type="spellEnd"/>
      <w:r>
        <w:t xml:space="preserve">, continuing education </w:t>
      </w:r>
      <w:r>
        <w:t xml:space="preserve">requirements, and enforceable codes of conduct for educational data scientists represents a critical priority. </w:t>
      </w:r>
    </w:p>
    <w:p w:rsidR="00F304BF" w:rsidRDefault="000D3F26">
      <w:pPr>
        <w:pStyle w:val="Heading1"/>
        <w:ind w:left="-5" w:right="1214"/>
      </w:pPr>
      <w:r>
        <w:t>D.</w:t>
      </w:r>
      <w:r>
        <w:rPr>
          <w:rFonts w:ascii="Arial" w:eastAsia="Arial" w:hAnsi="Arial" w:cs="Arial"/>
        </w:rPr>
        <w:t xml:space="preserve"> </w:t>
      </w:r>
      <w:r>
        <w:t xml:space="preserve">Cross-Cultural and Global Equity </w:t>
      </w:r>
    </w:p>
    <w:p w:rsidR="00F304BF" w:rsidRDefault="000D3F26">
      <w:pPr>
        <w:spacing w:after="135"/>
        <w:ind w:left="-15" w:right="5191" w:firstLine="197"/>
      </w:pPr>
      <w:r>
        <w:t>The overwhelming majority of AILA research originates from North America, Western Europe, and East Asia. Th</w:t>
      </w:r>
      <w:r>
        <w:t xml:space="preserve">e applicability of models trained in these contexts to learners in sub-Saharan Africa, South Asia, or Latin America is largely untested. Building research capacity and datasets in </w:t>
      </w:r>
      <w:proofErr w:type="spellStart"/>
      <w:r>
        <w:t>underrep</w:t>
      </w:r>
      <w:proofErr w:type="spellEnd"/>
      <w:r>
        <w:t xml:space="preserve">- resented contexts is an ethical and scientific priority. </w:t>
      </w:r>
    </w:p>
    <w:p w:rsidR="00F304BF" w:rsidRDefault="000D3F26">
      <w:pPr>
        <w:pStyle w:val="Heading1"/>
        <w:ind w:left="-5" w:right="1214"/>
      </w:pPr>
      <w:r>
        <w:t>E.</w:t>
      </w:r>
      <w:r>
        <w:rPr>
          <w:rFonts w:ascii="Arial" w:eastAsia="Arial" w:hAnsi="Arial" w:cs="Arial"/>
        </w:rPr>
        <w:t xml:space="preserve"> </w:t>
      </w:r>
      <w:r>
        <w:t xml:space="preserve">Longitudinal Impact Evaluation </w:t>
      </w:r>
    </w:p>
    <w:p w:rsidR="00F304BF" w:rsidRDefault="000D3F26">
      <w:pPr>
        <w:spacing w:after="133"/>
        <w:ind w:left="-15" w:right="5190" w:firstLine="197"/>
      </w:pPr>
      <w:r>
        <w:t>Most existing AILA evaluations measure short-term out- comes—assessment performance, semester retention—rather than long-term educational and life outcomes. Establishing longitudinal research programs that follow AILA-expose</w:t>
      </w:r>
      <w:r>
        <w:t xml:space="preserve">d and </w:t>
      </w:r>
      <w:r>
        <w:lastRenderedPageBreak/>
        <w:t xml:space="preserve">comparison cohorts through graduation, employment, and beyond is essential. </w:t>
      </w:r>
    </w:p>
    <w:p w:rsidR="00F304BF" w:rsidRDefault="000D3F26">
      <w:pPr>
        <w:spacing w:after="59"/>
        <w:ind w:left="1537"/>
      </w:pPr>
      <w:r>
        <w:t xml:space="preserve">ACKNOWLEDGMENT </w:t>
      </w:r>
    </w:p>
    <w:p w:rsidR="00F304BF" w:rsidRDefault="000D3F26">
      <w:pPr>
        <w:spacing w:after="165"/>
        <w:ind w:left="-15" w:right="5191" w:firstLine="197"/>
      </w:pPr>
      <w:r>
        <w:t xml:space="preserve">The authors would like to acknowledge the support </w:t>
      </w:r>
      <w:r>
        <w:t xml:space="preserve">of the Department of Computer Science Engineering and the participating institutions whose insights contributed to this research. Special thanks to the students and educators who participated in focus groups and pilot testing. </w:t>
      </w:r>
    </w:p>
    <w:p w:rsidR="00F304BF" w:rsidRDefault="000D3F26">
      <w:pPr>
        <w:spacing w:after="4" w:line="234" w:lineRule="auto"/>
        <w:ind w:left="2007" w:right="5186" w:firstLine="0"/>
      </w:pPr>
      <w:r>
        <w:t>R</w:t>
      </w:r>
      <w:r>
        <w:rPr>
          <w:sz w:val="16"/>
        </w:rPr>
        <w:t>EFERENCES</w:t>
      </w:r>
      <w:r>
        <w:t xml:space="preserve"> </w:t>
      </w:r>
    </w:p>
    <w:p w:rsidR="00F304BF" w:rsidRDefault="000D3F26">
      <w:pPr>
        <w:numPr>
          <w:ilvl w:val="0"/>
          <w:numId w:val="15"/>
        </w:numPr>
        <w:spacing w:after="4" w:line="234" w:lineRule="auto"/>
        <w:ind w:right="5186" w:hanging="288"/>
      </w:pPr>
      <w:r>
        <w:rPr>
          <w:sz w:val="16"/>
        </w:rPr>
        <w:t>Learning Analyti</w:t>
      </w:r>
      <w:r>
        <w:rPr>
          <w:sz w:val="16"/>
        </w:rPr>
        <w:t xml:space="preserve">cs: Ethical Issues and Dilemmas — Sharon Slade &amp; Paul </w:t>
      </w:r>
      <w:proofErr w:type="spellStart"/>
      <w:r>
        <w:rPr>
          <w:sz w:val="16"/>
        </w:rPr>
        <w:t>Prinsloo</w:t>
      </w:r>
      <w:proofErr w:type="spellEnd"/>
      <w:r>
        <w:rPr>
          <w:sz w:val="16"/>
        </w:rPr>
        <w:t xml:space="preserve">, 2013. </w:t>
      </w:r>
    </w:p>
    <w:p w:rsidR="00F304BF" w:rsidRDefault="000D3F26">
      <w:pPr>
        <w:numPr>
          <w:ilvl w:val="0"/>
          <w:numId w:val="15"/>
        </w:numPr>
        <w:spacing w:after="4" w:line="234" w:lineRule="auto"/>
        <w:ind w:right="5186" w:hanging="288"/>
      </w:pPr>
      <w:r>
        <w:rPr>
          <w:sz w:val="16"/>
        </w:rPr>
        <w:t xml:space="preserve">Ethical and Privacy Principles for Learning Analytics — </w:t>
      </w:r>
      <w:proofErr w:type="spellStart"/>
      <w:r>
        <w:rPr>
          <w:sz w:val="16"/>
        </w:rPr>
        <w:t>Abelardo</w:t>
      </w:r>
      <w:proofErr w:type="spellEnd"/>
      <w:r>
        <w:rPr>
          <w:sz w:val="16"/>
        </w:rPr>
        <w:t xml:space="preserve"> Pardo &amp; George Siemens, 2014. </w:t>
      </w:r>
    </w:p>
    <w:p w:rsidR="00F304BF" w:rsidRDefault="000D3F26">
      <w:pPr>
        <w:numPr>
          <w:ilvl w:val="0"/>
          <w:numId w:val="15"/>
        </w:numPr>
        <w:spacing w:after="4" w:line="234" w:lineRule="auto"/>
        <w:ind w:right="5186" w:hanging="288"/>
      </w:pPr>
      <w:r>
        <w:rPr>
          <w:sz w:val="16"/>
        </w:rPr>
        <w:t xml:space="preserve">A Data Protection Framework for Learning Analytics — Andrew Nicholas Cormack, 2016. </w:t>
      </w:r>
    </w:p>
    <w:p w:rsidR="00F304BF" w:rsidRDefault="000D3F26">
      <w:pPr>
        <w:numPr>
          <w:ilvl w:val="0"/>
          <w:numId w:val="15"/>
        </w:numPr>
        <w:spacing w:after="4" w:line="234" w:lineRule="auto"/>
        <w:ind w:right="5186" w:hanging="288"/>
      </w:pPr>
      <w:r>
        <w:rPr>
          <w:sz w:val="16"/>
        </w:rPr>
        <w:t xml:space="preserve">LEA </w:t>
      </w:r>
      <w:r>
        <w:rPr>
          <w:sz w:val="16"/>
        </w:rPr>
        <w:t xml:space="preserve">in Private: A Privacy and Data Protection Framework for a Learning Analytics Toolbox — Christina M. Steiner et al., 2016. </w:t>
      </w:r>
    </w:p>
    <w:p w:rsidR="00F304BF" w:rsidRDefault="000D3F26">
      <w:pPr>
        <w:numPr>
          <w:ilvl w:val="0"/>
          <w:numId w:val="15"/>
        </w:numPr>
        <w:spacing w:after="4" w:line="234" w:lineRule="auto"/>
        <w:ind w:right="5186" w:hanging="288"/>
      </w:pPr>
      <w:r>
        <w:rPr>
          <w:sz w:val="16"/>
        </w:rPr>
        <w:t xml:space="preserve">Ethical Challenges for Learning Analytics — Rebecca Ferguson, 2019. </w:t>
      </w:r>
    </w:p>
    <w:p w:rsidR="00F304BF" w:rsidRDefault="000D3F26">
      <w:pPr>
        <w:numPr>
          <w:ilvl w:val="0"/>
          <w:numId w:val="15"/>
        </w:numPr>
        <w:spacing w:after="4" w:line="234" w:lineRule="auto"/>
        <w:ind w:right="5186" w:hanging="288"/>
      </w:pPr>
      <w:r>
        <w:rPr>
          <w:sz w:val="16"/>
        </w:rPr>
        <w:t>Mapping the Ethics of Learning Analytics in Higher Education — T</w:t>
      </w:r>
      <w:r>
        <w:rPr>
          <w:sz w:val="16"/>
        </w:rPr>
        <w:t xml:space="preserve">eresa </w:t>
      </w:r>
      <w:proofErr w:type="spellStart"/>
      <w:r>
        <w:rPr>
          <w:sz w:val="16"/>
        </w:rPr>
        <w:t>Cerratto</w:t>
      </w:r>
      <w:proofErr w:type="spellEnd"/>
      <w:r>
        <w:rPr>
          <w:sz w:val="16"/>
        </w:rPr>
        <w:t xml:space="preserve"> </w:t>
      </w:r>
      <w:proofErr w:type="spellStart"/>
      <w:r>
        <w:rPr>
          <w:sz w:val="16"/>
        </w:rPr>
        <w:t>Pargman</w:t>
      </w:r>
      <w:proofErr w:type="spellEnd"/>
      <w:r>
        <w:rPr>
          <w:sz w:val="16"/>
        </w:rPr>
        <w:t xml:space="preserve"> &amp; Cormac McGrath, 2021. </w:t>
      </w:r>
    </w:p>
    <w:p w:rsidR="00F304BF" w:rsidRDefault="000D3F26">
      <w:pPr>
        <w:numPr>
          <w:ilvl w:val="0"/>
          <w:numId w:val="15"/>
        </w:numPr>
        <w:spacing w:after="4" w:line="234" w:lineRule="auto"/>
        <w:ind w:right="5186" w:hanging="288"/>
      </w:pPr>
      <w:r>
        <w:rPr>
          <w:sz w:val="16"/>
        </w:rPr>
        <w:t xml:space="preserve">Understanding Privacy and Data Protection Issues in Learning Analytics Using a Systematic Review — </w:t>
      </w:r>
      <w:proofErr w:type="spellStart"/>
      <w:r>
        <w:rPr>
          <w:sz w:val="16"/>
        </w:rPr>
        <w:t>Qinyi</w:t>
      </w:r>
      <w:proofErr w:type="spellEnd"/>
      <w:r>
        <w:rPr>
          <w:sz w:val="16"/>
        </w:rPr>
        <w:t xml:space="preserve"> Liu &amp; Mohammad Khalil, 2023. </w:t>
      </w:r>
    </w:p>
    <w:p w:rsidR="00F304BF" w:rsidRDefault="000D3F26">
      <w:pPr>
        <w:numPr>
          <w:ilvl w:val="0"/>
          <w:numId w:val="15"/>
        </w:numPr>
        <w:spacing w:after="4" w:line="234" w:lineRule="auto"/>
        <w:ind w:right="5186" w:hanging="288"/>
      </w:pPr>
      <w:r>
        <w:rPr>
          <w:sz w:val="16"/>
        </w:rPr>
        <w:t>Learning Analytics and Higher Education: A Proposed Model for Establishin</w:t>
      </w:r>
      <w:r>
        <w:rPr>
          <w:sz w:val="16"/>
        </w:rPr>
        <w:t xml:space="preserve">g Informed Consent Mechanisms to Promote Student Privacy and Autonomy — Kyle M. L. Jones, 2019. </w:t>
      </w:r>
    </w:p>
    <w:p w:rsidR="00F304BF" w:rsidRDefault="000D3F26">
      <w:pPr>
        <w:numPr>
          <w:ilvl w:val="0"/>
          <w:numId w:val="15"/>
        </w:numPr>
        <w:spacing w:after="31" w:line="234" w:lineRule="auto"/>
        <w:ind w:right="5186" w:hanging="288"/>
      </w:pPr>
      <w:r>
        <w:rPr>
          <w:sz w:val="16"/>
        </w:rPr>
        <w:t xml:space="preserve">The Ethical Issues of Learning Analytics in Their Historical Context — Dai Griffiths, 2020. </w:t>
      </w:r>
    </w:p>
    <w:p w:rsidR="00F304BF" w:rsidRDefault="000D3F26">
      <w:pPr>
        <w:numPr>
          <w:ilvl w:val="0"/>
          <w:numId w:val="15"/>
        </w:numPr>
        <w:spacing w:after="4" w:line="234" w:lineRule="auto"/>
        <w:ind w:right="5186" w:hanging="288"/>
      </w:pPr>
      <w:r>
        <w:rPr>
          <w:sz w:val="16"/>
        </w:rPr>
        <w:t>Disparities in Students’ Propensity to Consent to Learning Analyti</w:t>
      </w:r>
      <w:r>
        <w:rPr>
          <w:sz w:val="16"/>
        </w:rPr>
        <w:t xml:space="preserve">cs — International Journal of Artificial Intelligence in Education, 2021. </w:t>
      </w:r>
    </w:p>
    <w:p w:rsidR="00F304BF" w:rsidRDefault="000D3F26">
      <w:pPr>
        <w:numPr>
          <w:ilvl w:val="0"/>
          <w:numId w:val="15"/>
        </w:numPr>
        <w:spacing w:after="4" w:line="234" w:lineRule="auto"/>
        <w:ind w:right="5186" w:hanging="288"/>
      </w:pPr>
      <w:r>
        <w:rPr>
          <w:sz w:val="16"/>
        </w:rPr>
        <w:t xml:space="preserve">A Comprehensive Primer to Library Learning Analytics Practices, Initiatives, and Privacy Issues — Kyle M.L. Jones et al., 2020. </w:t>
      </w:r>
    </w:p>
    <w:p w:rsidR="00F304BF" w:rsidRDefault="000D3F26">
      <w:pPr>
        <w:numPr>
          <w:ilvl w:val="0"/>
          <w:numId w:val="15"/>
        </w:numPr>
        <w:spacing w:after="4" w:line="234" w:lineRule="auto"/>
        <w:ind w:right="5186" w:hanging="288"/>
      </w:pPr>
      <w:proofErr w:type="spellStart"/>
      <w:r>
        <w:rPr>
          <w:sz w:val="16"/>
        </w:rPr>
        <w:t>ChatGPT</w:t>
      </w:r>
      <w:proofErr w:type="spellEnd"/>
      <w:r>
        <w:rPr>
          <w:sz w:val="16"/>
        </w:rPr>
        <w:t xml:space="preserve"> in Education: A Review of Ethical Challenges</w:t>
      </w:r>
      <w:r>
        <w:rPr>
          <w:sz w:val="16"/>
        </w:rPr>
        <w:t xml:space="preserve"> and Approaches to Enhancing Transparency and Privacy — Procedia Computer Science, 2025. </w:t>
      </w:r>
    </w:p>
    <w:p w:rsidR="00F304BF" w:rsidRDefault="000D3F26">
      <w:pPr>
        <w:numPr>
          <w:ilvl w:val="0"/>
          <w:numId w:val="15"/>
        </w:numPr>
        <w:spacing w:after="4" w:line="234" w:lineRule="auto"/>
        <w:ind w:right="5186" w:hanging="288"/>
      </w:pPr>
      <w:r>
        <w:rPr>
          <w:sz w:val="16"/>
        </w:rPr>
        <w:t xml:space="preserve">Ethics of AI: A Systematic Literature Review of Principles and Challenges — </w:t>
      </w:r>
      <w:proofErr w:type="spellStart"/>
      <w:r>
        <w:rPr>
          <w:sz w:val="16"/>
        </w:rPr>
        <w:t>Arif</w:t>
      </w:r>
      <w:proofErr w:type="spellEnd"/>
      <w:r>
        <w:rPr>
          <w:sz w:val="16"/>
        </w:rPr>
        <w:t xml:space="preserve"> Ali Khan et al., 2021. </w:t>
      </w:r>
    </w:p>
    <w:p w:rsidR="00F304BF" w:rsidRDefault="000D3F26">
      <w:pPr>
        <w:numPr>
          <w:ilvl w:val="0"/>
          <w:numId w:val="15"/>
        </w:numPr>
        <w:spacing w:after="4" w:line="234" w:lineRule="auto"/>
        <w:ind w:right="5186" w:hanging="288"/>
      </w:pPr>
      <w:r>
        <w:rPr>
          <w:sz w:val="16"/>
        </w:rPr>
        <w:t>AI Ethics: An Empirical Study on the Views of Practitioners a</w:t>
      </w:r>
      <w:r>
        <w:rPr>
          <w:sz w:val="16"/>
        </w:rPr>
        <w:t xml:space="preserve">nd Lawmakers — </w:t>
      </w:r>
      <w:proofErr w:type="spellStart"/>
      <w:r>
        <w:rPr>
          <w:sz w:val="16"/>
        </w:rPr>
        <w:t>Arif</w:t>
      </w:r>
      <w:proofErr w:type="spellEnd"/>
      <w:r>
        <w:rPr>
          <w:sz w:val="16"/>
        </w:rPr>
        <w:t xml:space="preserve"> Ali Khan et al., 2022. </w:t>
      </w:r>
    </w:p>
    <w:p w:rsidR="00F304BF" w:rsidRDefault="000D3F26">
      <w:pPr>
        <w:numPr>
          <w:ilvl w:val="0"/>
          <w:numId w:val="15"/>
        </w:numPr>
        <w:spacing w:after="4" w:line="234" w:lineRule="auto"/>
        <w:ind w:right="5186" w:hanging="288"/>
      </w:pPr>
      <w:r>
        <w:rPr>
          <w:sz w:val="16"/>
        </w:rPr>
        <w:t xml:space="preserve">Ethics in the Age of AI: An Analysis of AI Practitioners' Awareness and Challenges — </w:t>
      </w:r>
      <w:proofErr w:type="spellStart"/>
      <w:r>
        <w:rPr>
          <w:sz w:val="16"/>
        </w:rPr>
        <w:t>Aastha</w:t>
      </w:r>
      <w:proofErr w:type="spellEnd"/>
      <w:r>
        <w:rPr>
          <w:sz w:val="16"/>
        </w:rPr>
        <w:t xml:space="preserve"> Pant et al., 2023. </w:t>
      </w:r>
    </w:p>
    <w:p w:rsidR="00F304BF" w:rsidRDefault="000D3F26">
      <w:pPr>
        <w:numPr>
          <w:ilvl w:val="0"/>
          <w:numId w:val="15"/>
        </w:numPr>
        <w:spacing w:after="4" w:line="234" w:lineRule="auto"/>
        <w:ind w:right="5186" w:hanging="288"/>
      </w:pPr>
      <w:r>
        <w:rPr>
          <w:sz w:val="16"/>
        </w:rPr>
        <w:t xml:space="preserve">Artificial Intelligence: A Modern Approach — Stuart Russell &amp; Peter </w:t>
      </w:r>
      <w:proofErr w:type="spellStart"/>
      <w:r>
        <w:rPr>
          <w:sz w:val="16"/>
        </w:rPr>
        <w:t>Norvig</w:t>
      </w:r>
      <w:proofErr w:type="spellEnd"/>
      <w:r>
        <w:rPr>
          <w:sz w:val="16"/>
        </w:rPr>
        <w:t xml:space="preserve">, Pearson Education. </w:t>
      </w:r>
    </w:p>
    <w:p w:rsidR="00F304BF" w:rsidRDefault="000D3F26">
      <w:pPr>
        <w:numPr>
          <w:ilvl w:val="0"/>
          <w:numId w:val="15"/>
        </w:numPr>
        <w:spacing w:after="4" w:line="234" w:lineRule="auto"/>
        <w:ind w:right="5186" w:hanging="288"/>
      </w:pPr>
      <w:r>
        <w:rPr>
          <w:sz w:val="16"/>
        </w:rPr>
        <w:t>UNES</w:t>
      </w:r>
      <w:r>
        <w:rPr>
          <w:sz w:val="16"/>
        </w:rPr>
        <w:t xml:space="preserve">CO — Recommendation on the Ethics of Artificial Intelligence, 2021. </w:t>
      </w:r>
    </w:p>
    <w:p w:rsidR="00F304BF" w:rsidRDefault="000D3F26">
      <w:pPr>
        <w:numPr>
          <w:ilvl w:val="0"/>
          <w:numId w:val="15"/>
        </w:numPr>
        <w:spacing w:after="4" w:line="234" w:lineRule="auto"/>
        <w:ind w:right="5186" w:hanging="288"/>
      </w:pPr>
      <w:r>
        <w:rPr>
          <w:sz w:val="16"/>
        </w:rPr>
        <w:t xml:space="preserve">European Union — General Data Protection Regulation (GDPR), 2018. </w:t>
      </w:r>
    </w:p>
    <w:p w:rsidR="00F304BF" w:rsidRDefault="000D3F26">
      <w:pPr>
        <w:numPr>
          <w:ilvl w:val="0"/>
          <w:numId w:val="15"/>
        </w:numPr>
        <w:spacing w:after="4" w:line="234" w:lineRule="auto"/>
        <w:ind w:right="5186" w:hanging="288"/>
      </w:pPr>
      <w:r>
        <w:rPr>
          <w:sz w:val="16"/>
        </w:rPr>
        <w:t xml:space="preserve">EDUCAUSE — EDUCAUSE Horizon Report: Teaching and Learning </w:t>
      </w:r>
    </w:p>
    <w:p w:rsidR="00F304BF" w:rsidRDefault="000D3F26">
      <w:pPr>
        <w:spacing w:after="4" w:line="234" w:lineRule="auto"/>
        <w:ind w:left="365" w:right="5186" w:firstLine="0"/>
      </w:pPr>
      <w:r>
        <w:rPr>
          <w:sz w:val="16"/>
        </w:rPr>
        <w:t xml:space="preserve">Edition, 2023. </w:t>
      </w:r>
    </w:p>
    <w:p w:rsidR="00F304BF" w:rsidRDefault="000D3F26">
      <w:pPr>
        <w:numPr>
          <w:ilvl w:val="0"/>
          <w:numId w:val="15"/>
        </w:numPr>
        <w:spacing w:after="4" w:line="234" w:lineRule="auto"/>
        <w:ind w:right="5186" w:hanging="288"/>
      </w:pPr>
      <w:r>
        <w:rPr>
          <w:sz w:val="16"/>
        </w:rPr>
        <w:t xml:space="preserve">IEEE — </w:t>
      </w:r>
      <w:r>
        <w:rPr>
          <w:sz w:val="16"/>
        </w:rPr>
        <w:t xml:space="preserve">IEEE Ethically Aligned Design: A Vision for Prioritizing  </w:t>
      </w:r>
    </w:p>
    <w:sectPr w:rsidR="00F304BF">
      <w:type w:val="continuous"/>
      <w:pgSz w:w="12240" w:h="15840"/>
      <w:pgMar w:top="1440" w:right="1041" w:bottom="144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7FD4"/>
    <w:multiLevelType w:val="hybridMultilevel"/>
    <w:tmpl w:val="8DA8E006"/>
    <w:lvl w:ilvl="0" w:tplc="C276DC60">
      <w:start w:val="1"/>
      <w:numFmt w:val="bullet"/>
      <w:lvlText w:val="•"/>
      <w:lvlJc w:val="left"/>
      <w:pPr>
        <w:ind w:left="403"/>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E8CEDE9A">
      <w:start w:val="1"/>
      <w:numFmt w:val="bullet"/>
      <w:lvlText w:val="o"/>
      <w:lvlJc w:val="left"/>
      <w:pPr>
        <w:ind w:left="128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67360C34">
      <w:start w:val="1"/>
      <w:numFmt w:val="bullet"/>
      <w:lvlText w:val="▪"/>
      <w:lvlJc w:val="left"/>
      <w:pPr>
        <w:ind w:left="200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66DA34BA">
      <w:start w:val="1"/>
      <w:numFmt w:val="bullet"/>
      <w:lvlText w:val="•"/>
      <w:lvlJc w:val="left"/>
      <w:pPr>
        <w:ind w:left="272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4414FDF8">
      <w:start w:val="1"/>
      <w:numFmt w:val="bullet"/>
      <w:lvlText w:val="o"/>
      <w:lvlJc w:val="left"/>
      <w:pPr>
        <w:ind w:left="344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C7629650">
      <w:start w:val="1"/>
      <w:numFmt w:val="bullet"/>
      <w:lvlText w:val="▪"/>
      <w:lvlJc w:val="left"/>
      <w:pPr>
        <w:ind w:left="416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E50A655E">
      <w:start w:val="1"/>
      <w:numFmt w:val="bullet"/>
      <w:lvlText w:val="•"/>
      <w:lvlJc w:val="left"/>
      <w:pPr>
        <w:ind w:left="488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5F76B45A">
      <w:start w:val="1"/>
      <w:numFmt w:val="bullet"/>
      <w:lvlText w:val="o"/>
      <w:lvlJc w:val="left"/>
      <w:pPr>
        <w:ind w:left="560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6F964B44">
      <w:start w:val="1"/>
      <w:numFmt w:val="bullet"/>
      <w:lvlText w:val="▪"/>
      <w:lvlJc w:val="left"/>
      <w:pPr>
        <w:ind w:left="632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05147E34"/>
    <w:multiLevelType w:val="hybridMultilevel"/>
    <w:tmpl w:val="B8CCFFBE"/>
    <w:lvl w:ilvl="0" w:tplc="A7DAC30A">
      <w:start w:val="1"/>
      <w:numFmt w:val="bullet"/>
      <w:lvlText w:val="•"/>
      <w:lvlJc w:val="left"/>
      <w:pPr>
        <w:ind w:left="65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E5BE57E6">
      <w:start w:val="1"/>
      <w:numFmt w:val="bullet"/>
      <w:lvlText w:val="o"/>
      <w:lvlJc w:val="left"/>
      <w:pPr>
        <w:ind w:left="153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AAC25150">
      <w:start w:val="1"/>
      <w:numFmt w:val="bullet"/>
      <w:lvlText w:val="▪"/>
      <w:lvlJc w:val="left"/>
      <w:pPr>
        <w:ind w:left="225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E8EA10BC">
      <w:start w:val="1"/>
      <w:numFmt w:val="bullet"/>
      <w:lvlText w:val="•"/>
      <w:lvlJc w:val="left"/>
      <w:pPr>
        <w:ind w:left="297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43EC4184">
      <w:start w:val="1"/>
      <w:numFmt w:val="bullet"/>
      <w:lvlText w:val="o"/>
      <w:lvlJc w:val="left"/>
      <w:pPr>
        <w:ind w:left="369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D5000B6C">
      <w:start w:val="1"/>
      <w:numFmt w:val="bullet"/>
      <w:lvlText w:val="▪"/>
      <w:lvlJc w:val="left"/>
      <w:pPr>
        <w:ind w:left="441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8DAC92B0">
      <w:start w:val="1"/>
      <w:numFmt w:val="bullet"/>
      <w:lvlText w:val="•"/>
      <w:lvlJc w:val="left"/>
      <w:pPr>
        <w:ind w:left="513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0206F0EE">
      <w:start w:val="1"/>
      <w:numFmt w:val="bullet"/>
      <w:lvlText w:val="o"/>
      <w:lvlJc w:val="left"/>
      <w:pPr>
        <w:ind w:left="585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769840C8">
      <w:start w:val="1"/>
      <w:numFmt w:val="bullet"/>
      <w:lvlText w:val="▪"/>
      <w:lvlJc w:val="left"/>
      <w:pPr>
        <w:ind w:left="657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1A1E37E4"/>
    <w:multiLevelType w:val="hybridMultilevel"/>
    <w:tmpl w:val="ABC08042"/>
    <w:lvl w:ilvl="0" w:tplc="C8A039C4">
      <w:start w:val="1"/>
      <w:numFmt w:val="bullet"/>
      <w:lvlText w:val="•"/>
      <w:lvlJc w:val="left"/>
      <w:pPr>
        <w:ind w:left="65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A57AD9B2">
      <w:start w:val="1"/>
      <w:numFmt w:val="bullet"/>
      <w:lvlText w:val="o"/>
      <w:lvlJc w:val="left"/>
      <w:pPr>
        <w:ind w:left="1434"/>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F97EDD08">
      <w:start w:val="1"/>
      <w:numFmt w:val="bullet"/>
      <w:lvlText w:val="▪"/>
      <w:lvlJc w:val="left"/>
      <w:pPr>
        <w:ind w:left="2154"/>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39200C02">
      <w:start w:val="1"/>
      <w:numFmt w:val="bullet"/>
      <w:lvlText w:val="•"/>
      <w:lvlJc w:val="left"/>
      <w:pPr>
        <w:ind w:left="2874"/>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FA1C9CCA">
      <w:start w:val="1"/>
      <w:numFmt w:val="bullet"/>
      <w:lvlText w:val="o"/>
      <w:lvlJc w:val="left"/>
      <w:pPr>
        <w:ind w:left="3594"/>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7B90C00C">
      <w:start w:val="1"/>
      <w:numFmt w:val="bullet"/>
      <w:lvlText w:val="▪"/>
      <w:lvlJc w:val="left"/>
      <w:pPr>
        <w:ind w:left="4314"/>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2AF8D512">
      <w:start w:val="1"/>
      <w:numFmt w:val="bullet"/>
      <w:lvlText w:val="•"/>
      <w:lvlJc w:val="left"/>
      <w:pPr>
        <w:ind w:left="5034"/>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9C6A0D0E">
      <w:start w:val="1"/>
      <w:numFmt w:val="bullet"/>
      <w:lvlText w:val="o"/>
      <w:lvlJc w:val="left"/>
      <w:pPr>
        <w:ind w:left="5754"/>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0D0039E6">
      <w:start w:val="1"/>
      <w:numFmt w:val="bullet"/>
      <w:lvlText w:val="▪"/>
      <w:lvlJc w:val="left"/>
      <w:pPr>
        <w:ind w:left="6474"/>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1B5D6514"/>
    <w:multiLevelType w:val="hybridMultilevel"/>
    <w:tmpl w:val="0C80FDBA"/>
    <w:lvl w:ilvl="0" w:tplc="4D0894D8">
      <w:start w:val="1"/>
      <w:numFmt w:val="bullet"/>
      <w:lvlText w:val="•"/>
      <w:lvlJc w:val="left"/>
      <w:pPr>
        <w:ind w:left="403"/>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C108094C">
      <w:start w:val="1"/>
      <w:numFmt w:val="bullet"/>
      <w:lvlText w:val="o"/>
      <w:lvlJc w:val="left"/>
      <w:pPr>
        <w:ind w:left="128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0526EA86">
      <w:start w:val="1"/>
      <w:numFmt w:val="bullet"/>
      <w:lvlText w:val="▪"/>
      <w:lvlJc w:val="left"/>
      <w:pPr>
        <w:ind w:left="200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BDE804F2">
      <w:start w:val="1"/>
      <w:numFmt w:val="bullet"/>
      <w:lvlText w:val="•"/>
      <w:lvlJc w:val="left"/>
      <w:pPr>
        <w:ind w:left="272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2556A82C">
      <w:start w:val="1"/>
      <w:numFmt w:val="bullet"/>
      <w:lvlText w:val="o"/>
      <w:lvlJc w:val="left"/>
      <w:pPr>
        <w:ind w:left="344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262CECB4">
      <w:start w:val="1"/>
      <w:numFmt w:val="bullet"/>
      <w:lvlText w:val="▪"/>
      <w:lvlJc w:val="left"/>
      <w:pPr>
        <w:ind w:left="416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7B0CE824">
      <w:start w:val="1"/>
      <w:numFmt w:val="bullet"/>
      <w:lvlText w:val="•"/>
      <w:lvlJc w:val="left"/>
      <w:pPr>
        <w:ind w:left="488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40B4AA62">
      <w:start w:val="1"/>
      <w:numFmt w:val="bullet"/>
      <w:lvlText w:val="o"/>
      <w:lvlJc w:val="left"/>
      <w:pPr>
        <w:ind w:left="560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1C984A5A">
      <w:start w:val="1"/>
      <w:numFmt w:val="bullet"/>
      <w:lvlText w:val="▪"/>
      <w:lvlJc w:val="left"/>
      <w:pPr>
        <w:ind w:left="632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1EEE36ED"/>
    <w:multiLevelType w:val="hybridMultilevel"/>
    <w:tmpl w:val="A70873C2"/>
    <w:lvl w:ilvl="0" w:tplc="5EF4287A">
      <w:start w:val="1"/>
      <w:numFmt w:val="bullet"/>
      <w:lvlText w:val="•"/>
      <w:lvlJc w:val="left"/>
      <w:pPr>
        <w:ind w:left="20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2F3672C0">
      <w:start w:val="1"/>
      <w:numFmt w:val="bullet"/>
      <w:lvlText w:val="o"/>
      <w:lvlJc w:val="left"/>
      <w:pPr>
        <w:ind w:left="108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ABB6D076">
      <w:start w:val="1"/>
      <w:numFmt w:val="bullet"/>
      <w:lvlText w:val="▪"/>
      <w:lvlJc w:val="left"/>
      <w:pPr>
        <w:ind w:left="180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E36E99D2">
      <w:start w:val="1"/>
      <w:numFmt w:val="bullet"/>
      <w:lvlText w:val="•"/>
      <w:lvlJc w:val="left"/>
      <w:pPr>
        <w:ind w:left="252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84DE9CC2">
      <w:start w:val="1"/>
      <w:numFmt w:val="bullet"/>
      <w:lvlText w:val="o"/>
      <w:lvlJc w:val="left"/>
      <w:pPr>
        <w:ind w:left="324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5552A7DC">
      <w:start w:val="1"/>
      <w:numFmt w:val="bullet"/>
      <w:lvlText w:val="▪"/>
      <w:lvlJc w:val="left"/>
      <w:pPr>
        <w:ind w:left="396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26FE3DFC">
      <w:start w:val="1"/>
      <w:numFmt w:val="bullet"/>
      <w:lvlText w:val="•"/>
      <w:lvlJc w:val="left"/>
      <w:pPr>
        <w:ind w:left="468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6EDEA07A">
      <w:start w:val="1"/>
      <w:numFmt w:val="bullet"/>
      <w:lvlText w:val="o"/>
      <w:lvlJc w:val="left"/>
      <w:pPr>
        <w:ind w:left="540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FCB09604">
      <w:start w:val="1"/>
      <w:numFmt w:val="bullet"/>
      <w:lvlText w:val="▪"/>
      <w:lvlJc w:val="left"/>
      <w:pPr>
        <w:ind w:left="612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25CE1610"/>
    <w:multiLevelType w:val="hybridMultilevel"/>
    <w:tmpl w:val="1326E832"/>
    <w:lvl w:ilvl="0" w:tplc="51C8E9CA">
      <w:start w:val="1"/>
      <w:numFmt w:val="decimal"/>
      <w:lvlText w:val="%1)"/>
      <w:lvlJc w:val="left"/>
      <w:pPr>
        <w:ind w:left="4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38C046">
      <w:start w:val="1"/>
      <w:numFmt w:val="lowerLetter"/>
      <w:lvlText w:val="%2"/>
      <w:lvlJc w:val="left"/>
      <w:pPr>
        <w:ind w:left="12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5C1A76">
      <w:start w:val="1"/>
      <w:numFmt w:val="lowerRoman"/>
      <w:lvlText w:val="%3"/>
      <w:lvlJc w:val="left"/>
      <w:pPr>
        <w:ind w:left="20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B0AB4E">
      <w:start w:val="1"/>
      <w:numFmt w:val="decimal"/>
      <w:lvlText w:val="%4"/>
      <w:lvlJc w:val="left"/>
      <w:pPr>
        <w:ind w:left="27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3A8C5C">
      <w:start w:val="1"/>
      <w:numFmt w:val="lowerLetter"/>
      <w:lvlText w:val="%5"/>
      <w:lvlJc w:val="left"/>
      <w:pPr>
        <w:ind w:left="34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768D85E">
      <w:start w:val="1"/>
      <w:numFmt w:val="lowerRoman"/>
      <w:lvlText w:val="%6"/>
      <w:lvlJc w:val="left"/>
      <w:pPr>
        <w:ind w:left="41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84A028">
      <w:start w:val="1"/>
      <w:numFmt w:val="decimal"/>
      <w:lvlText w:val="%7"/>
      <w:lvlJc w:val="left"/>
      <w:pPr>
        <w:ind w:left="48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D9ABA7C">
      <w:start w:val="1"/>
      <w:numFmt w:val="lowerLetter"/>
      <w:lvlText w:val="%8"/>
      <w:lvlJc w:val="left"/>
      <w:pPr>
        <w:ind w:left="56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2A86DE4">
      <w:start w:val="1"/>
      <w:numFmt w:val="lowerRoman"/>
      <w:lvlText w:val="%9"/>
      <w:lvlJc w:val="left"/>
      <w:pPr>
        <w:ind w:left="63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7032763"/>
    <w:multiLevelType w:val="hybridMultilevel"/>
    <w:tmpl w:val="56E2A1C2"/>
    <w:lvl w:ilvl="0" w:tplc="11BCA96E">
      <w:start w:val="1"/>
      <w:numFmt w:val="decimal"/>
      <w:lvlText w:val="%1)"/>
      <w:lvlJc w:val="left"/>
      <w:pPr>
        <w:ind w:left="7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C188ADE">
      <w:start w:val="1"/>
      <w:numFmt w:val="lowerLetter"/>
      <w:lvlText w:val="%2"/>
      <w:lvlJc w:val="left"/>
      <w:pPr>
        <w:ind w:left="12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31674D0">
      <w:start w:val="1"/>
      <w:numFmt w:val="lowerRoman"/>
      <w:lvlText w:val="%3"/>
      <w:lvlJc w:val="left"/>
      <w:pPr>
        <w:ind w:left="19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FC75EC">
      <w:start w:val="1"/>
      <w:numFmt w:val="decimal"/>
      <w:lvlText w:val="%4"/>
      <w:lvlJc w:val="left"/>
      <w:pPr>
        <w:ind w:left="27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D5EA320">
      <w:start w:val="1"/>
      <w:numFmt w:val="lowerLetter"/>
      <w:lvlText w:val="%5"/>
      <w:lvlJc w:val="left"/>
      <w:pPr>
        <w:ind w:left="34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186646C">
      <w:start w:val="1"/>
      <w:numFmt w:val="lowerRoman"/>
      <w:lvlText w:val="%6"/>
      <w:lvlJc w:val="left"/>
      <w:pPr>
        <w:ind w:left="41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03ECAD0">
      <w:start w:val="1"/>
      <w:numFmt w:val="decimal"/>
      <w:lvlText w:val="%7"/>
      <w:lvlJc w:val="left"/>
      <w:pPr>
        <w:ind w:left="48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049F10">
      <w:start w:val="1"/>
      <w:numFmt w:val="lowerLetter"/>
      <w:lvlText w:val="%8"/>
      <w:lvlJc w:val="left"/>
      <w:pPr>
        <w:ind w:left="5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EDCDCD6">
      <w:start w:val="1"/>
      <w:numFmt w:val="lowerRoman"/>
      <w:lvlText w:val="%9"/>
      <w:lvlJc w:val="left"/>
      <w:pPr>
        <w:ind w:left="63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2920C61"/>
    <w:multiLevelType w:val="hybridMultilevel"/>
    <w:tmpl w:val="36D4E4EA"/>
    <w:lvl w:ilvl="0" w:tplc="A8BEEC72">
      <w:start w:val="1"/>
      <w:numFmt w:val="bullet"/>
      <w:lvlText w:val="•"/>
      <w:lvlJc w:val="left"/>
      <w:pPr>
        <w:ind w:left="65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95043E2A">
      <w:start w:val="1"/>
      <w:numFmt w:val="bullet"/>
      <w:lvlText w:val="o"/>
      <w:lvlJc w:val="left"/>
      <w:pPr>
        <w:ind w:left="127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421242E2">
      <w:start w:val="1"/>
      <w:numFmt w:val="bullet"/>
      <w:lvlText w:val="▪"/>
      <w:lvlJc w:val="left"/>
      <w:pPr>
        <w:ind w:left="199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6BA4E042">
      <w:start w:val="1"/>
      <w:numFmt w:val="bullet"/>
      <w:lvlText w:val="•"/>
      <w:lvlJc w:val="left"/>
      <w:pPr>
        <w:ind w:left="271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06BEEDD4">
      <w:start w:val="1"/>
      <w:numFmt w:val="bullet"/>
      <w:lvlText w:val="o"/>
      <w:lvlJc w:val="left"/>
      <w:pPr>
        <w:ind w:left="343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9F808B46">
      <w:start w:val="1"/>
      <w:numFmt w:val="bullet"/>
      <w:lvlText w:val="▪"/>
      <w:lvlJc w:val="left"/>
      <w:pPr>
        <w:ind w:left="415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A6A81134">
      <w:start w:val="1"/>
      <w:numFmt w:val="bullet"/>
      <w:lvlText w:val="•"/>
      <w:lvlJc w:val="left"/>
      <w:pPr>
        <w:ind w:left="487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4B52EFE2">
      <w:start w:val="1"/>
      <w:numFmt w:val="bullet"/>
      <w:lvlText w:val="o"/>
      <w:lvlJc w:val="left"/>
      <w:pPr>
        <w:ind w:left="559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33DC0EEA">
      <w:start w:val="1"/>
      <w:numFmt w:val="bullet"/>
      <w:lvlText w:val="▪"/>
      <w:lvlJc w:val="left"/>
      <w:pPr>
        <w:ind w:left="631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8" w15:restartNumberingAfterBreak="0">
    <w:nsid w:val="433E7636"/>
    <w:multiLevelType w:val="hybridMultilevel"/>
    <w:tmpl w:val="761ECE0C"/>
    <w:lvl w:ilvl="0" w:tplc="27C29A6C">
      <w:start w:val="1"/>
      <w:numFmt w:val="decimal"/>
      <w:lvlText w:val="%1)"/>
      <w:lvlJc w:val="left"/>
      <w:pPr>
        <w:ind w:left="4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81CA302">
      <w:start w:val="1"/>
      <w:numFmt w:val="lowerLetter"/>
      <w:lvlText w:val="%2"/>
      <w:lvlJc w:val="left"/>
      <w:pPr>
        <w:ind w:left="12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58CBAE8">
      <w:start w:val="1"/>
      <w:numFmt w:val="lowerRoman"/>
      <w:lvlText w:val="%3"/>
      <w:lvlJc w:val="left"/>
      <w:pPr>
        <w:ind w:left="19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F2F856">
      <w:start w:val="1"/>
      <w:numFmt w:val="decimal"/>
      <w:lvlText w:val="%4"/>
      <w:lvlJc w:val="left"/>
      <w:pPr>
        <w:ind w:left="27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BA0E90C">
      <w:start w:val="1"/>
      <w:numFmt w:val="lowerLetter"/>
      <w:lvlText w:val="%5"/>
      <w:lvlJc w:val="left"/>
      <w:pPr>
        <w:ind w:left="34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24A3FE">
      <w:start w:val="1"/>
      <w:numFmt w:val="lowerRoman"/>
      <w:lvlText w:val="%6"/>
      <w:lvlJc w:val="left"/>
      <w:pPr>
        <w:ind w:left="41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43A1932">
      <w:start w:val="1"/>
      <w:numFmt w:val="decimal"/>
      <w:lvlText w:val="%7"/>
      <w:lvlJc w:val="left"/>
      <w:pPr>
        <w:ind w:left="48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4AEBB6">
      <w:start w:val="1"/>
      <w:numFmt w:val="lowerLetter"/>
      <w:lvlText w:val="%8"/>
      <w:lvlJc w:val="left"/>
      <w:pPr>
        <w:ind w:left="5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A6D9CE">
      <w:start w:val="1"/>
      <w:numFmt w:val="lowerRoman"/>
      <w:lvlText w:val="%9"/>
      <w:lvlJc w:val="left"/>
      <w:pPr>
        <w:ind w:left="63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5D66C40"/>
    <w:multiLevelType w:val="hybridMultilevel"/>
    <w:tmpl w:val="28781172"/>
    <w:lvl w:ilvl="0" w:tplc="A860F9B6">
      <w:start w:val="1"/>
      <w:numFmt w:val="decimal"/>
      <w:lvlText w:val="%1)"/>
      <w:lvlJc w:val="left"/>
      <w:pPr>
        <w:ind w:left="7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ADE390A">
      <w:start w:val="1"/>
      <w:numFmt w:val="lowerLetter"/>
      <w:lvlText w:val="%2"/>
      <w:lvlJc w:val="left"/>
      <w:pPr>
        <w:ind w:left="15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D2C6B04">
      <w:start w:val="1"/>
      <w:numFmt w:val="lowerRoman"/>
      <w:lvlText w:val="%3"/>
      <w:lvlJc w:val="left"/>
      <w:pPr>
        <w:ind w:left="22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C346200">
      <w:start w:val="1"/>
      <w:numFmt w:val="decimal"/>
      <w:lvlText w:val="%4"/>
      <w:lvlJc w:val="left"/>
      <w:pPr>
        <w:ind w:left="29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2CA3EFE">
      <w:start w:val="1"/>
      <w:numFmt w:val="lowerLetter"/>
      <w:lvlText w:val="%5"/>
      <w:lvlJc w:val="left"/>
      <w:pPr>
        <w:ind w:left="36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D70F8D0">
      <w:start w:val="1"/>
      <w:numFmt w:val="lowerRoman"/>
      <w:lvlText w:val="%6"/>
      <w:lvlJc w:val="left"/>
      <w:pPr>
        <w:ind w:left="44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7D4404E">
      <w:start w:val="1"/>
      <w:numFmt w:val="decimal"/>
      <w:lvlText w:val="%7"/>
      <w:lvlJc w:val="left"/>
      <w:pPr>
        <w:ind w:left="51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8EE513A">
      <w:start w:val="1"/>
      <w:numFmt w:val="lowerLetter"/>
      <w:lvlText w:val="%8"/>
      <w:lvlJc w:val="left"/>
      <w:pPr>
        <w:ind w:left="58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0E84416">
      <w:start w:val="1"/>
      <w:numFmt w:val="lowerRoman"/>
      <w:lvlText w:val="%9"/>
      <w:lvlJc w:val="left"/>
      <w:pPr>
        <w:ind w:left="65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B542AB9"/>
    <w:multiLevelType w:val="hybridMultilevel"/>
    <w:tmpl w:val="4E429552"/>
    <w:lvl w:ilvl="0" w:tplc="F372270A">
      <w:start w:val="1"/>
      <w:numFmt w:val="bullet"/>
      <w:lvlText w:val="•"/>
      <w:lvlJc w:val="left"/>
      <w:pPr>
        <w:ind w:left="65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F81048D8">
      <w:start w:val="1"/>
      <w:numFmt w:val="bullet"/>
      <w:lvlText w:val="o"/>
      <w:lvlJc w:val="left"/>
      <w:pPr>
        <w:ind w:left="127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F18AEF9E">
      <w:start w:val="1"/>
      <w:numFmt w:val="bullet"/>
      <w:lvlText w:val="▪"/>
      <w:lvlJc w:val="left"/>
      <w:pPr>
        <w:ind w:left="199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2B3A9478">
      <w:start w:val="1"/>
      <w:numFmt w:val="bullet"/>
      <w:lvlText w:val="•"/>
      <w:lvlJc w:val="left"/>
      <w:pPr>
        <w:ind w:left="271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2B0CE1FE">
      <w:start w:val="1"/>
      <w:numFmt w:val="bullet"/>
      <w:lvlText w:val="o"/>
      <w:lvlJc w:val="left"/>
      <w:pPr>
        <w:ind w:left="343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4D565D58">
      <w:start w:val="1"/>
      <w:numFmt w:val="bullet"/>
      <w:lvlText w:val="▪"/>
      <w:lvlJc w:val="left"/>
      <w:pPr>
        <w:ind w:left="415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9306E7B8">
      <w:start w:val="1"/>
      <w:numFmt w:val="bullet"/>
      <w:lvlText w:val="•"/>
      <w:lvlJc w:val="left"/>
      <w:pPr>
        <w:ind w:left="487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07E66508">
      <w:start w:val="1"/>
      <w:numFmt w:val="bullet"/>
      <w:lvlText w:val="o"/>
      <w:lvlJc w:val="left"/>
      <w:pPr>
        <w:ind w:left="559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626A18B0">
      <w:start w:val="1"/>
      <w:numFmt w:val="bullet"/>
      <w:lvlText w:val="▪"/>
      <w:lvlJc w:val="left"/>
      <w:pPr>
        <w:ind w:left="631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11" w15:restartNumberingAfterBreak="0">
    <w:nsid w:val="51A9099E"/>
    <w:multiLevelType w:val="hybridMultilevel"/>
    <w:tmpl w:val="58EE21A8"/>
    <w:lvl w:ilvl="0" w:tplc="6EC4BAFA">
      <w:start w:val="1"/>
      <w:numFmt w:val="decimal"/>
      <w:lvlText w:val="%1)"/>
      <w:lvlJc w:val="left"/>
      <w:pPr>
        <w:ind w:left="7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550AC14">
      <w:start w:val="1"/>
      <w:numFmt w:val="lowerLetter"/>
      <w:lvlText w:val="%2"/>
      <w:lvlJc w:val="left"/>
      <w:pPr>
        <w:ind w:left="12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5E85B6">
      <w:start w:val="1"/>
      <w:numFmt w:val="lowerRoman"/>
      <w:lvlText w:val="%3"/>
      <w:lvlJc w:val="left"/>
      <w:pPr>
        <w:ind w:left="19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8E29E4">
      <w:start w:val="1"/>
      <w:numFmt w:val="decimal"/>
      <w:lvlText w:val="%4"/>
      <w:lvlJc w:val="left"/>
      <w:pPr>
        <w:ind w:left="27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E664728">
      <w:start w:val="1"/>
      <w:numFmt w:val="lowerLetter"/>
      <w:lvlText w:val="%5"/>
      <w:lvlJc w:val="left"/>
      <w:pPr>
        <w:ind w:left="34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E8CB45A">
      <w:start w:val="1"/>
      <w:numFmt w:val="lowerRoman"/>
      <w:lvlText w:val="%6"/>
      <w:lvlJc w:val="left"/>
      <w:pPr>
        <w:ind w:left="41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A049D4">
      <w:start w:val="1"/>
      <w:numFmt w:val="decimal"/>
      <w:lvlText w:val="%7"/>
      <w:lvlJc w:val="left"/>
      <w:pPr>
        <w:ind w:left="48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3B6E08A">
      <w:start w:val="1"/>
      <w:numFmt w:val="lowerLetter"/>
      <w:lvlText w:val="%8"/>
      <w:lvlJc w:val="left"/>
      <w:pPr>
        <w:ind w:left="5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3AF1D2">
      <w:start w:val="1"/>
      <w:numFmt w:val="lowerRoman"/>
      <w:lvlText w:val="%9"/>
      <w:lvlJc w:val="left"/>
      <w:pPr>
        <w:ind w:left="63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26D6F92"/>
    <w:multiLevelType w:val="hybridMultilevel"/>
    <w:tmpl w:val="F6223A5A"/>
    <w:lvl w:ilvl="0" w:tplc="017C4E1E">
      <w:start w:val="1"/>
      <w:numFmt w:val="bullet"/>
      <w:lvlText w:val="•"/>
      <w:lvlJc w:val="left"/>
      <w:pPr>
        <w:ind w:left="65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6922AF84">
      <w:start w:val="1"/>
      <w:numFmt w:val="bullet"/>
      <w:lvlText w:val="o"/>
      <w:lvlJc w:val="left"/>
      <w:pPr>
        <w:ind w:left="127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07209B7A">
      <w:start w:val="1"/>
      <w:numFmt w:val="bullet"/>
      <w:lvlText w:val="▪"/>
      <w:lvlJc w:val="left"/>
      <w:pPr>
        <w:ind w:left="199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10A87036">
      <w:start w:val="1"/>
      <w:numFmt w:val="bullet"/>
      <w:lvlText w:val="•"/>
      <w:lvlJc w:val="left"/>
      <w:pPr>
        <w:ind w:left="271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3CDE6C06">
      <w:start w:val="1"/>
      <w:numFmt w:val="bullet"/>
      <w:lvlText w:val="o"/>
      <w:lvlJc w:val="left"/>
      <w:pPr>
        <w:ind w:left="343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95F8EAC8">
      <w:start w:val="1"/>
      <w:numFmt w:val="bullet"/>
      <w:lvlText w:val="▪"/>
      <w:lvlJc w:val="left"/>
      <w:pPr>
        <w:ind w:left="415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B9325034">
      <w:start w:val="1"/>
      <w:numFmt w:val="bullet"/>
      <w:lvlText w:val="•"/>
      <w:lvlJc w:val="left"/>
      <w:pPr>
        <w:ind w:left="487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720E033A">
      <w:start w:val="1"/>
      <w:numFmt w:val="bullet"/>
      <w:lvlText w:val="o"/>
      <w:lvlJc w:val="left"/>
      <w:pPr>
        <w:ind w:left="559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02827F18">
      <w:start w:val="1"/>
      <w:numFmt w:val="bullet"/>
      <w:lvlText w:val="▪"/>
      <w:lvlJc w:val="left"/>
      <w:pPr>
        <w:ind w:left="631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13" w15:restartNumberingAfterBreak="0">
    <w:nsid w:val="52D216F4"/>
    <w:multiLevelType w:val="hybridMultilevel"/>
    <w:tmpl w:val="7196EBE2"/>
    <w:lvl w:ilvl="0" w:tplc="DC9290B2">
      <w:start w:val="1"/>
      <w:numFmt w:val="decimal"/>
      <w:lvlText w:val="%1)"/>
      <w:lvlJc w:val="left"/>
      <w:pPr>
        <w:ind w:left="4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D488756">
      <w:start w:val="1"/>
      <w:numFmt w:val="lowerLetter"/>
      <w:lvlText w:val="%2"/>
      <w:lvlJc w:val="left"/>
      <w:pPr>
        <w:ind w:left="12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BF06D62">
      <w:start w:val="1"/>
      <w:numFmt w:val="lowerRoman"/>
      <w:lvlText w:val="%3"/>
      <w:lvlJc w:val="left"/>
      <w:pPr>
        <w:ind w:left="20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466DCE6">
      <w:start w:val="1"/>
      <w:numFmt w:val="decimal"/>
      <w:lvlText w:val="%4"/>
      <w:lvlJc w:val="left"/>
      <w:pPr>
        <w:ind w:left="27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14C79E">
      <w:start w:val="1"/>
      <w:numFmt w:val="lowerLetter"/>
      <w:lvlText w:val="%5"/>
      <w:lvlJc w:val="left"/>
      <w:pPr>
        <w:ind w:left="34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7FEBD8E">
      <w:start w:val="1"/>
      <w:numFmt w:val="lowerRoman"/>
      <w:lvlText w:val="%6"/>
      <w:lvlJc w:val="left"/>
      <w:pPr>
        <w:ind w:left="41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24E606C">
      <w:start w:val="1"/>
      <w:numFmt w:val="decimal"/>
      <w:lvlText w:val="%7"/>
      <w:lvlJc w:val="left"/>
      <w:pPr>
        <w:ind w:left="48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80C218">
      <w:start w:val="1"/>
      <w:numFmt w:val="lowerLetter"/>
      <w:lvlText w:val="%8"/>
      <w:lvlJc w:val="left"/>
      <w:pPr>
        <w:ind w:left="56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99EBE20">
      <w:start w:val="1"/>
      <w:numFmt w:val="lowerRoman"/>
      <w:lvlText w:val="%9"/>
      <w:lvlJc w:val="left"/>
      <w:pPr>
        <w:ind w:left="63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9D036B3"/>
    <w:multiLevelType w:val="hybridMultilevel"/>
    <w:tmpl w:val="490E311C"/>
    <w:lvl w:ilvl="0" w:tplc="79C4B716">
      <w:start w:val="2"/>
      <w:numFmt w:val="decimal"/>
      <w:lvlText w:val="%1)"/>
      <w:lvlJc w:val="left"/>
      <w:pPr>
        <w:ind w:left="2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46674A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4E3A2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62E8B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9CA3C7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53E1A1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DE2E21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5BA1C3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EBE46A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C422B83"/>
    <w:multiLevelType w:val="hybridMultilevel"/>
    <w:tmpl w:val="0C6AA206"/>
    <w:lvl w:ilvl="0" w:tplc="500E994C">
      <w:start w:val="1"/>
      <w:numFmt w:val="bullet"/>
      <w:lvlText w:val="•"/>
      <w:lvlJc w:val="left"/>
      <w:pPr>
        <w:ind w:left="65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999A48EC">
      <w:start w:val="1"/>
      <w:numFmt w:val="bullet"/>
      <w:lvlText w:val="o"/>
      <w:lvlJc w:val="left"/>
      <w:pPr>
        <w:ind w:left="153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DB8879D6">
      <w:start w:val="1"/>
      <w:numFmt w:val="bullet"/>
      <w:lvlText w:val="▪"/>
      <w:lvlJc w:val="left"/>
      <w:pPr>
        <w:ind w:left="225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A6581F66">
      <w:start w:val="1"/>
      <w:numFmt w:val="bullet"/>
      <w:lvlText w:val="•"/>
      <w:lvlJc w:val="left"/>
      <w:pPr>
        <w:ind w:left="297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03F406B6">
      <w:start w:val="1"/>
      <w:numFmt w:val="bullet"/>
      <w:lvlText w:val="o"/>
      <w:lvlJc w:val="left"/>
      <w:pPr>
        <w:ind w:left="369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D8E8D780">
      <w:start w:val="1"/>
      <w:numFmt w:val="bullet"/>
      <w:lvlText w:val="▪"/>
      <w:lvlJc w:val="left"/>
      <w:pPr>
        <w:ind w:left="441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C31A6014">
      <w:start w:val="1"/>
      <w:numFmt w:val="bullet"/>
      <w:lvlText w:val="•"/>
      <w:lvlJc w:val="left"/>
      <w:pPr>
        <w:ind w:left="513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52B66EC4">
      <w:start w:val="1"/>
      <w:numFmt w:val="bullet"/>
      <w:lvlText w:val="o"/>
      <w:lvlJc w:val="left"/>
      <w:pPr>
        <w:ind w:left="585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B64C1612">
      <w:start w:val="1"/>
      <w:numFmt w:val="bullet"/>
      <w:lvlText w:val="▪"/>
      <w:lvlJc w:val="left"/>
      <w:pPr>
        <w:ind w:left="657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16" w15:restartNumberingAfterBreak="0">
    <w:nsid w:val="688630A7"/>
    <w:multiLevelType w:val="hybridMultilevel"/>
    <w:tmpl w:val="69D8EF48"/>
    <w:lvl w:ilvl="0" w:tplc="58566014">
      <w:start w:val="4"/>
      <w:numFmt w:val="decimal"/>
      <w:lvlText w:val="%1)"/>
      <w:lvlJc w:val="left"/>
      <w:pPr>
        <w:ind w:left="4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124047C">
      <w:start w:val="1"/>
      <w:numFmt w:val="lowerLetter"/>
      <w:lvlText w:val="%2"/>
      <w:lvlJc w:val="left"/>
      <w:pPr>
        <w:ind w:left="12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3F43B4C">
      <w:start w:val="1"/>
      <w:numFmt w:val="lowerRoman"/>
      <w:lvlText w:val="%3"/>
      <w:lvlJc w:val="left"/>
      <w:pPr>
        <w:ind w:left="19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C02462C">
      <w:start w:val="1"/>
      <w:numFmt w:val="decimal"/>
      <w:lvlText w:val="%4"/>
      <w:lvlJc w:val="left"/>
      <w:pPr>
        <w:ind w:left="27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F645DE8">
      <w:start w:val="1"/>
      <w:numFmt w:val="lowerLetter"/>
      <w:lvlText w:val="%5"/>
      <w:lvlJc w:val="left"/>
      <w:pPr>
        <w:ind w:left="34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116FC36">
      <w:start w:val="1"/>
      <w:numFmt w:val="lowerRoman"/>
      <w:lvlText w:val="%6"/>
      <w:lvlJc w:val="left"/>
      <w:pPr>
        <w:ind w:left="41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0600B7C">
      <w:start w:val="1"/>
      <w:numFmt w:val="decimal"/>
      <w:lvlText w:val="%7"/>
      <w:lvlJc w:val="left"/>
      <w:pPr>
        <w:ind w:left="48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F44E1B0">
      <w:start w:val="1"/>
      <w:numFmt w:val="lowerLetter"/>
      <w:lvlText w:val="%8"/>
      <w:lvlJc w:val="left"/>
      <w:pPr>
        <w:ind w:left="5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948392">
      <w:start w:val="1"/>
      <w:numFmt w:val="lowerRoman"/>
      <w:lvlText w:val="%9"/>
      <w:lvlJc w:val="left"/>
      <w:pPr>
        <w:ind w:left="63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69D47A2"/>
    <w:multiLevelType w:val="hybridMultilevel"/>
    <w:tmpl w:val="B7FE4108"/>
    <w:lvl w:ilvl="0" w:tplc="5D96A046">
      <w:start w:val="1"/>
      <w:numFmt w:val="decimal"/>
      <w:lvlText w:val="[%1]"/>
      <w:lvlJc w:val="left"/>
      <w:pPr>
        <w:ind w:left="35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26C83366">
      <w:start w:val="1"/>
      <w:numFmt w:val="lowerLetter"/>
      <w:lvlText w:val="%2"/>
      <w:lvlJc w:val="left"/>
      <w:pPr>
        <w:ind w:left="115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3A22A9E4">
      <w:start w:val="1"/>
      <w:numFmt w:val="lowerRoman"/>
      <w:lvlText w:val="%3"/>
      <w:lvlJc w:val="left"/>
      <w:pPr>
        <w:ind w:left="187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1F3A339E">
      <w:start w:val="1"/>
      <w:numFmt w:val="decimal"/>
      <w:lvlText w:val="%4"/>
      <w:lvlJc w:val="left"/>
      <w:pPr>
        <w:ind w:left="259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7F8223E0">
      <w:start w:val="1"/>
      <w:numFmt w:val="lowerLetter"/>
      <w:lvlText w:val="%5"/>
      <w:lvlJc w:val="left"/>
      <w:pPr>
        <w:ind w:left="331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9B02329E">
      <w:start w:val="1"/>
      <w:numFmt w:val="lowerRoman"/>
      <w:lvlText w:val="%6"/>
      <w:lvlJc w:val="left"/>
      <w:pPr>
        <w:ind w:left="403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3B94ED5A">
      <w:start w:val="1"/>
      <w:numFmt w:val="decimal"/>
      <w:lvlText w:val="%7"/>
      <w:lvlJc w:val="left"/>
      <w:pPr>
        <w:ind w:left="475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331AF250">
      <w:start w:val="1"/>
      <w:numFmt w:val="lowerLetter"/>
      <w:lvlText w:val="%8"/>
      <w:lvlJc w:val="left"/>
      <w:pPr>
        <w:ind w:left="547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688C460C">
      <w:start w:val="1"/>
      <w:numFmt w:val="lowerRoman"/>
      <w:lvlText w:val="%9"/>
      <w:lvlJc w:val="left"/>
      <w:pPr>
        <w:ind w:left="619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778D3B50"/>
    <w:multiLevelType w:val="hybridMultilevel"/>
    <w:tmpl w:val="49BADECE"/>
    <w:lvl w:ilvl="0" w:tplc="2652943C">
      <w:start w:val="1"/>
      <w:numFmt w:val="bullet"/>
      <w:lvlText w:val="•"/>
      <w:lvlJc w:val="left"/>
      <w:pPr>
        <w:ind w:left="39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690EBD7C">
      <w:start w:val="1"/>
      <w:numFmt w:val="bullet"/>
      <w:lvlText w:val="o"/>
      <w:lvlJc w:val="left"/>
      <w:pPr>
        <w:ind w:left="128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C29C6212">
      <w:start w:val="1"/>
      <w:numFmt w:val="bullet"/>
      <w:lvlText w:val="▪"/>
      <w:lvlJc w:val="left"/>
      <w:pPr>
        <w:ind w:left="200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BB424CBC">
      <w:start w:val="1"/>
      <w:numFmt w:val="bullet"/>
      <w:lvlText w:val="•"/>
      <w:lvlJc w:val="left"/>
      <w:pPr>
        <w:ind w:left="272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3266C1FA">
      <w:start w:val="1"/>
      <w:numFmt w:val="bullet"/>
      <w:lvlText w:val="o"/>
      <w:lvlJc w:val="left"/>
      <w:pPr>
        <w:ind w:left="344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3984CF14">
      <w:start w:val="1"/>
      <w:numFmt w:val="bullet"/>
      <w:lvlText w:val="▪"/>
      <w:lvlJc w:val="left"/>
      <w:pPr>
        <w:ind w:left="416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C7848882">
      <w:start w:val="1"/>
      <w:numFmt w:val="bullet"/>
      <w:lvlText w:val="•"/>
      <w:lvlJc w:val="left"/>
      <w:pPr>
        <w:ind w:left="488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85C2DDD2">
      <w:start w:val="1"/>
      <w:numFmt w:val="bullet"/>
      <w:lvlText w:val="o"/>
      <w:lvlJc w:val="left"/>
      <w:pPr>
        <w:ind w:left="560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865CED02">
      <w:start w:val="1"/>
      <w:numFmt w:val="bullet"/>
      <w:lvlText w:val="▪"/>
      <w:lvlJc w:val="left"/>
      <w:pPr>
        <w:ind w:left="6322"/>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num w:numId="1">
    <w:abstractNumId w:val="13"/>
  </w:num>
  <w:num w:numId="2">
    <w:abstractNumId w:val="7"/>
  </w:num>
  <w:num w:numId="3">
    <w:abstractNumId w:val="10"/>
  </w:num>
  <w:num w:numId="4">
    <w:abstractNumId w:val="6"/>
  </w:num>
  <w:num w:numId="5">
    <w:abstractNumId w:val="11"/>
  </w:num>
  <w:num w:numId="6">
    <w:abstractNumId w:val="12"/>
  </w:num>
  <w:num w:numId="7">
    <w:abstractNumId w:val="2"/>
  </w:num>
  <w:num w:numId="8">
    <w:abstractNumId w:val="8"/>
  </w:num>
  <w:num w:numId="9">
    <w:abstractNumId w:val="4"/>
  </w:num>
  <w:num w:numId="10">
    <w:abstractNumId w:val="15"/>
  </w:num>
  <w:num w:numId="11">
    <w:abstractNumId w:val="1"/>
  </w:num>
  <w:num w:numId="12">
    <w:abstractNumId w:val="9"/>
  </w:num>
  <w:num w:numId="13">
    <w:abstractNumId w:val="5"/>
  </w:num>
  <w:num w:numId="14">
    <w:abstractNumId w:val="3"/>
  </w:num>
  <w:num w:numId="15">
    <w:abstractNumId w:val="17"/>
  </w:num>
  <w:num w:numId="16">
    <w:abstractNumId w:val="14"/>
  </w:num>
  <w:num w:numId="17">
    <w:abstractNumId w:val="0"/>
  </w:num>
  <w:num w:numId="18">
    <w:abstractNumId w:val="16"/>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4BF"/>
    <w:rsid w:val="000D3F26"/>
    <w:rsid w:val="00F30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66BF5"/>
  <w15:docId w15:val="{47A55F88-8AC3-4EB8-9A8E-0BB283051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9"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pPr>
      <w:keepNext/>
      <w:keepLines/>
      <w:spacing w:after="45"/>
      <w:ind w:left="10" w:right="2" w:hanging="10"/>
      <w:outlineLvl w:val="0"/>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4843</Words>
  <Characters>27608</Characters>
  <Application>Microsoft Office Word</Application>
  <DocSecurity>0</DocSecurity>
  <Lines>230</Lines>
  <Paragraphs>64</Paragraphs>
  <ScaleCrop>false</ScaleCrop>
  <Company/>
  <LinksUpToDate>false</LinksUpToDate>
  <CharactersWithSpaces>32387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dcterms:created xsi:type="dcterms:W3CDTF">2026-05-17T18:02:00Z</dcterms:created>
  <dcterms:modified xsi:type="dcterms:W3CDTF">2026-05-17T18:02:00Z</dcterms:modified>
</cp:coreProperties>
</file>