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1E2836" w:rsidRDefault="00000000" w:rsidP="00E70F84">
      <w:pPr>
        <w:pStyle w:val="Heading1"/>
        <w:keepNext w:val="0"/>
        <w:keepLines w:val="0"/>
        <w:spacing w:before="480"/>
        <w:rPr>
          <w:b/>
          <w:bCs/>
          <w:sz w:val="22"/>
          <w:szCs w:val="22"/>
          <w:u w:val="single"/>
        </w:rPr>
      </w:pPr>
      <w:bookmarkStart w:id="0" w:name="_73abyz3bnmdw" w:colFirst="0" w:colLast="0"/>
      <w:bookmarkEnd w:id="0"/>
      <w:r>
        <w:rPr>
          <w:b/>
          <w:bCs/>
          <w:sz w:val="24"/>
          <w:szCs w:val="24"/>
          <w:u w:val="single"/>
        </w:rPr>
        <w:t>Building a New State Level Borrowing System for State Fiscal Borrowing Responsibility to Standardize Rules of Borrowing for Indian States and Debt Sustainability Metrics</w:t>
      </w:r>
    </w:p>
    <w:p w14:paraId="00000002" w14:textId="77777777" w:rsidR="001E2836" w:rsidRDefault="00000000" w:rsidP="00E70F84">
      <w:pPr>
        <w:pStyle w:val="Heading1"/>
        <w:keepNext w:val="0"/>
        <w:keepLines w:val="0"/>
        <w:spacing w:before="480"/>
        <w:rPr>
          <w:b/>
          <w:bCs/>
          <w:sz w:val="22"/>
          <w:szCs w:val="22"/>
        </w:rPr>
      </w:pPr>
      <w:bookmarkStart w:id="1" w:name="_it6ei4346dhw" w:colFirst="0" w:colLast="0"/>
      <w:bookmarkEnd w:id="1"/>
      <w:r>
        <w:rPr>
          <w:b/>
          <w:bCs/>
          <w:sz w:val="22"/>
          <w:szCs w:val="22"/>
        </w:rPr>
        <w:t xml:space="preserve">1) Executive summary </w:t>
      </w:r>
    </w:p>
    <w:p w14:paraId="00000003" w14:textId="77777777" w:rsidR="001E2836" w:rsidRDefault="00000000" w:rsidP="00E70F84">
      <w:pPr>
        <w:spacing w:before="240" w:after="240"/>
        <w:ind w:left="720"/>
      </w:pPr>
      <w:r>
        <w:t xml:space="preserve">State borrowing in India is large as well as heterogeneous across states and current rules don’t produce a single standardized, risk-sensitive, quantitative system for state-level borrowing oversight and debt sustainability monitoring. Hence, this report proposes a </w:t>
      </w:r>
      <w:r>
        <w:rPr>
          <w:b/>
          <w:bCs/>
        </w:rPr>
        <w:t>State Fiscal Borrowing Responsibility System (SFBRS)</w:t>
      </w:r>
      <w:r>
        <w:t xml:space="preserve"> which is a composite dashboard to standardize borrowing rules, link borrowing headroom to fiscal performance and debt sustainability. Key components: </w:t>
      </w:r>
    </w:p>
    <w:p w14:paraId="00000004" w14:textId="77777777" w:rsidR="001E2836" w:rsidRDefault="00000000" w:rsidP="00E70F84">
      <w:pPr>
        <w:spacing w:before="240" w:after="240"/>
        <w:ind w:left="720"/>
      </w:pPr>
      <w:r>
        <w:t xml:space="preserve">(a) composite Debt-Sustainability Index (DSI) combining multiple indicators </w:t>
      </w:r>
    </w:p>
    <w:p w14:paraId="00000005" w14:textId="77777777" w:rsidR="001E2836" w:rsidRDefault="00000000" w:rsidP="00E70F84">
      <w:pPr>
        <w:spacing w:before="240" w:after="240"/>
        <w:ind w:left="720"/>
      </w:pPr>
      <w:r>
        <w:t>(b) explicit glide-paths and binding ceilings tied to DSI bands</w:t>
      </w:r>
    </w:p>
    <w:p w14:paraId="00000006" w14:textId="77777777" w:rsidR="001E2836" w:rsidRDefault="00000000" w:rsidP="00E70F84">
      <w:pPr>
        <w:spacing w:before="240" w:after="240"/>
        <w:ind w:left="720"/>
      </w:pPr>
      <w:r>
        <w:t xml:space="preserve">(c) rolling stress tests and contingency rules </w:t>
      </w:r>
    </w:p>
    <w:p w14:paraId="00000007" w14:textId="77777777" w:rsidR="001E2836" w:rsidRDefault="00000000" w:rsidP="00E70F84">
      <w:pPr>
        <w:spacing w:before="240" w:after="240"/>
        <w:ind w:left="720"/>
      </w:pPr>
      <w:r>
        <w:t xml:space="preserve">(d) institutional changes </w:t>
      </w:r>
    </w:p>
    <w:p w14:paraId="00000008" w14:textId="77777777" w:rsidR="001E2836" w:rsidRDefault="00000000" w:rsidP="00E70F84">
      <w:pPr>
        <w:spacing w:before="240" w:after="240"/>
        <w:ind w:left="720"/>
      </w:pPr>
      <w:r>
        <w:t>(e) transparent public dashboards</w:t>
      </w:r>
    </w:p>
    <w:p w14:paraId="00000009" w14:textId="77777777" w:rsidR="001E2836" w:rsidRDefault="00000000" w:rsidP="00E70F84">
      <w:pPr>
        <w:numPr>
          <w:ilvl w:val="0"/>
          <w:numId w:val="5"/>
        </w:numPr>
        <w:spacing w:before="240" w:after="240"/>
      </w:pPr>
      <w:r>
        <w:t>Expected impacts: improved market discipline, better prioritization of capital vs. revenue borrowing, lower risk of debt distress</w:t>
      </w:r>
    </w:p>
    <w:p w14:paraId="0000000A" w14:textId="77777777" w:rsidR="001E2836" w:rsidRDefault="00000000" w:rsidP="00E70F84">
      <w:pPr>
        <w:spacing w:before="240" w:after="240"/>
        <w:rPr>
          <w:b/>
          <w:bCs/>
        </w:rPr>
      </w:pPr>
      <w:r>
        <w:rPr>
          <w:b/>
          <w:bCs/>
        </w:rPr>
        <w:t>Why this matters</w:t>
      </w:r>
    </w:p>
    <w:p w14:paraId="0000000B" w14:textId="77777777" w:rsidR="001E2836" w:rsidRDefault="00000000" w:rsidP="00E70F84">
      <w:pPr>
        <w:spacing w:before="240" w:after="240"/>
      </w:pPr>
      <w:r>
        <w:t>State debt is a major part of general government liabilities. States’ fiscal choices strongly affect macro stability and public service delivery. The FRBM framework and Finance Commission recommendations set broad ceilings yet there is large heterogeneity in debt dynamics and contingent liabilities across states.</w:t>
      </w:r>
      <w:hyperlink r:id="rId5">
        <w:r>
          <w:t xml:space="preserve"> </w:t>
        </w:r>
      </w:hyperlink>
      <w:r>
        <w:t>RBI, Comptroller &amp; Auditor General (CAG) and policy researchers have urged clearer reporting and stress testing for states. Recent central commentary recommends states set time-bound consolidation paths and improve transparency. Recent empirical work finds aggregate sustainability may hide state-level vulnerabilities only a subset of states show sustainable paths under standard tests. This motivates a state-level, multidimensional metric.</w:t>
      </w:r>
    </w:p>
    <w:p w14:paraId="0000000C" w14:textId="77777777" w:rsidR="001E2836" w:rsidRDefault="00000000" w:rsidP="00E70F84">
      <w:pPr>
        <w:pStyle w:val="Heading1"/>
        <w:keepNext w:val="0"/>
        <w:keepLines w:val="0"/>
        <w:spacing w:before="480"/>
        <w:rPr>
          <w:b/>
          <w:bCs/>
          <w:sz w:val="22"/>
          <w:szCs w:val="22"/>
        </w:rPr>
      </w:pPr>
      <w:bookmarkStart w:id="2" w:name="_wtc2sprhufnh" w:colFirst="0" w:colLast="0"/>
      <w:bookmarkEnd w:id="2"/>
      <w:r>
        <w:rPr>
          <w:b/>
          <w:bCs/>
          <w:sz w:val="22"/>
          <w:szCs w:val="22"/>
        </w:rPr>
        <w:t xml:space="preserve">2) Objectives of the SFBRS </w:t>
      </w:r>
    </w:p>
    <w:p w14:paraId="0000000D" w14:textId="77777777" w:rsidR="001E2836" w:rsidRDefault="00000000" w:rsidP="00E70F84">
      <w:pPr>
        <w:numPr>
          <w:ilvl w:val="0"/>
          <w:numId w:val="10"/>
        </w:numPr>
        <w:spacing w:before="240"/>
      </w:pPr>
      <w:r>
        <w:t>A quantitative, multi-indicator Debt-Sustainability Index (DSI) for Indian states that captures stock flow aspects, liquidity risk, contingent liabilities and market access.</w:t>
      </w:r>
      <w:r>
        <w:br/>
      </w:r>
    </w:p>
    <w:p w14:paraId="0000000E" w14:textId="77777777" w:rsidR="001E2836" w:rsidRDefault="00000000" w:rsidP="00E70F84">
      <w:pPr>
        <w:numPr>
          <w:ilvl w:val="0"/>
          <w:numId w:val="10"/>
        </w:numPr>
      </w:pPr>
      <w:r>
        <w:lastRenderedPageBreak/>
        <w:t>Propose rules that map the DSI bands to borrowing headroom, conditional on credible debt management plans.</w:t>
      </w:r>
      <w:r>
        <w:br/>
      </w:r>
    </w:p>
    <w:p w14:paraId="0000000F" w14:textId="77777777" w:rsidR="001E2836" w:rsidRDefault="00000000" w:rsidP="00E70F84">
      <w:pPr>
        <w:numPr>
          <w:ilvl w:val="0"/>
          <w:numId w:val="10"/>
        </w:numPr>
      </w:pPr>
      <w:r>
        <w:t>Build and test the DSI on Indian states (panel 2010-2024) to evaluate classification, early warning power and explanatory power for interest spreads/market borrowing costs.</w:t>
      </w:r>
      <w:r>
        <w:br/>
      </w:r>
    </w:p>
    <w:p w14:paraId="00000010" w14:textId="77777777" w:rsidR="001E2836" w:rsidRDefault="00000000" w:rsidP="00E70F84">
      <w:pPr>
        <w:numPr>
          <w:ilvl w:val="0"/>
          <w:numId w:val="10"/>
        </w:numPr>
        <w:spacing w:after="240"/>
      </w:pPr>
      <w:r>
        <w:t xml:space="preserve">Recommend institutional changes and an implementation roadmap </w:t>
      </w:r>
    </w:p>
    <w:p w14:paraId="00000011" w14:textId="77777777" w:rsidR="001E2836" w:rsidRDefault="00000000" w:rsidP="00E70F84">
      <w:pPr>
        <w:pStyle w:val="Heading1"/>
        <w:keepNext w:val="0"/>
        <w:keepLines w:val="0"/>
        <w:spacing w:before="480"/>
        <w:rPr>
          <w:b/>
          <w:bCs/>
          <w:sz w:val="22"/>
          <w:szCs w:val="22"/>
        </w:rPr>
      </w:pPr>
      <w:bookmarkStart w:id="3" w:name="_o2vi61ziwc2" w:colFirst="0" w:colLast="0"/>
      <w:bookmarkEnd w:id="3"/>
      <w:r>
        <w:rPr>
          <w:b/>
          <w:bCs/>
          <w:sz w:val="22"/>
          <w:szCs w:val="22"/>
        </w:rPr>
        <w:t xml:space="preserve">3) Conceptual framework </w:t>
      </w:r>
    </w:p>
    <w:p w14:paraId="00000012" w14:textId="77777777" w:rsidR="001E2836" w:rsidRDefault="00000000" w:rsidP="00E70F84">
      <w:pPr>
        <w:spacing w:before="240" w:after="240"/>
      </w:pPr>
      <w:r>
        <w:t>The SFBRS DSI combines four pillars:</w:t>
      </w:r>
    </w:p>
    <w:p w14:paraId="00000013" w14:textId="77777777" w:rsidR="001E2836" w:rsidRDefault="00000000" w:rsidP="00E70F84">
      <w:pPr>
        <w:numPr>
          <w:ilvl w:val="0"/>
          <w:numId w:val="7"/>
        </w:numPr>
        <w:spacing w:before="240"/>
      </w:pPr>
      <w:r>
        <w:rPr>
          <w:b/>
          <w:bCs/>
        </w:rPr>
        <w:t>Stock indicators (solvency):</w:t>
      </w:r>
      <w:r>
        <w:t xml:space="preserve"> debt/GSDP, net debt/GSDP, present value of debt/GSDP.</w:t>
      </w:r>
      <w:r>
        <w:br/>
      </w:r>
    </w:p>
    <w:p w14:paraId="00000014" w14:textId="77777777" w:rsidR="001E2836" w:rsidRDefault="00000000" w:rsidP="00E70F84">
      <w:pPr>
        <w:numPr>
          <w:ilvl w:val="0"/>
          <w:numId w:val="7"/>
        </w:numPr>
      </w:pPr>
      <w:r>
        <w:rPr>
          <w:b/>
          <w:bCs/>
        </w:rPr>
        <w:t>Flow indicators (fiscal effort):</w:t>
      </w:r>
      <w:r>
        <w:t xml:space="preserve"> primary balance/GSDP, interest payments/revenue, fiscal deficit/GSDP.</w:t>
      </w:r>
      <w:r>
        <w:br/>
      </w:r>
    </w:p>
    <w:p w14:paraId="00000015" w14:textId="77777777" w:rsidR="001E2836" w:rsidRDefault="00000000" w:rsidP="00E70F84">
      <w:pPr>
        <w:numPr>
          <w:ilvl w:val="0"/>
          <w:numId w:val="7"/>
        </w:numPr>
      </w:pPr>
      <w:r>
        <w:rPr>
          <w:b/>
          <w:bCs/>
        </w:rPr>
        <w:t>Liquidity indicators:</w:t>
      </w:r>
      <w:r>
        <w:t xml:space="preserve"> short-term borrowing/total debt, maturing debt share next 12 months, </w:t>
      </w:r>
      <w:r>
        <w:br/>
      </w:r>
    </w:p>
    <w:p w14:paraId="00000016" w14:textId="77777777" w:rsidR="001E2836" w:rsidRDefault="00000000" w:rsidP="00E70F84">
      <w:pPr>
        <w:numPr>
          <w:ilvl w:val="0"/>
          <w:numId w:val="7"/>
        </w:numPr>
      </w:pPr>
      <w:r>
        <w:rPr>
          <w:b/>
          <w:bCs/>
        </w:rPr>
        <w:t>Contingent liabilities &amp; risk indicators:</w:t>
      </w:r>
      <w:r>
        <w:t xml:space="preserve"> public enterprise debt exposures, off-balance sheet items, revenue volatility </w:t>
      </w:r>
      <w:r>
        <w:br/>
      </w:r>
    </w:p>
    <w:p w14:paraId="00000017" w14:textId="77777777" w:rsidR="001E2836" w:rsidRDefault="00000000" w:rsidP="00E70F84">
      <w:pPr>
        <w:numPr>
          <w:ilvl w:val="0"/>
          <w:numId w:val="7"/>
        </w:numPr>
        <w:spacing w:after="240"/>
      </w:pPr>
      <w:r>
        <w:rPr>
          <w:b/>
          <w:bCs/>
        </w:rPr>
        <w:t>Market &amp; macro indicators:</w:t>
      </w:r>
      <w:r>
        <w:rPr>
          <w:rFonts w:ascii="Arial Unicode MS" w:eastAsia="Arial Unicode MS" w:hAnsi="Arial Unicode MS" w:cs="Arial Unicode MS"/>
        </w:rPr>
        <w:t xml:space="preserve"> interest rate growth differential (r − g), credit spreads on state securities, , financing cost premium versus central government.</w:t>
      </w:r>
      <w:r>
        <w:rPr>
          <w:rFonts w:ascii="Arial Unicode MS" w:eastAsia="Arial Unicode MS" w:hAnsi="Arial Unicode MS" w:cs="Arial Unicode MS"/>
        </w:rPr>
        <w:br/>
      </w:r>
    </w:p>
    <w:p w14:paraId="00000018" w14:textId="77777777" w:rsidR="001E2836" w:rsidRDefault="00000000" w:rsidP="00E70F84">
      <w:pPr>
        <w:spacing w:before="240" w:after="240"/>
      </w:pPr>
      <w:r>
        <w:t>3.1 Rationale</w:t>
      </w:r>
    </w:p>
    <w:p w14:paraId="00000019" w14:textId="41A16EAC" w:rsidR="001E2836" w:rsidRDefault="00E70F84" w:rsidP="00E70F84">
      <w:pPr>
        <w:spacing w:before="240" w:after="240"/>
      </w:pPr>
      <w:r>
        <w:t>S</w:t>
      </w:r>
      <w:r w:rsidR="00000000">
        <w:t>olvency tests detect long-run sustainability</w:t>
      </w:r>
      <w:r>
        <w:t xml:space="preserve"> while</w:t>
      </w:r>
      <w:r w:rsidR="00000000">
        <w:t xml:space="preserve"> flow tests detect fiscal adjustment capacity</w:t>
      </w:r>
      <w:r>
        <w:t xml:space="preserve"> and </w:t>
      </w:r>
      <w:r w:rsidR="00000000">
        <w:t>liquidity tests detect rollover risk</w:t>
      </w:r>
      <w:r>
        <w:t xml:space="preserve"> while </w:t>
      </w:r>
      <w:r w:rsidR="00000000">
        <w:t>contingent liabilities capture hidden fiscal risk</w:t>
      </w:r>
      <w:r>
        <w:t xml:space="preserve"> finally, </w:t>
      </w:r>
      <w:r w:rsidR="00000000">
        <w:t>market signals reveal pricing of perceived risk.</w:t>
      </w:r>
    </w:p>
    <w:p w14:paraId="0000001A" w14:textId="77777777" w:rsidR="001E2836" w:rsidRDefault="00000000" w:rsidP="00E70F84">
      <w:pPr>
        <w:pStyle w:val="Heading1"/>
        <w:keepNext w:val="0"/>
        <w:keepLines w:val="0"/>
        <w:spacing w:before="480"/>
        <w:rPr>
          <w:sz w:val="22"/>
          <w:szCs w:val="22"/>
        </w:rPr>
      </w:pPr>
      <w:bookmarkStart w:id="4" w:name="_sujhkiwnmwvg" w:colFirst="0" w:colLast="0"/>
      <w:bookmarkEnd w:id="4"/>
      <w:r>
        <w:rPr>
          <w:b/>
          <w:bCs/>
          <w:sz w:val="22"/>
          <w:szCs w:val="22"/>
        </w:rPr>
        <w:t>4) Quantitative metrics and formulas</w:t>
      </w:r>
    </w:p>
    <w:p w14:paraId="0000001B" w14:textId="77777777" w:rsidR="001E2836" w:rsidRDefault="00000000" w:rsidP="00E70F84">
      <w:pPr>
        <w:pStyle w:val="Heading2"/>
        <w:keepNext w:val="0"/>
        <w:keepLines w:val="0"/>
        <w:spacing w:after="80"/>
        <w:rPr>
          <w:b/>
          <w:bCs/>
          <w:sz w:val="22"/>
          <w:szCs w:val="22"/>
        </w:rPr>
      </w:pPr>
      <w:bookmarkStart w:id="5" w:name="_mqwqpsshi0fm" w:colFirst="0" w:colLast="0"/>
      <w:bookmarkEnd w:id="5"/>
      <w:r>
        <w:rPr>
          <w:b/>
          <w:bCs/>
          <w:sz w:val="22"/>
          <w:szCs w:val="22"/>
        </w:rPr>
        <w:t>4.1 Stock &amp; solvency</w:t>
      </w:r>
    </w:p>
    <w:p w14:paraId="0000001C" w14:textId="77777777" w:rsidR="001E2836" w:rsidRDefault="00000000" w:rsidP="00E70F84">
      <w:pPr>
        <w:numPr>
          <w:ilvl w:val="0"/>
          <w:numId w:val="8"/>
        </w:numPr>
        <w:spacing w:before="240"/>
      </w:pPr>
      <w:r>
        <w:rPr>
          <w:b/>
          <w:bCs/>
        </w:rPr>
        <w:t>Gross Debt to GSDP</w:t>
      </w:r>
      <w:r>
        <w:t>: D</w:t>
      </w:r>
      <w:r>
        <w:rPr>
          <w:vertAlign w:val="subscript"/>
        </w:rPr>
        <w:t>t</w:t>
      </w:r>
      <w:r>
        <w:t>/GSDP</w:t>
      </w:r>
      <w:r>
        <w:rPr>
          <w:vertAlign w:val="subscript"/>
        </w:rPr>
        <w:t>t</w:t>
      </w:r>
      <w:r>
        <w:br/>
      </w:r>
    </w:p>
    <w:p w14:paraId="0000001D" w14:textId="77777777" w:rsidR="001E2836" w:rsidRDefault="00000000" w:rsidP="00E70F84">
      <w:pPr>
        <w:numPr>
          <w:ilvl w:val="0"/>
          <w:numId w:val="8"/>
        </w:numPr>
      </w:pPr>
      <w:r>
        <w:rPr>
          <w:b/>
          <w:bCs/>
        </w:rPr>
        <w:t>Net Debt to GSDP</w:t>
      </w:r>
      <w:r>
        <w:t>: (D</w:t>
      </w:r>
      <w:r>
        <w:rPr>
          <w:vertAlign w:val="subscript"/>
        </w:rPr>
        <w:t>t</w:t>
      </w:r>
      <w:r>
        <w:rPr>
          <w:rFonts w:ascii="Arial Unicode MS" w:eastAsia="Arial Unicode MS" w:hAnsi="Arial Unicode MS" w:cs="Arial Unicode MS"/>
        </w:rPr>
        <w:t>−F</w:t>
      </w:r>
      <w:r>
        <w:rPr>
          <w:vertAlign w:val="subscript"/>
        </w:rPr>
        <w:t>t</w:t>
      </w:r>
      <w:r>
        <w:t>)/GSDP</w:t>
      </w:r>
      <w:r>
        <w:rPr>
          <w:vertAlign w:val="subscript"/>
        </w:rPr>
        <w:t>t</w:t>
      </w:r>
      <w:r>
        <w:t xml:space="preserve"> where F</w:t>
      </w:r>
      <w:r>
        <w:rPr>
          <w:vertAlign w:val="subscript"/>
        </w:rPr>
        <w:t>t</w:t>
      </w:r>
      <w:r>
        <w:t xml:space="preserve">= financial assets </w:t>
      </w:r>
      <w:r>
        <w:br/>
      </w:r>
    </w:p>
    <w:p w14:paraId="0000001E" w14:textId="77777777" w:rsidR="001E2836" w:rsidRDefault="00000000" w:rsidP="00E70F84">
      <w:pPr>
        <w:numPr>
          <w:ilvl w:val="0"/>
          <w:numId w:val="8"/>
        </w:numPr>
        <w:spacing w:after="240"/>
      </w:pPr>
      <w:r>
        <w:rPr>
          <w:b/>
          <w:bCs/>
        </w:rPr>
        <w:t>Present Value Debt (PV)</w:t>
      </w:r>
      <w:r>
        <w:t>: PV</w:t>
      </w:r>
      <w:r>
        <w:rPr>
          <w:vertAlign w:val="subscript"/>
        </w:rPr>
        <w:t>t</w:t>
      </w:r>
      <w:r>
        <w:t>=D</w:t>
      </w:r>
      <w:r>
        <w:rPr>
          <w:vertAlign w:val="subscript"/>
        </w:rPr>
        <w:t>t</w:t>
      </w:r>
      <w:r>
        <w:rPr>
          <w:rFonts w:ascii="Arial Unicode MS" w:eastAsia="Arial Unicode MS" w:hAnsi="Arial Unicode MS" w:cs="Arial Unicode MS"/>
        </w:rPr>
        <w:t>+ ∑s=1 to T PB</w:t>
      </w:r>
      <w:r>
        <w:rPr>
          <w:vertAlign w:val="subscript"/>
        </w:rPr>
        <w:t>t+s</w:t>
      </w:r>
      <w:r>
        <w:t>/(1+r)</w:t>
      </w:r>
      <w:r>
        <w:rPr>
          <w:vertAlign w:val="superscript"/>
        </w:rPr>
        <w:t>s</w:t>
      </w:r>
      <w:r>
        <w:t xml:space="preserve"> where PB are projected primary balances.</w:t>
      </w:r>
      <w:r>
        <w:br/>
      </w:r>
    </w:p>
    <w:p w14:paraId="0000001F" w14:textId="77777777" w:rsidR="001E2836" w:rsidRDefault="00000000" w:rsidP="00E70F84">
      <w:pPr>
        <w:pStyle w:val="Heading2"/>
        <w:keepNext w:val="0"/>
        <w:keepLines w:val="0"/>
        <w:spacing w:after="80"/>
        <w:rPr>
          <w:b/>
          <w:bCs/>
          <w:sz w:val="22"/>
          <w:szCs w:val="22"/>
        </w:rPr>
      </w:pPr>
      <w:bookmarkStart w:id="6" w:name="_s0lv6335mnfv" w:colFirst="0" w:colLast="0"/>
      <w:bookmarkEnd w:id="6"/>
      <w:r>
        <w:rPr>
          <w:b/>
          <w:bCs/>
          <w:sz w:val="22"/>
          <w:szCs w:val="22"/>
        </w:rPr>
        <w:lastRenderedPageBreak/>
        <w:t>4.2 Flow &amp; fiscal effort</w:t>
      </w:r>
    </w:p>
    <w:p w14:paraId="00000020" w14:textId="77777777" w:rsidR="001E2836" w:rsidRDefault="00000000" w:rsidP="00E70F84">
      <w:pPr>
        <w:numPr>
          <w:ilvl w:val="0"/>
          <w:numId w:val="6"/>
        </w:numPr>
        <w:spacing w:before="240"/>
      </w:pPr>
      <w:r>
        <w:rPr>
          <w:b/>
          <w:bCs/>
        </w:rPr>
        <w:t>Primary Balance Ratio</w:t>
      </w:r>
      <w:r>
        <w:t>: PB</w:t>
      </w:r>
      <w:r>
        <w:rPr>
          <w:vertAlign w:val="subscript"/>
        </w:rPr>
        <w:t>t</w:t>
      </w:r>
      <w:r>
        <w:t>/GSDP</w:t>
      </w:r>
      <w:r>
        <w:rPr>
          <w:vertAlign w:val="subscript"/>
        </w:rPr>
        <w:t>t</w:t>
      </w:r>
      <w:r>
        <w:t>=(Revenue</w:t>
      </w:r>
      <w:r>
        <w:rPr>
          <w:vertAlign w:val="subscript"/>
        </w:rPr>
        <w:t>t</w:t>
      </w:r>
      <w:r>
        <w:rPr>
          <w:rFonts w:ascii="Arial Unicode MS" w:eastAsia="Arial Unicode MS" w:hAnsi="Arial Unicode MS" w:cs="Arial Unicode MS"/>
        </w:rPr>
        <w:t>−Expenditure</w:t>
      </w:r>
      <w:r>
        <w:rPr>
          <w:vertAlign w:val="subscript"/>
        </w:rPr>
        <w:t>t</w:t>
      </w:r>
      <w:r>
        <w:t>+Interest</w:t>
      </w:r>
      <w:r>
        <w:rPr>
          <w:vertAlign w:val="subscript"/>
        </w:rPr>
        <w:t>t</w:t>
      </w:r>
      <w:r>
        <w:t>)/GSDP</w:t>
      </w:r>
      <w:r>
        <w:rPr>
          <w:vertAlign w:val="subscript"/>
        </w:rPr>
        <w:t>t</w:t>
      </w:r>
      <w:r>
        <w:br/>
      </w:r>
    </w:p>
    <w:p w14:paraId="00000021" w14:textId="77777777" w:rsidR="001E2836" w:rsidRDefault="00000000" w:rsidP="00E70F84">
      <w:pPr>
        <w:numPr>
          <w:ilvl w:val="0"/>
          <w:numId w:val="6"/>
        </w:numPr>
      </w:pPr>
      <w:r>
        <w:rPr>
          <w:b/>
          <w:bCs/>
        </w:rPr>
        <w:t>Interest Payments to Revenue</w:t>
      </w:r>
      <w:r>
        <w:t>: INT</w:t>
      </w:r>
      <w:r>
        <w:rPr>
          <w:vertAlign w:val="subscript"/>
        </w:rPr>
        <w:t>t</w:t>
      </w:r>
      <w:r>
        <w:t>/Revenue</w:t>
      </w:r>
      <w:r>
        <w:rPr>
          <w:vertAlign w:val="subscript"/>
        </w:rPr>
        <w:t>t</w:t>
      </w:r>
      <w:r>
        <w:br/>
      </w:r>
    </w:p>
    <w:p w14:paraId="00000022" w14:textId="77777777" w:rsidR="001E2836" w:rsidRDefault="00000000" w:rsidP="00E70F84">
      <w:pPr>
        <w:numPr>
          <w:ilvl w:val="0"/>
          <w:numId w:val="6"/>
        </w:numPr>
        <w:spacing w:after="240"/>
      </w:pPr>
      <w:r>
        <w:rPr>
          <w:b/>
          <w:bCs/>
        </w:rPr>
        <w:t xml:space="preserve">Fiscal Reaction Function: </w:t>
      </w:r>
      <w:r>
        <w:t>Δdebt</w:t>
      </w:r>
      <w:r>
        <w:rPr>
          <w:vertAlign w:val="subscript"/>
        </w:rPr>
        <w:t>t</w:t>
      </w:r>
      <w:r>
        <w:t>=α+β(r</w:t>
      </w:r>
      <w:r>
        <w:rPr>
          <w:vertAlign w:val="subscript"/>
        </w:rPr>
        <w:t>t</w:t>
      </w:r>
      <w:r>
        <w:rPr>
          <w:rFonts w:ascii="Arial Unicode MS" w:eastAsia="Arial Unicode MS" w:hAnsi="Arial Unicode MS" w:cs="Arial Unicode MS"/>
        </w:rPr>
        <w:t>−g</w:t>
      </w:r>
      <w:r>
        <w:rPr>
          <w:vertAlign w:val="subscript"/>
        </w:rPr>
        <w:t>t</w:t>
      </w:r>
      <w:r>
        <w:t>)debt</w:t>
      </w:r>
      <w:r>
        <w:rPr>
          <w:vertAlign w:val="subscript"/>
        </w:rPr>
        <w:t>t-1</w:t>
      </w:r>
      <w:r>
        <w:t>+ γPB</w:t>
      </w:r>
      <w:r>
        <w:rPr>
          <w:vertAlign w:val="subscript"/>
        </w:rPr>
        <w:t>t</w:t>
      </w:r>
      <w:r>
        <w:t xml:space="preserve">+ εt </w:t>
      </w:r>
    </w:p>
    <w:p w14:paraId="00000023" w14:textId="77777777" w:rsidR="001E2836" w:rsidRDefault="00000000" w:rsidP="00E70F84">
      <w:pPr>
        <w:pStyle w:val="Heading2"/>
        <w:keepNext w:val="0"/>
        <w:keepLines w:val="0"/>
        <w:spacing w:after="80"/>
        <w:rPr>
          <w:b/>
          <w:bCs/>
          <w:sz w:val="22"/>
          <w:szCs w:val="22"/>
        </w:rPr>
      </w:pPr>
      <w:bookmarkStart w:id="7" w:name="_1q53zfkeleg3" w:colFirst="0" w:colLast="0"/>
      <w:bookmarkEnd w:id="7"/>
      <w:r>
        <w:rPr>
          <w:b/>
          <w:bCs/>
          <w:sz w:val="22"/>
          <w:szCs w:val="22"/>
        </w:rPr>
        <w:t>4.3 Liquidity &amp; rollover risk</w:t>
      </w:r>
    </w:p>
    <w:p w14:paraId="00000024" w14:textId="5AC2808D" w:rsidR="001E2836" w:rsidRDefault="00000000" w:rsidP="00E70F84">
      <w:pPr>
        <w:numPr>
          <w:ilvl w:val="0"/>
          <w:numId w:val="9"/>
        </w:numPr>
        <w:spacing w:before="240"/>
      </w:pPr>
      <w:r>
        <w:rPr>
          <w:b/>
          <w:bCs/>
        </w:rPr>
        <w:t>Short-term debt share</w:t>
      </w:r>
      <w:r>
        <w:t>: Short</w:t>
      </w:r>
      <w:r w:rsidR="00E70F84">
        <w:t xml:space="preserve"> </w:t>
      </w:r>
      <w:r>
        <w:t>Term</w:t>
      </w:r>
      <w:r w:rsidR="00E70F84">
        <w:t xml:space="preserve"> </w:t>
      </w:r>
      <w:r>
        <w:t>Debt</w:t>
      </w:r>
      <w:r>
        <w:rPr>
          <w:vertAlign w:val="subscript"/>
        </w:rPr>
        <w:t>t</w:t>
      </w:r>
      <w:r>
        <w:t>​/Total</w:t>
      </w:r>
      <w:r w:rsidR="00E70F84">
        <w:t xml:space="preserve"> </w:t>
      </w:r>
      <w:r>
        <w:t>Debt</w:t>
      </w:r>
      <w:r>
        <w:rPr>
          <w:vertAlign w:val="subscript"/>
        </w:rPr>
        <w:t>t</w:t>
      </w:r>
      <w:r>
        <w:br/>
      </w:r>
    </w:p>
    <w:p w14:paraId="00000025" w14:textId="0A87CD11" w:rsidR="001E2836" w:rsidRDefault="00000000" w:rsidP="00E70F84">
      <w:pPr>
        <w:numPr>
          <w:ilvl w:val="0"/>
          <w:numId w:val="9"/>
        </w:numPr>
      </w:pPr>
      <w:r>
        <w:rPr>
          <w:b/>
          <w:bCs/>
        </w:rPr>
        <w:t>Debt service ratio</w:t>
      </w:r>
      <w:r>
        <w:t>: Debt</w:t>
      </w:r>
      <w:r w:rsidR="00E70F84">
        <w:t xml:space="preserve"> </w:t>
      </w:r>
      <w:r>
        <w:t>Service</w:t>
      </w:r>
      <w:r>
        <w:rPr>
          <w:vertAlign w:val="subscript"/>
        </w:rPr>
        <w:t>t</w:t>
      </w:r>
      <w:r>
        <w:t>/Curren</w:t>
      </w:r>
      <w:r w:rsidR="00E70F84">
        <w:t xml:space="preserve">t </w:t>
      </w:r>
      <w:r>
        <w:t>Receipts</w:t>
      </w:r>
      <w:r>
        <w:rPr>
          <w:vertAlign w:val="subscript"/>
        </w:rPr>
        <w:t>t</w:t>
      </w:r>
    </w:p>
    <w:p w14:paraId="00000026" w14:textId="77777777" w:rsidR="001E2836" w:rsidRDefault="00000000" w:rsidP="00E70F84">
      <w:pPr>
        <w:numPr>
          <w:ilvl w:val="0"/>
          <w:numId w:val="9"/>
        </w:numPr>
        <w:spacing w:after="240"/>
      </w:pPr>
      <w:r>
        <w:rPr>
          <w:b/>
          <w:bCs/>
        </w:rPr>
        <w:t>Maturity profile</w:t>
      </w:r>
      <w:r>
        <w:t>: share of debt maturing within 1 year, 1–5 years, &gt;5 years.</w:t>
      </w:r>
      <w:r>
        <w:br/>
      </w:r>
    </w:p>
    <w:p w14:paraId="00000027" w14:textId="77777777" w:rsidR="001E2836" w:rsidRDefault="00000000" w:rsidP="00E70F84">
      <w:pPr>
        <w:pStyle w:val="Heading2"/>
        <w:keepNext w:val="0"/>
        <w:keepLines w:val="0"/>
        <w:spacing w:after="80"/>
        <w:rPr>
          <w:b/>
          <w:bCs/>
          <w:sz w:val="22"/>
          <w:szCs w:val="22"/>
        </w:rPr>
      </w:pPr>
      <w:bookmarkStart w:id="8" w:name="_gcn2dvvzk9t6" w:colFirst="0" w:colLast="0"/>
      <w:bookmarkEnd w:id="8"/>
      <w:r>
        <w:rPr>
          <w:b/>
          <w:bCs/>
          <w:sz w:val="22"/>
          <w:szCs w:val="22"/>
        </w:rPr>
        <w:t>4.4 Contingent liabilities</w:t>
      </w:r>
    </w:p>
    <w:p w14:paraId="00000028" w14:textId="77777777" w:rsidR="001E2836" w:rsidRDefault="00000000" w:rsidP="00E70F84">
      <w:pPr>
        <w:numPr>
          <w:ilvl w:val="0"/>
          <w:numId w:val="3"/>
        </w:numPr>
        <w:spacing w:before="240" w:after="240"/>
      </w:pPr>
      <w:r>
        <w:t>Compute off-balance exposure estimate using state budget disclosures and audit reports.</w:t>
      </w:r>
      <w:r>
        <w:br/>
      </w:r>
    </w:p>
    <w:p w14:paraId="00000029" w14:textId="77777777" w:rsidR="001E2836" w:rsidRDefault="00000000" w:rsidP="00E70F84">
      <w:pPr>
        <w:pStyle w:val="Heading2"/>
        <w:keepNext w:val="0"/>
        <w:keepLines w:val="0"/>
        <w:spacing w:after="80"/>
        <w:rPr>
          <w:b/>
          <w:bCs/>
          <w:sz w:val="22"/>
          <w:szCs w:val="22"/>
        </w:rPr>
      </w:pPr>
      <w:bookmarkStart w:id="9" w:name="_ar1tp7g64dwr" w:colFirst="0" w:colLast="0"/>
      <w:bookmarkEnd w:id="9"/>
      <w:r>
        <w:rPr>
          <w:b/>
          <w:bCs/>
          <w:sz w:val="22"/>
          <w:szCs w:val="22"/>
        </w:rPr>
        <w:t>4.5 Market signals</w:t>
      </w:r>
    </w:p>
    <w:p w14:paraId="0000002A" w14:textId="77777777" w:rsidR="001E2836" w:rsidRDefault="00000000" w:rsidP="00E70F84">
      <w:pPr>
        <w:numPr>
          <w:ilvl w:val="0"/>
          <w:numId w:val="12"/>
        </w:numPr>
        <w:spacing w:before="240" w:after="240"/>
      </w:pPr>
      <w:r>
        <w:rPr>
          <w:b/>
          <w:bCs/>
        </w:rPr>
        <w:t>State bond spread</w:t>
      </w:r>
      <w:r>
        <w:t>: secondary market spread vs. central government securities</w:t>
      </w:r>
    </w:p>
    <w:p w14:paraId="0000002B" w14:textId="77777777" w:rsidR="001E2836" w:rsidRDefault="00000000" w:rsidP="00E70F84">
      <w:pPr>
        <w:pStyle w:val="Heading1"/>
        <w:keepNext w:val="0"/>
        <w:keepLines w:val="0"/>
        <w:spacing w:before="480"/>
        <w:rPr>
          <w:b/>
          <w:bCs/>
          <w:sz w:val="22"/>
          <w:szCs w:val="22"/>
        </w:rPr>
      </w:pPr>
      <w:bookmarkStart w:id="10" w:name="_ro2zsbq8p5ot" w:colFirst="0" w:colLast="0"/>
      <w:bookmarkEnd w:id="10"/>
      <w:r>
        <w:rPr>
          <w:b/>
          <w:bCs/>
          <w:sz w:val="22"/>
          <w:szCs w:val="22"/>
        </w:rPr>
        <w:t>5) Constructing the composite Debt-Sustainability Index (DSI)</w:t>
      </w:r>
    </w:p>
    <w:p w14:paraId="0000002C" w14:textId="77777777" w:rsidR="001E2836" w:rsidRDefault="00000000" w:rsidP="00E70F84">
      <w:pPr>
        <w:spacing w:before="240" w:after="240"/>
      </w:pPr>
      <w:r>
        <w:t xml:space="preserve">Production of three outputs: </w:t>
      </w:r>
    </w:p>
    <w:p w14:paraId="0000002D" w14:textId="77777777" w:rsidR="001E2836" w:rsidRDefault="00000000" w:rsidP="00E70F84">
      <w:pPr>
        <w:spacing w:before="240" w:after="240"/>
      </w:pPr>
      <w:r>
        <w:t xml:space="preserve">(a) continuous DSI score (0-100) </w:t>
      </w:r>
    </w:p>
    <w:p w14:paraId="0000002E" w14:textId="77777777" w:rsidR="001E2836" w:rsidRDefault="00000000" w:rsidP="00E70F84">
      <w:pPr>
        <w:spacing w:before="240" w:after="240"/>
      </w:pPr>
      <w:r>
        <w:t>(b) categorical bands (Green/Amber/Red)</w:t>
      </w:r>
    </w:p>
    <w:p w14:paraId="0000002F" w14:textId="77777777" w:rsidR="001E2836" w:rsidRDefault="00000000" w:rsidP="00E70F84">
      <w:pPr>
        <w:spacing w:before="240" w:after="240"/>
      </w:pPr>
      <w:r>
        <w:t xml:space="preserve">(c) sub pillar scores </w:t>
      </w:r>
    </w:p>
    <w:p w14:paraId="00000030" w14:textId="77777777" w:rsidR="001E2836" w:rsidRDefault="00000000" w:rsidP="00E70F84">
      <w:pPr>
        <w:pStyle w:val="Heading3"/>
        <w:keepNext w:val="0"/>
        <w:keepLines w:val="0"/>
        <w:spacing w:before="280"/>
        <w:rPr>
          <w:b/>
          <w:bCs/>
          <w:color w:val="000000"/>
          <w:sz w:val="22"/>
          <w:szCs w:val="22"/>
        </w:rPr>
      </w:pPr>
      <w:bookmarkStart w:id="11" w:name="_nf54p8et50l" w:colFirst="0" w:colLast="0"/>
      <w:bookmarkEnd w:id="11"/>
      <w:r>
        <w:rPr>
          <w:b/>
          <w:bCs/>
          <w:color w:val="000000"/>
          <w:sz w:val="22"/>
          <w:szCs w:val="22"/>
        </w:rPr>
        <w:t>Steps:</w:t>
      </w:r>
    </w:p>
    <w:p w14:paraId="00000031" w14:textId="77777777" w:rsidR="001E2836" w:rsidRDefault="00000000" w:rsidP="00E70F84">
      <w:pPr>
        <w:numPr>
          <w:ilvl w:val="0"/>
          <w:numId w:val="13"/>
        </w:numPr>
        <w:spacing w:before="240"/>
      </w:pPr>
      <w:r>
        <w:t>Normalize</w:t>
      </w:r>
      <w:r>
        <w:rPr>
          <w:rFonts w:ascii="Arial Unicode MS" w:eastAsia="Arial Unicode MS" w:hAnsi="Arial Unicode MS" w:cs="Arial Unicode MS"/>
        </w:rPr>
        <w:t xml:space="preserve"> each indicator to z-scores or min/max. For indicators where higher is worse (debt/GSDP), transform as s=(x−min)/(max−min). For "better is higher" indicators, invert. Winsorize extreme outliers.</w:t>
      </w:r>
      <w:r>
        <w:rPr>
          <w:rFonts w:ascii="Arial Unicode MS" w:eastAsia="Arial Unicode MS" w:hAnsi="Arial Unicode MS" w:cs="Arial Unicode MS"/>
        </w:rPr>
        <w:br/>
      </w:r>
    </w:p>
    <w:p w14:paraId="00000032" w14:textId="77777777" w:rsidR="001E2836" w:rsidRDefault="00000000" w:rsidP="00E70F84">
      <w:pPr>
        <w:numPr>
          <w:ilvl w:val="0"/>
          <w:numId w:val="13"/>
        </w:numPr>
      </w:pPr>
      <w:r>
        <w:t>Dimension reduction: run PCA within each pillar to get pillar-level scores and reduce multicollinearity in the model</w:t>
      </w:r>
    </w:p>
    <w:p w14:paraId="00000033" w14:textId="77777777" w:rsidR="001E2836" w:rsidRDefault="00000000" w:rsidP="00E70F84">
      <w:pPr>
        <w:numPr>
          <w:ilvl w:val="0"/>
          <w:numId w:val="13"/>
        </w:numPr>
      </w:pPr>
      <w:r>
        <w:lastRenderedPageBreak/>
        <w:t>Combine pillars: weighted sum of pillar scores</w:t>
      </w:r>
      <w:r>
        <w:br/>
      </w:r>
    </w:p>
    <w:p w14:paraId="00000034" w14:textId="77777777" w:rsidR="001E2836" w:rsidRDefault="00000000" w:rsidP="00E70F84">
      <w:pPr>
        <w:numPr>
          <w:ilvl w:val="0"/>
          <w:numId w:val="13"/>
        </w:numPr>
      </w:pPr>
      <w:r>
        <w:t>Scale to 0-100</w:t>
      </w:r>
      <w:r>
        <w:br/>
      </w:r>
    </w:p>
    <w:p w14:paraId="00000035" w14:textId="77777777" w:rsidR="001E2836" w:rsidRDefault="00000000" w:rsidP="00E70F84">
      <w:pPr>
        <w:numPr>
          <w:ilvl w:val="1"/>
          <w:numId w:val="13"/>
        </w:numPr>
        <w:spacing w:after="240"/>
      </w:pPr>
      <w:r>
        <w:rPr>
          <w:rFonts w:ascii="Arial Unicode MS" w:eastAsia="Arial Unicode MS" w:hAnsi="Arial Unicode MS" w:cs="Arial Unicode MS"/>
          <w:color w:val="6AA84F"/>
        </w:rPr>
        <w:t>Green: DSI ≤ 40 (low risk)</w:t>
      </w:r>
      <w:r>
        <w:br/>
      </w:r>
      <w:r>
        <w:rPr>
          <w:rFonts w:ascii="Arial Unicode MS" w:eastAsia="Arial Unicode MS" w:hAnsi="Arial Unicode MS" w:cs="Arial Unicode MS"/>
          <w:color w:val="BF9000"/>
        </w:rPr>
        <w:t>Amber: 40 &lt; DSI ≤ 65 (moderate risk)</w:t>
      </w:r>
      <w:r>
        <w:br/>
      </w:r>
      <w:r>
        <w:rPr>
          <w:color w:val="FF0000"/>
        </w:rPr>
        <w:t>Red: DSI &gt; 65 (high risk)</w:t>
      </w:r>
    </w:p>
    <w:p w14:paraId="00000036" w14:textId="77777777" w:rsidR="001E2836" w:rsidRDefault="00000000" w:rsidP="00E70F84">
      <w:pPr>
        <w:pStyle w:val="Heading1"/>
        <w:keepNext w:val="0"/>
        <w:keepLines w:val="0"/>
        <w:spacing w:before="480"/>
      </w:pPr>
      <w:bookmarkStart w:id="12" w:name="_4l5j32ml2wij" w:colFirst="0" w:colLast="0"/>
      <w:bookmarkEnd w:id="12"/>
      <w:r>
        <w:rPr>
          <w:b/>
          <w:bCs/>
          <w:sz w:val="22"/>
          <w:szCs w:val="22"/>
        </w:rPr>
        <w:t xml:space="preserve">6) Mapping DSI to borrowing rules </w:t>
      </w:r>
    </w:p>
    <w:p w14:paraId="00000037" w14:textId="77777777" w:rsidR="001E2836" w:rsidRDefault="00000000" w:rsidP="00E70F84">
      <w:pPr>
        <w:numPr>
          <w:ilvl w:val="0"/>
          <w:numId w:val="4"/>
        </w:numPr>
        <w:spacing w:before="240"/>
        <w:rPr>
          <w:color w:val="6AA84F"/>
        </w:rPr>
      </w:pPr>
      <w:r>
        <w:rPr>
          <w:rFonts w:ascii="Arial Unicode MS" w:eastAsia="Arial Unicode MS" w:hAnsi="Arial Unicode MS" w:cs="Arial Unicode MS"/>
          <w:b/>
          <w:bCs/>
          <w:color w:val="6AA84F"/>
        </w:rPr>
        <w:t>Green (≤40)</w:t>
      </w:r>
      <w:r>
        <w:rPr>
          <w:color w:val="6AA84F"/>
        </w:rPr>
        <w:t>: Full normal borrowing allowance, access to market borrowing for capital projects.</w:t>
      </w:r>
      <w:r>
        <w:rPr>
          <w:color w:val="6AA84F"/>
        </w:rPr>
        <w:br/>
      </w:r>
    </w:p>
    <w:p w14:paraId="00000038" w14:textId="77777777" w:rsidR="001E2836" w:rsidRDefault="00000000" w:rsidP="00E70F84">
      <w:pPr>
        <w:numPr>
          <w:ilvl w:val="0"/>
          <w:numId w:val="4"/>
        </w:numPr>
      </w:pPr>
      <w:r>
        <w:rPr>
          <w:b/>
          <w:bCs/>
          <w:color w:val="BF9000"/>
        </w:rPr>
        <w:t>Amber (40-65)</w:t>
      </w:r>
      <w:r>
        <w:rPr>
          <w:color w:val="BF9000"/>
        </w:rPr>
        <w:t>: Restricted access, borrowing allowed only for capital projects with positive NPV and subject to a binding X year minimal fiscal consolidation plan with annual checkpoints</w:t>
      </w:r>
      <w:r>
        <w:t>.</w:t>
      </w:r>
      <w:r>
        <w:br/>
      </w:r>
    </w:p>
    <w:p w14:paraId="00000039" w14:textId="77777777" w:rsidR="001E2836" w:rsidRDefault="00000000" w:rsidP="00E70F84">
      <w:pPr>
        <w:numPr>
          <w:ilvl w:val="0"/>
          <w:numId w:val="4"/>
        </w:numPr>
        <w:spacing w:after="240"/>
        <w:rPr>
          <w:color w:val="FF0000"/>
        </w:rPr>
      </w:pPr>
      <w:r>
        <w:rPr>
          <w:b/>
          <w:bCs/>
          <w:color w:val="FF0000"/>
        </w:rPr>
        <w:t>Red (&gt;65)</w:t>
      </w:r>
      <w:r>
        <w:rPr>
          <w:color w:val="FF0000"/>
        </w:rPr>
        <w:t>: Significantly limited borrowing, only for legally mandated expenditures and for projects with external financing. Market borrowing allowed only with central approval and credible debt restructuring plan.</w:t>
      </w:r>
    </w:p>
    <w:p w14:paraId="0000003A" w14:textId="77777777" w:rsidR="001E2836" w:rsidRDefault="00000000" w:rsidP="00E70F84">
      <w:pPr>
        <w:pStyle w:val="Heading1"/>
        <w:keepNext w:val="0"/>
        <w:keepLines w:val="0"/>
        <w:spacing w:before="480"/>
        <w:rPr>
          <w:b/>
          <w:bCs/>
          <w:sz w:val="22"/>
          <w:szCs w:val="22"/>
        </w:rPr>
      </w:pPr>
      <w:bookmarkStart w:id="13" w:name="_s3dhfheefnvx" w:colFirst="0" w:colLast="0"/>
      <w:bookmarkEnd w:id="13"/>
      <w:r>
        <w:rPr>
          <w:b/>
          <w:bCs/>
          <w:sz w:val="22"/>
          <w:szCs w:val="22"/>
        </w:rPr>
        <w:t xml:space="preserve">7) Data sources </w:t>
      </w:r>
    </w:p>
    <w:p w14:paraId="0000003B" w14:textId="77777777" w:rsidR="001E2836" w:rsidRDefault="00000000" w:rsidP="00E70F84">
      <w:pPr>
        <w:spacing w:before="240" w:after="240"/>
        <w:rPr>
          <w:b/>
          <w:bCs/>
        </w:rPr>
      </w:pPr>
      <w:r>
        <w:rPr>
          <w:b/>
          <w:bCs/>
        </w:rPr>
        <w:t>Primary sources:</w:t>
      </w:r>
    </w:p>
    <w:p w14:paraId="0000003C" w14:textId="77777777" w:rsidR="001E2836" w:rsidRDefault="00000000" w:rsidP="00E70F84">
      <w:pPr>
        <w:numPr>
          <w:ilvl w:val="0"/>
          <w:numId w:val="1"/>
        </w:numPr>
        <w:spacing w:before="240"/>
      </w:pPr>
      <w:r>
        <w:t>State budgets &amp; Finance Accounts (state government websites).</w:t>
      </w:r>
      <w:r>
        <w:br/>
      </w:r>
    </w:p>
    <w:p w14:paraId="0000003D" w14:textId="77777777" w:rsidR="001E2836" w:rsidRDefault="00000000" w:rsidP="00E70F84">
      <w:pPr>
        <w:numPr>
          <w:ilvl w:val="0"/>
          <w:numId w:val="1"/>
        </w:numPr>
      </w:pPr>
      <w:r>
        <w:t>Reserve Bank of India (State Finances: A Study of Budgets) and database for state borrowings and debt composition. (PRS legislative)</w:t>
      </w:r>
      <w:r>
        <w:br/>
      </w:r>
    </w:p>
    <w:p w14:paraId="0000003E" w14:textId="77777777" w:rsidR="001E2836" w:rsidRDefault="00000000" w:rsidP="00E70F84">
      <w:pPr>
        <w:numPr>
          <w:ilvl w:val="0"/>
          <w:numId w:val="1"/>
        </w:numPr>
      </w:pPr>
      <w:r>
        <w:t>Comptroller &amp; Auditor General audit reports</w:t>
      </w:r>
      <w:r>
        <w:br/>
      </w:r>
    </w:p>
    <w:p w14:paraId="0000003F" w14:textId="77777777" w:rsidR="001E2836" w:rsidRDefault="00000000" w:rsidP="00E70F84">
      <w:pPr>
        <w:numPr>
          <w:ilvl w:val="0"/>
          <w:numId w:val="1"/>
        </w:numPr>
      </w:pPr>
      <w:r>
        <w:t>Finance Commission reports for borrowing rules</w:t>
      </w:r>
      <w:r>
        <w:br/>
      </w:r>
    </w:p>
    <w:p w14:paraId="00000040" w14:textId="77777777" w:rsidR="001E2836" w:rsidRDefault="00000000" w:rsidP="00E70F84">
      <w:pPr>
        <w:numPr>
          <w:ilvl w:val="0"/>
          <w:numId w:val="1"/>
        </w:numPr>
      </w:pPr>
      <w:r>
        <w:t xml:space="preserve">NITI Aayog annual reports, state GSDP time series </w:t>
      </w:r>
      <w:r>
        <w:br/>
      </w:r>
    </w:p>
    <w:p w14:paraId="00000041" w14:textId="77777777" w:rsidR="001E2836" w:rsidRDefault="00000000" w:rsidP="00E70F84">
      <w:pPr>
        <w:numPr>
          <w:ilvl w:val="0"/>
          <w:numId w:val="1"/>
        </w:numPr>
        <w:spacing w:after="240"/>
      </w:pPr>
      <w:r>
        <w:t>Market data: secondary spreads</w:t>
      </w:r>
    </w:p>
    <w:p w14:paraId="00000042" w14:textId="77777777" w:rsidR="001E2836" w:rsidRDefault="00000000" w:rsidP="00E70F84">
      <w:pPr>
        <w:pStyle w:val="Heading1"/>
        <w:keepNext w:val="0"/>
        <w:keepLines w:val="0"/>
        <w:spacing w:before="480"/>
      </w:pPr>
      <w:bookmarkStart w:id="14" w:name="_87n5afu6vjoy" w:colFirst="0" w:colLast="0"/>
      <w:bookmarkEnd w:id="14"/>
      <w:r>
        <w:rPr>
          <w:b/>
          <w:bCs/>
          <w:sz w:val="22"/>
          <w:szCs w:val="22"/>
        </w:rPr>
        <w:t>8) Modeling &amp; simulation details</w:t>
      </w:r>
    </w:p>
    <w:p w14:paraId="00000043" w14:textId="77777777" w:rsidR="001E2836" w:rsidRDefault="00000000" w:rsidP="00E70F84">
      <w:pPr>
        <w:numPr>
          <w:ilvl w:val="0"/>
          <w:numId w:val="14"/>
        </w:numPr>
        <w:spacing w:before="240"/>
      </w:pPr>
      <w:r>
        <w:t xml:space="preserve">Build panel dataset state×year with variables: Debt, NetDebt, ShortTermDebt, InterestPayments, Revenue, PrimaryBalance, Guarantees, GSDP, growth rate, interest </w:t>
      </w:r>
      <w:r>
        <w:lastRenderedPageBreak/>
        <w:t>rate.</w:t>
      </w:r>
      <w:r>
        <w:br/>
      </w:r>
    </w:p>
    <w:p w14:paraId="00000044" w14:textId="77777777" w:rsidR="001E2836" w:rsidRDefault="00000000" w:rsidP="00E70F84">
      <w:pPr>
        <w:numPr>
          <w:ilvl w:val="0"/>
          <w:numId w:val="14"/>
        </w:numPr>
      </w:pPr>
      <w:r>
        <w:t>Compute indicators and normalize</w:t>
      </w:r>
      <w:r>
        <w:br/>
      </w:r>
    </w:p>
    <w:p w14:paraId="00000045" w14:textId="77777777" w:rsidR="001E2836" w:rsidRDefault="00000000" w:rsidP="00E70F84">
      <w:pPr>
        <w:numPr>
          <w:ilvl w:val="0"/>
          <w:numId w:val="14"/>
        </w:numPr>
      </w:pPr>
      <w:r>
        <w:t>Run PCA per pillar; construct DSI and visualise regression</w:t>
      </w:r>
      <w:r>
        <w:br/>
      </w:r>
    </w:p>
    <w:p w14:paraId="00000046" w14:textId="77777777" w:rsidR="001E2836" w:rsidRDefault="00000000" w:rsidP="00E70F84">
      <w:pPr>
        <w:numPr>
          <w:ilvl w:val="0"/>
          <w:numId w:val="14"/>
        </w:numPr>
        <w:spacing w:after="240"/>
      </w:pPr>
      <w:r>
        <w:t xml:space="preserve">Stress tests: create deterministic scenario functions </w:t>
      </w:r>
    </w:p>
    <w:p w14:paraId="00000047" w14:textId="77777777" w:rsidR="001E2836" w:rsidRDefault="00000000" w:rsidP="00E70F84">
      <w:pPr>
        <w:pStyle w:val="Heading1"/>
        <w:keepNext w:val="0"/>
        <w:keepLines w:val="0"/>
        <w:spacing w:before="480"/>
        <w:rPr>
          <w:b/>
          <w:bCs/>
          <w:sz w:val="22"/>
          <w:szCs w:val="22"/>
        </w:rPr>
      </w:pPr>
      <w:bookmarkStart w:id="15" w:name="_cgv0pfhzj13y" w:colFirst="0" w:colLast="0"/>
      <w:bookmarkEnd w:id="15"/>
      <w:r>
        <w:rPr>
          <w:b/>
          <w:bCs/>
          <w:sz w:val="22"/>
          <w:szCs w:val="22"/>
        </w:rPr>
        <w:t>9) Visualization</w:t>
      </w:r>
    </w:p>
    <w:p w14:paraId="00000048" w14:textId="77777777" w:rsidR="001E2836" w:rsidRDefault="00000000" w:rsidP="00E70F84">
      <w:pPr>
        <w:numPr>
          <w:ilvl w:val="0"/>
          <w:numId w:val="2"/>
        </w:numPr>
        <w:spacing w:before="240"/>
      </w:pPr>
      <w:r>
        <w:t>State map DSI latest year (Green/Amber/Red).</w:t>
      </w:r>
      <w:r>
        <w:br/>
      </w:r>
    </w:p>
    <w:p w14:paraId="00000049" w14:textId="77777777" w:rsidR="001E2836" w:rsidRDefault="00000000" w:rsidP="00E70F84">
      <w:pPr>
        <w:numPr>
          <w:ilvl w:val="0"/>
          <w:numId w:val="2"/>
        </w:numPr>
      </w:pPr>
      <w:r>
        <w:t>Debt/GSDP trend for all states.</w:t>
      </w:r>
      <w:r>
        <w:br/>
      </w:r>
    </w:p>
    <w:p w14:paraId="0000004A" w14:textId="77777777" w:rsidR="001E2836" w:rsidRDefault="00000000" w:rsidP="00E70F84">
      <w:pPr>
        <w:numPr>
          <w:ilvl w:val="0"/>
          <w:numId w:val="2"/>
        </w:numPr>
        <w:spacing w:after="240"/>
      </w:pPr>
      <w:r>
        <w:t>States ranked by probability of crossing Red band within 2 years.</w:t>
      </w:r>
    </w:p>
    <w:p w14:paraId="0000004B" w14:textId="77777777" w:rsidR="001E2836" w:rsidRDefault="00000000" w:rsidP="00E70F84">
      <w:pPr>
        <w:pStyle w:val="Heading1"/>
        <w:keepNext w:val="0"/>
        <w:keepLines w:val="0"/>
        <w:spacing w:before="480"/>
        <w:rPr>
          <w:b/>
          <w:bCs/>
          <w:sz w:val="22"/>
          <w:szCs w:val="22"/>
        </w:rPr>
      </w:pPr>
      <w:bookmarkStart w:id="16" w:name="_7mdiakk0mpds" w:colFirst="0" w:colLast="0"/>
      <w:bookmarkEnd w:id="16"/>
      <w:r>
        <w:rPr>
          <w:b/>
          <w:bCs/>
          <w:sz w:val="22"/>
          <w:szCs w:val="22"/>
        </w:rPr>
        <w:t xml:space="preserve">10) Potential impact </w:t>
      </w:r>
    </w:p>
    <w:p w14:paraId="0000004C" w14:textId="77777777" w:rsidR="001E2836" w:rsidRDefault="00000000" w:rsidP="00E70F84">
      <w:r>
        <w:t>A well designed state level borrowing and debt sustainability framework can significantly strengthen India’s macro fiscal architecture through multiple, mutually reinforcing channels. First, it enhances macro stability by enabling early identification of fiscal stress and emerging vulnerabilities across states. This reduces systemic exposure and lowers borrowing costs because markets receive clearer and more credible signals when states follow transparent glide paths and medium term consolidation plans. Second, it promotes efficient public investment by enforcing sharper distinctions between capital and revenue expenditure. With clearer rules and borrowing ceilings, states are nudged away from financing nonproductive, recurring revenue spending through debt and encouraged to adopt structured capital budgeting practices that prioritise high return public infrastructure. Third, it strengthens market discipline, since transparent and standardised scoring of fiscal performance reduces information asymmetry for investors. This allows risk to be priced more accurately and incentivises states to maintain fiscal prudence to preserve favourable market access. Fourth, it advances intergovernmental equity by replacing ad hoc discretion in borrowing permissions with uniform criteria, ensuring that all states, regardless of political alignment or fiscal capacity, are assessed and treated on the basis of consistent and objective metrics. Finally, it improves transparency, particularly through more rigorous reporting of contingent liabilities, guarantees, and off budget borrowings. By clarifying these hidden fiscal exposures, which auditors have highlighted as a growing concern, states can mitigate surprise shocks, build credibility, and move toward a more sustainable and accountable fiscal ecosystem.</w:t>
      </w:r>
    </w:p>
    <w:p w14:paraId="0000004D" w14:textId="77777777" w:rsidR="001E2836" w:rsidRDefault="00000000" w:rsidP="00E70F84">
      <w:pPr>
        <w:pStyle w:val="Heading1"/>
        <w:keepNext w:val="0"/>
        <w:keepLines w:val="0"/>
        <w:spacing w:before="480"/>
        <w:rPr>
          <w:b/>
          <w:bCs/>
          <w:sz w:val="22"/>
          <w:szCs w:val="22"/>
        </w:rPr>
      </w:pPr>
      <w:bookmarkStart w:id="17" w:name="_xtogtjid06sf" w:colFirst="0" w:colLast="0"/>
      <w:bookmarkEnd w:id="17"/>
      <w:r>
        <w:rPr>
          <w:b/>
          <w:bCs/>
          <w:sz w:val="22"/>
          <w:szCs w:val="22"/>
        </w:rPr>
        <w:t>11) Risks, limitations &amp; safeguards</w:t>
      </w:r>
    </w:p>
    <w:p w14:paraId="0000004E" w14:textId="77777777" w:rsidR="001E2836" w:rsidRDefault="00000000" w:rsidP="00E70F84">
      <w:pPr>
        <w:spacing w:before="240" w:after="240"/>
        <w:ind w:left="720"/>
      </w:pPr>
      <w:r>
        <w:t xml:space="preserve">Data quality and comparability remain significant challenges, as states vary widely in how they report fiscal information. This can be mitigated by adopting standardised </w:t>
      </w:r>
      <w:r>
        <w:lastRenderedPageBreak/>
        <w:t>reporting templates, strengthening disclosure requirements, and introducing routine third party audits to ensure consistency and reliability of data. Political economy constraints also pose risks, since states may attempt to game indicators or delay required reforms. Addressing this requires independent validation of submitted data, along with a system of incentives that rewards accurate reporting and penalises strategic misrepresentation. At the same time, overly rigid rules can create unintended drawbacks, which makes it essential to maintain flexibility for genuine emergencies such as natural disasters or public health crises. This flexibility should operate through transparent escape clauses paired with clear conditions and post facto scrutiny to prevent misuse. Finally, model risk cannot be ignored. A debt sustainability index is ultimately an aggregate construct, and no single number can replace careful fiscal judgment. The framework must therefore rely on deeper subpillar diagnostics, scenario analysis, and periodic stress tests to ensure that the assessment of state level fiscal health remains nuanced, dynamic, and grounded in real world vulnerabilities.</w:t>
      </w:r>
    </w:p>
    <w:p w14:paraId="0000004F" w14:textId="77777777" w:rsidR="001E2836" w:rsidRDefault="00000000" w:rsidP="00E70F84">
      <w:pPr>
        <w:pStyle w:val="Heading1"/>
        <w:keepNext w:val="0"/>
        <w:keepLines w:val="0"/>
        <w:spacing w:before="480"/>
        <w:rPr>
          <w:b/>
          <w:bCs/>
          <w:sz w:val="22"/>
          <w:szCs w:val="22"/>
        </w:rPr>
      </w:pPr>
      <w:bookmarkStart w:id="18" w:name="_7vpan2n9w90v" w:colFirst="0" w:colLast="0"/>
      <w:bookmarkEnd w:id="18"/>
      <w:r>
        <w:rPr>
          <w:b/>
          <w:bCs/>
          <w:sz w:val="22"/>
          <w:szCs w:val="22"/>
        </w:rPr>
        <w:t>12) Current Scenario</w:t>
      </w:r>
    </w:p>
    <w:p w14:paraId="00000050" w14:textId="77777777" w:rsidR="001E2836" w:rsidRDefault="00000000" w:rsidP="00E70F84">
      <w:pPr>
        <w:spacing w:before="240" w:after="240"/>
      </w:pPr>
      <w:r>
        <w:t>India already has several institutional foundations for state level fiscal regulation, and these provide important context for designing a new borrowing and debt sustainability system. The FRBM framework and the state level FRBM Acts set deficit targets and borrowing ceilings for both the centre and the states, and recent amendments have expanded these laws to include the broader concept of general government debt. The Finance Commission has also played a central role through its recommendations on debt consolidation, the structuring of borrowing windows, and reforms to the rules governing the National Small Savings Fund, especially as seen in the Fourteenth Commission’s changes that directly affected state borrowing space. RBI reports have repeatedly emphasised the importance of transparent reporting, realistic glide paths, and credible consolidation strategies for states, particularly in the context of elevated post pandemic debt levels and rising fiscal risks. In addition, academic research offers a strong empirical base for methodological development. Studies show that aggregate national level sustainability often hides substantial state level vulnerabilities, and they apply tools such as the Domar stability condition, fiscal reaction functions, and present value based sustainability tests. These analytical methods can be adapted, expanded, and combined to build a more precise and state specific debt sustainability metric for India.</w:t>
      </w:r>
    </w:p>
    <w:p w14:paraId="00000051" w14:textId="77777777" w:rsidR="001E2836" w:rsidRDefault="00000000" w:rsidP="00E70F84">
      <w:pPr>
        <w:pStyle w:val="Heading1"/>
        <w:keepNext w:val="0"/>
        <w:keepLines w:val="0"/>
        <w:spacing w:before="480"/>
        <w:rPr>
          <w:b/>
          <w:bCs/>
          <w:sz w:val="22"/>
          <w:szCs w:val="22"/>
        </w:rPr>
      </w:pPr>
      <w:bookmarkStart w:id="19" w:name="_vhdzw34hwpzh" w:colFirst="0" w:colLast="0"/>
      <w:bookmarkEnd w:id="19"/>
      <w:r>
        <w:rPr>
          <w:b/>
          <w:bCs/>
          <w:sz w:val="22"/>
          <w:szCs w:val="22"/>
        </w:rPr>
        <w:t xml:space="preserve">13) References </w:t>
      </w:r>
    </w:p>
    <w:p w14:paraId="00000052" w14:textId="77777777" w:rsidR="001E2836" w:rsidRDefault="00000000" w:rsidP="00E70F84">
      <w:pPr>
        <w:numPr>
          <w:ilvl w:val="0"/>
          <w:numId w:val="11"/>
        </w:numPr>
        <w:spacing w:before="240"/>
      </w:pPr>
      <w:r>
        <w:t>RBI: State Finances: A Study of Budgets (annual).</w:t>
      </w:r>
      <w:hyperlink r:id="rId6">
        <w:r>
          <w:t xml:space="preserve"> </w:t>
        </w:r>
      </w:hyperlink>
      <w:hyperlink r:id="rId7">
        <w:r>
          <w:rPr>
            <w:color w:val="1155CC"/>
            <w:u w:val="single"/>
          </w:rPr>
          <w:t>PRS Legislative Research</w:t>
        </w:r>
        <w:r>
          <w:rPr>
            <w:color w:val="1155CC"/>
            <w:u w:val="single"/>
          </w:rPr>
          <w:br/>
        </w:r>
      </w:hyperlink>
    </w:p>
    <w:p w14:paraId="00000053" w14:textId="77777777" w:rsidR="001E2836" w:rsidRDefault="00000000" w:rsidP="00E70F84">
      <w:pPr>
        <w:numPr>
          <w:ilvl w:val="0"/>
          <w:numId w:val="11"/>
        </w:numPr>
      </w:pPr>
      <w:r>
        <w:t>CAG: Status and extent of compliance with FRBM Act and Rules (audit).</w:t>
      </w:r>
      <w:hyperlink r:id="rId8">
        <w:r>
          <w:t xml:space="preserve"> </w:t>
        </w:r>
      </w:hyperlink>
      <w:hyperlink r:id="rId9">
        <w:r>
          <w:rPr>
            <w:color w:val="1155CC"/>
            <w:u w:val="single"/>
          </w:rPr>
          <w:t>Comptroller and Auditor General of India</w:t>
        </w:r>
        <w:r>
          <w:rPr>
            <w:color w:val="1155CC"/>
            <w:u w:val="single"/>
          </w:rPr>
          <w:br/>
        </w:r>
      </w:hyperlink>
    </w:p>
    <w:p w14:paraId="00000054" w14:textId="77777777" w:rsidR="001E2836" w:rsidRDefault="00000000" w:rsidP="00E70F84">
      <w:pPr>
        <w:numPr>
          <w:ilvl w:val="0"/>
          <w:numId w:val="11"/>
        </w:numPr>
      </w:pPr>
      <w:r>
        <w:t>Fourteenth Finance Commission report.</w:t>
      </w:r>
      <w:hyperlink r:id="rId10">
        <w:r>
          <w:t xml:space="preserve"> </w:t>
        </w:r>
      </w:hyperlink>
      <w:hyperlink r:id="rId11">
        <w:r>
          <w:rPr>
            <w:color w:val="1155CC"/>
            <w:u w:val="single"/>
          </w:rPr>
          <w:t>Finance Commission India</w:t>
        </w:r>
        <w:r>
          <w:rPr>
            <w:color w:val="1155CC"/>
            <w:u w:val="single"/>
          </w:rPr>
          <w:br/>
        </w:r>
      </w:hyperlink>
    </w:p>
    <w:p w14:paraId="00000055" w14:textId="77777777" w:rsidR="001E2836" w:rsidRDefault="00000000" w:rsidP="00E70F84">
      <w:pPr>
        <w:numPr>
          <w:ilvl w:val="0"/>
          <w:numId w:val="11"/>
        </w:numPr>
      </w:pPr>
      <w:r>
        <w:lastRenderedPageBreak/>
        <w:t>NITI Aayog Annual Report (2024-25).</w:t>
      </w:r>
      <w:hyperlink r:id="rId12">
        <w:r>
          <w:t xml:space="preserve"> </w:t>
        </w:r>
      </w:hyperlink>
      <w:hyperlink r:id="rId13">
        <w:r>
          <w:rPr>
            <w:color w:val="1155CC"/>
            <w:u w:val="single"/>
          </w:rPr>
          <w:t>NITI Aayog</w:t>
        </w:r>
        <w:r>
          <w:rPr>
            <w:color w:val="1155CC"/>
            <w:u w:val="single"/>
          </w:rPr>
          <w:br/>
        </w:r>
      </w:hyperlink>
    </w:p>
    <w:p w14:paraId="00000056" w14:textId="77777777" w:rsidR="001E2836" w:rsidRDefault="00000000" w:rsidP="00E70F84">
      <w:pPr>
        <w:numPr>
          <w:ilvl w:val="0"/>
          <w:numId w:val="11"/>
        </w:numPr>
      </w:pPr>
      <w:r>
        <w:t>Academic: “Debt sustainability of states in India: an assessment” (Kaur, 2018).</w:t>
      </w:r>
      <w:hyperlink r:id="rId14">
        <w:r>
          <w:t xml:space="preserve"> </w:t>
        </w:r>
      </w:hyperlink>
      <w:hyperlink r:id="rId15">
        <w:r>
          <w:rPr>
            <w:color w:val="1155CC"/>
            <w:u w:val="single"/>
          </w:rPr>
          <w:t>SpringerLink</w:t>
        </w:r>
        <w:r>
          <w:rPr>
            <w:color w:val="1155CC"/>
            <w:u w:val="single"/>
          </w:rPr>
          <w:br/>
        </w:r>
      </w:hyperlink>
    </w:p>
    <w:p w14:paraId="00000057" w14:textId="77777777" w:rsidR="001E2836" w:rsidRDefault="00000000" w:rsidP="00E70F84">
      <w:pPr>
        <w:numPr>
          <w:ilvl w:val="0"/>
          <w:numId w:val="11"/>
        </w:numPr>
        <w:spacing w:after="240"/>
      </w:pPr>
      <w:r>
        <w:t>Recent RBI commentary on state fiscal consolidation (news summary).</w:t>
      </w:r>
      <w:hyperlink r:id="rId16">
        <w:r>
          <w:t xml:space="preserve"> </w:t>
        </w:r>
      </w:hyperlink>
      <w:hyperlink r:id="rId17">
        <w:r>
          <w:rPr>
            <w:color w:val="1155CC"/>
            <w:u w:val="single"/>
          </w:rPr>
          <w:t>Reuters</w:t>
        </w:r>
        <w:r>
          <w:rPr>
            <w:color w:val="1155CC"/>
            <w:u w:val="single"/>
          </w:rPr>
          <w:br/>
        </w:r>
      </w:hyperlink>
    </w:p>
    <w:sectPr w:rsidR="001E283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B6ED5DEB-1795-42D4-A8B0-313DDAEE8300}"/>
  </w:font>
  <w:font w:name="Cambria">
    <w:panose1 w:val="02040503050406030204"/>
    <w:charset w:val="00"/>
    <w:family w:val="roman"/>
    <w:pitch w:val="variable"/>
    <w:sig w:usb0="E00006FF" w:usb1="420024FF" w:usb2="02000000" w:usb3="00000000" w:csb0="0000019F" w:csb1="00000000"/>
    <w:embedRegular r:id="rId2" w:fontKey="{A7D18C26-3787-4F50-B5F4-79523A8A5AE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22B7"/>
    <w:multiLevelType w:val="multilevel"/>
    <w:tmpl w:val="0070249C"/>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4E45B5B"/>
    <w:multiLevelType w:val="multilevel"/>
    <w:tmpl w:val="08282C3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B2944F4"/>
    <w:multiLevelType w:val="multilevel"/>
    <w:tmpl w:val="319A44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385974BA"/>
    <w:multiLevelType w:val="multilevel"/>
    <w:tmpl w:val="C3D8D08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15:restartNumberingAfterBreak="0">
    <w:nsid w:val="3C4725D6"/>
    <w:multiLevelType w:val="multilevel"/>
    <w:tmpl w:val="785AA0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449D768A"/>
    <w:multiLevelType w:val="multilevel"/>
    <w:tmpl w:val="DAB045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AAD65C4"/>
    <w:multiLevelType w:val="multilevel"/>
    <w:tmpl w:val="ADE0EA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5E122E9C"/>
    <w:multiLevelType w:val="multilevel"/>
    <w:tmpl w:val="8F9CE4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5FF1715D"/>
    <w:multiLevelType w:val="multilevel"/>
    <w:tmpl w:val="8BC81D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6AC37DA6"/>
    <w:multiLevelType w:val="multilevel"/>
    <w:tmpl w:val="26F26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6AF910F6"/>
    <w:multiLevelType w:val="multilevel"/>
    <w:tmpl w:val="E6BEB3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AE46C8"/>
    <w:multiLevelType w:val="multilevel"/>
    <w:tmpl w:val="39A260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4CA370C"/>
    <w:multiLevelType w:val="multilevel"/>
    <w:tmpl w:val="EA2E6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DD94056"/>
    <w:multiLevelType w:val="multilevel"/>
    <w:tmpl w:val="C854C5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220677106">
    <w:abstractNumId w:val="1"/>
  </w:num>
  <w:num w:numId="2" w16cid:durableId="1500150975">
    <w:abstractNumId w:val="7"/>
  </w:num>
  <w:num w:numId="3" w16cid:durableId="806358724">
    <w:abstractNumId w:val="5"/>
  </w:num>
  <w:num w:numId="4" w16cid:durableId="1188907891">
    <w:abstractNumId w:val="13"/>
  </w:num>
  <w:num w:numId="5" w16cid:durableId="2132355281">
    <w:abstractNumId w:val="11"/>
  </w:num>
  <w:num w:numId="6" w16cid:durableId="1394815325">
    <w:abstractNumId w:val="10"/>
  </w:num>
  <w:num w:numId="7" w16cid:durableId="1452019294">
    <w:abstractNumId w:val="3"/>
  </w:num>
  <w:num w:numId="8" w16cid:durableId="712581948">
    <w:abstractNumId w:val="4"/>
  </w:num>
  <w:num w:numId="9" w16cid:durableId="1186870468">
    <w:abstractNumId w:val="8"/>
  </w:num>
  <w:num w:numId="10" w16cid:durableId="1682507343">
    <w:abstractNumId w:val="6"/>
  </w:num>
  <w:num w:numId="11" w16cid:durableId="894657442">
    <w:abstractNumId w:val="12"/>
  </w:num>
  <w:num w:numId="12" w16cid:durableId="1600942667">
    <w:abstractNumId w:val="2"/>
  </w:num>
  <w:num w:numId="13" w16cid:durableId="1051340345">
    <w:abstractNumId w:val="0"/>
  </w:num>
  <w:num w:numId="14" w16cid:durableId="14201055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836"/>
    <w:rsid w:val="001E2836"/>
    <w:rsid w:val="00AC21BA"/>
    <w:rsid w:val="00E70F8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3237B9"/>
  <w15:docId w15:val="{08A10AB9-9C7E-437C-8A10-7FCD7CAC67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g.gov.in/uploads/download_audit_report/2021/07_Chapter%203-061a4c47f708b11.23974105.pdf?utm_source=chatgpt.com" TargetMode="External"/><Relationship Id="rId13" Type="http://schemas.openxmlformats.org/officeDocument/2006/relationships/hyperlink" Target="https://www.niti.gov.in/sites/default/files/2025-02/Annual%20Report%202024-25%20English_FINAL_LOW%20RES_0.pdf?utm_source=chatgpt.com" TargetMode="Externa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rsindia.org/budgets/discussionpapers/state-of-state-finances-2023-24?utm_source=chatgpt.com" TargetMode="External"/><Relationship Id="rId12" Type="http://schemas.openxmlformats.org/officeDocument/2006/relationships/hyperlink" Target="https://www.niti.gov.in/sites/default/files/2025-02/Annual%20Report%202024-25%20English_FINAL_LOW%20RES_0.pdf?utm_source=chatgpt.com" TargetMode="External"/><Relationship Id="rId17" Type="http://schemas.openxmlformats.org/officeDocument/2006/relationships/hyperlink" Target="https://www.reuters.com/world/india/indian-states-must-set-glide-path-fiscal-consolidation-says-central-bank-report-2024-12-19/?utm_source=chatgpt.com" TargetMode="External"/><Relationship Id="rId2" Type="http://schemas.openxmlformats.org/officeDocument/2006/relationships/styles" Target="styles.xml"/><Relationship Id="rId16" Type="http://schemas.openxmlformats.org/officeDocument/2006/relationships/hyperlink" Target="https://www.reuters.com/world/india/indian-states-must-set-glide-path-fiscal-consolidation-says-central-bank-report-2024-12-19/?utm_source=chatgpt.com" TargetMode="External"/><Relationship Id="rId1" Type="http://schemas.openxmlformats.org/officeDocument/2006/relationships/numbering" Target="numbering.xml"/><Relationship Id="rId6" Type="http://schemas.openxmlformats.org/officeDocument/2006/relationships/hyperlink" Target="https://prsindia.org/budgets/discussionpapers/state-of-state-finances-2023-24?utm_source=chatgpt.com" TargetMode="External"/><Relationship Id="rId11" Type="http://schemas.openxmlformats.org/officeDocument/2006/relationships/hyperlink" Target="https://fincomindia.nic.in/asset/pdf/commission-reports/14thFCReport.pdf?utm_source=chatgpt.com" TargetMode="External"/><Relationship Id="rId5" Type="http://schemas.openxmlformats.org/officeDocument/2006/relationships/hyperlink" Target="https://cag.gov.in/uploads/download_audit_report/2021/07_Chapter%203-061a4c47f708b11.23974105.pdf?utm_source=chatgpt.com" TargetMode="External"/><Relationship Id="rId15" Type="http://schemas.openxmlformats.org/officeDocument/2006/relationships/hyperlink" Target="https://link.springer.com/article/10.1007/s41775-018-0018-y?utm_source=chatgpt.com" TargetMode="External"/><Relationship Id="rId10" Type="http://schemas.openxmlformats.org/officeDocument/2006/relationships/hyperlink" Target="https://fincomindia.nic.in/asset/pdf/commission-reports/14thFCReport.pdf?utm_source=chatgpt.com"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s://cag.gov.in/uploads/download_audit_report/2021/07_Chapter%203-061a4c47f708b11.23974105.pdf?utm_source=chatgpt.com" TargetMode="External"/><Relationship Id="rId14" Type="http://schemas.openxmlformats.org/officeDocument/2006/relationships/hyperlink" Target="https://link.springer.com/article/10.1007/s41775-018-0018-y?utm_source=chatgpt.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1967</Words>
  <Characters>11212</Characters>
  <Application>Microsoft Office Word</Application>
  <DocSecurity>0</DocSecurity>
  <Lines>93</Lines>
  <Paragraphs>26</Paragraphs>
  <ScaleCrop>false</ScaleCrop>
  <Company/>
  <LinksUpToDate>false</LinksUpToDate>
  <CharactersWithSpaces>13153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Mehak Singh</cp:lastModifiedBy>
  <cp:revision>3</cp:revision>
  <dcterms:created xsi:type="dcterms:W3CDTF">2025-11-19T14:18:00Z</dcterms:created>
  <dcterms:modified xsi:type="dcterms:W3CDTF">2025-11-19T14:19:00Z</dcterms:modified>
</cp:coreProperties>
</file>